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color w:val="000000" w:themeColor="text1"/>
          <w:vertAlign w:val="baseline"/>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color w:val="000000" w:themeColor="text1"/>
          <w14:textFill>
            <w14:solidFill>
              <w14:schemeClr w14:val="tx1"/>
            </w14:solidFill>
          </w14:textFill>
        </w:rPr>
      </w:pPr>
    </w:p>
    <w:p>
      <w:pPr>
        <w:bidi w:val="0"/>
        <w:rPr>
          <w:rFonts w:hint="eastAsia"/>
          <w:color w:val="000000" w:themeColor="text1"/>
          <w14:textFill>
            <w14:solidFill>
              <w14:schemeClr w14:val="tx1"/>
            </w14:solidFill>
          </w14:textFill>
        </w:rPr>
      </w:pPr>
    </w:p>
    <w:p>
      <w:pPr>
        <w:pStyle w:val="2"/>
        <w:bidi w:val="0"/>
        <w:jc w:val="center"/>
        <w:rPr>
          <w:rFonts w:hint="eastAsia"/>
          <w:color w:val="000000" w:themeColor="text1"/>
          <w:sz w:val="72"/>
          <w:szCs w:val="72"/>
          <w14:textFill>
            <w14:solidFill>
              <w14:schemeClr w14:val="tx1"/>
            </w14:solidFill>
          </w14:textFill>
        </w:rPr>
      </w:pPr>
      <w:r>
        <w:rPr>
          <w:rFonts w:hint="eastAsia"/>
          <w:color w:val="000000" w:themeColor="text1"/>
          <w:sz w:val="72"/>
          <w:szCs w:val="72"/>
          <w14:textFill>
            <w14:solidFill>
              <w14:schemeClr w14:val="tx1"/>
            </w14:solidFill>
          </w14:textFill>
        </w:rPr>
        <w:t>建设项目环境影响报告表</w:t>
      </w:r>
    </w:p>
    <w:p>
      <w:pPr>
        <w:bidi w:val="0"/>
        <w:ind w:left="0" w:leftChars="0" w:firstLine="0" w:firstLineChars="0"/>
        <w:jc w:val="center"/>
        <w:rPr>
          <w:rFonts w:hint="eastAsia"/>
          <w:b/>
          <w:bCs/>
          <w:color w:val="auto"/>
          <w:sz w:val="48"/>
          <w:szCs w:val="48"/>
        </w:rPr>
      </w:pPr>
      <w:r>
        <w:rPr>
          <w:rFonts w:hint="eastAsia"/>
          <w:b/>
          <w:bCs/>
          <w:color w:val="auto"/>
          <w:sz w:val="48"/>
          <w:szCs w:val="48"/>
        </w:rPr>
        <w:t>（污染影响类）</w:t>
      </w:r>
    </w:p>
    <w:p>
      <w:pPr>
        <w:bidi w:val="0"/>
        <w:rPr>
          <w:color w:val="auto"/>
        </w:rPr>
      </w:pPr>
    </w:p>
    <w:p>
      <w:pPr>
        <w:bidi w:val="0"/>
        <w:rPr>
          <w:color w:val="auto"/>
        </w:rPr>
      </w:pPr>
    </w:p>
    <w:p>
      <w:pPr>
        <w:bidi w:val="0"/>
        <w:rPr>
          <w:color w:val="auto"/>
        </w:rPr>
      </w:pPr>
    </w:p>
    <w:p>
      <w:pPr>
        <w:bidi w:val="0"/>
        <w:rPr>
          <w:color w:val="auto"/>
        </w:rPr>
      </w:pPr>
    </w:p>
    <w:p>
      <w:pPr>
        <w:bidi w:val="0"/>
        <w:rPr>
          <w:i w:val="0"/>
          <w:iCs w:val="0"/>
          <w:color w:val="auto"/>
          <w:sz w:val="36"/>
          <w:szCs w:val="36"/>
          <w:u w:val="single"/>
        </w:rPr>
      </w:pPr>
    </w:p>
    <w:p>
      <w:pPr>
        <w:bidi w:val="0"/>
        <w:ind w:left="1800" w:leftChars="0" w:hanging="1800" w:hangingChars="500"/>
        <w:rPr>
          <w:rFonts w:hint="default" w:eastAsia="宋体"/>
          <w:i w:val="0"/>
          <w:iCs w:val="0"/>
          <w:color w:val="auto"/>
          <w:sz w:val="36"/>
          <w:szCs w:val="36"/>
          <w:u w:val="single"/>
          <w:lang w:val="en-US" w:eastAsia="zh-CN"/>
        </w:rPr>
      </w:pPr>
      <w:r>
        <w:rPr>
          <w:rFonts w:hint="eastAsia"/>
          <w:i w:val="0"/>
          <w:iCs w:val="0"/>
          <w:color w:val="auto"/>
          <w:sz w:val="36"/>
          <w:szCs w:val="36"/>
          <w:u w:val="none"/>
        </w:rPr>
        <w:t>项目名称：</w:t>
      </w:r>
      <w:r>
        <w:rPr>
          <w:rFonts w:hint="eastAsia"/>
          <w:i w:val="0"/>
          <w:iCs w:val="0"/>
          <w:color w:val="auto"/>
          <w:sz w:val="36"/>
          <w:szCs w:val="36"/>
          <w:u w:val="single"/>
          <w:lang w:val="en-US" w:eastAsia="zh-CN"/>
        </w:rPr>
        <w:t xml:space="preserve">托克逊县伟宏混凝土有限公司混凝土搅拌站建设项目                                   </w:t>
      </w:r>
    </w:p>
    <w:p>
      <w:pPr>
        <w:keepNext w:val="0"/>
        <w:keepLines w:val="0"/>
        <w:suppressLineNumbers w:val="0"/>
        <w:spacing w:before="0" w:beforeAutospacing="0" w:after="0" w:afterAutospacing="0" w:line="360" w:lineRule="auto"/>
        <w:ind w:left="1800" w:leftChars="0" w:right="0" w:hanging="1800" w:hangingChars="500"/>
        <w:rPr>
          <w:rFonts w:hint="default"/>
          <w:i w:val="0"/>
          <w:iCs w:val="0"/>
          <w:color w:val="auto"/>
          <w:sz w:val="36"/>
          <w:szCs w:val="36"/>
          <w:u w:val="single"/>
          <w:lang w:val="en-US" w:eastAsia="zh-CN"/>
        </w:rPr>
      </w:pPr>
      <w:r>
        <w:rPr>
          <w:rFonts w:hint="eastAsia"/>
          <w:i w:val="0"/>
          <w:iCs w:val="0"/>
          <w:color w:val="auto"/>
          <w:sz w:val="36"/>
          <w:szCs w:val="36"/>
          <w:u w:val="none"/>
        </w:rPr>
        <w:t>建设单位（盖章）：</w:t>
      </w:r>
      <w:bookmarkStart w:id="0" w:name="OLE_LINK1"/>
      <w:r>
        <w:rPr>
          <w:rFonts w:hint="eastAsia"/>
          <w:i w:val="0"/>
          <w:iCs w:val="0"/>
          <w:color w:val="auto"/>
          <w:sz w:val="36"/>
          <w:szCs w:val="36"/>
          <w:u w:val="single"/>
          <w:lang w:val="en-US" w:eastAsia="zh-CN"/>
        </w:rPr>
        <w:t>托克逊县伟宏混凝土有限公司</w:t>
      </w:r>
      <w:bookmarkEnd w:id="0"/>
      <w:r>
        <w:rPr>
          <w:rFonts w:hint="eastAsia"/>
          <w:i w:val="0"/>
          <w:iCs w:val="0"/>
          <w:color w:val="auto"/>
          <w:sz w:val="36"/>
          <w:szCs w:val="36"/>
          <w:u w:val="single"/>
          <w:lang w:val="en-US" w:eastAsia="zh-CN"/>
        </w:rPr>
        <w:t xml:space="preserve">       </w:t>
      </w:r>
    </w:p>
    <w:p>
      <w:pPr>
        <w:bidi w:val="0"/>
        <w:ind w:left="0" w:leftChars="0" w:firstLine="0" w:firstLineChars="0"/>
        <w:rPr>
          <w:rFonts w:hint="default"/>
          <w:i w:val="0"/>
          <w:iCs w:val="0"/>
          <w:color w:val="auto"/>
          <w:sz w:val="36"/>
          <w:szCs w:val="36"/>
          <w:u w:val="single"/>
          <w:lang w:val="en-US" w:eastAsia="zh-CN"/>
        </w:rPr>
      </w:pPr>
      <w:r>
        <w:rPr>
          <w:rFonts w:hint="eastAsia"/>
          <w:i w:val="0"/>
          <w:iCs w:val="0"/>
          <w:color w:val="auto"/>
          <w:sz w:val="36"/>
          <w:szCs w:val="36"/>
          <w:u w:val="none"/>
        </w:rPr>
        <w:t>编制日期：</w:t>
      </w:r>
      <w:r>
        <w:rPr>
          <w:i w:val="0"/>
          <w:iCs w:val="0"/>
          <w:color w:val="auto"/>
          <w:sz w:val="36"/>
          <w:szCs w:val="36"/>
          <w:u w:val="single"/>
        </w:rPr>
        <w:t xml:space="preserve">     </w:t>
      </w:r>
      <w:r>
        <w:rPr>
          <w:rFonts w:hint="eastAsia"/>
          <w:i w:val="0"/>
          <w:iCs w:val="0"/>
          <w:color w:val="auto"/>
          <w:sz w:val="36"/>
          <w:szCs w:val="36"/>
          <w:u w:val="single"/>
          <w:lang w:val="en-US" w:eastAsia="zh-CN"/>
        </w:rPr>
        <w:t xml:space="preserve">  </w:t>
      </w:r>
      <w:r>
        <w:rPr>
          <w:i w:val="0"/>
          <w:iCs w:val="0"/>
          <w:color w:val="auto"/>
          <w:sz w:val="36"/>
          <w:szCs w:val="36"/>
          <w:u w:val="single"/>
        </w:rPr>
        <w:t xml:space="preserve">    </w:t>
      </w:r>
      <w:r>
        <w:rPr>
          <w:rFonts w:hint="eastAsia"/>
          <w:i w:val="0"/>
          <w:iCs w:val="0"/>
          <w:color w:val="auto"/>
          <w:sz w:val="36"/>
          <w:szCs w:val="36"/>
          <w:u w:val="single"/>
        </w:rPr>
        <w:t xml:space="preserve">  </w:t>
      </w:r>
      <w:r>
        <w:rPr>
          <w:rFonts w:hint="eastAsia"/>
          <w:i w:val="0"/>
          <w:iCs w:val="0"/>
          <w:color w:val="auto"/>
          <w:sz w:val="36"/>
          <w:szCs w:val="36"/>
          <w:u w:val="single"/>
          <w:lang w:val="en-US" w:eastAsia="zh-CN"/>
        </w:rPr>
        <w:t>2024年6月</w:t>
      </w:r>
      <w:r>
        <w:rPr>
          <w:i w:val="0"/>
          <w:iCs w:val="0"/>
          <w:color w:val="auto"/>
          <w:sz w:val="36"/>
          <w:szCs w:val="36"/>
          <w:u w:val="single"/>
        </w:rPr>
        <w:t xml:space="preserve">         </w:t>
      </w:r>
      <w:r>
        <w:rPr>
          <w:rFonts w:hint="eastAsia"/>
          <w:i w:val="0"/>
          <w:iCs w:val="0"/>
          <w:color w:val="auto"/>
          <w:sz w:val="36"/>
          <w:szCs w:val="36"/>
          <w:u w:val="single"/>
          <w:lang w:val="en-US" w:eastAsia="zh-CN"/>
        </w:rPr>
        <w:t xml:space="preserve">        </w:t>
      </w:r>
    </w:p>
    <w:p>
      <w:pPr>
        <w:bidi w:val="0"/>
        <w:rPr>
          <w:color w:val="auto"/>
        </w:rPr>
      </w:pPr>
      <w:bookmarkStart w:id="1" w:name="_Hlk57884087"/>
    </w:p>
    <w:p>
      <w:pPr>
        <w:tabs>
          <w:tab w:val="left" w:pos="5286"/>
        </w:tabs>
        <w:bidi w:val="0"/>
        <w:rPr>
          <w:rFonts w:hint="eastAsia" w:eastAsia="宋体"/>
          <w:color w:val="auto"/>
          <w:lang w:eastAsia="zh-CN"/>
        </w:rPr>
      </w:pPr>
      <w:r>
        <w:rPr>
          <w:rFonts w:hint="eastAsia"/>
          <w:color w:val="auto"/>
          <w:lang w:eastAsia="zh-CN"/>
        </w:rPr>
        <w:tab/>
      </w:r>
    </w:p>
    <w:p>
      <w:pPr>
        <w:bidi w:val="0"/>
        <w:rPr>
          <w:color w:val="auto"/>
        </w:rPr>
      </w:pPr>
    </w:p>
    <w:p>
      <w:pPr>
        <w:bidi w:val="0"/>
        <w:rPr>
          <w:rFonts w:hint="eastAsia"/>
          <w:color w:val="auto"/>
        </w:rPr>
      </w:pPr>
    </w:p>
    <w:p>
      <w:pPr>
        <w:bidi w:val="0"/>
        <w:ind w:left="0" w:leftChars="0" w:firstLine="0" w:firstLineChars="0"/>
        <w:rPr>
          <w:rFonts w:hint="eastAsia"/>
          <w:color w:val="auto"/>
        </w:rPr>
      </w:pPr>
    </w:p>
    <w:bookmarkEnd w:id="1"/>
    <w:p>
      <w:pPr>
        <w:bidi w:val="0"/>
        <w:jc w:val="center"/>
        <w:rPr>
          <w:rFonts w:hint="eastAsia"/>
          <w:color w:val="auto"/>
        </w:rPr>
      </w:pPr>
      <w:r>
        <w:rPr>
          <w:rFonts w:hint="eastAsia"/>
          <w:color w:val="auto"/>
          <w:sz w:val="36"/>
          <w:szCs w:val="36"/>
        </w:rPr>
        <w:t>中华人民共和国生态环境部制</w:t>
      </w:r>
    </w:p>
    <w:p>
      <w:pPr>
        <w:bidi w:val="0"/>
        <w:rPr>
          <w:rFonts w:hint="default" w:eastAsia="宋体"/>
          <w:color w:val="auto"/>
          <w:lang w:val="en-US" w:eastAsia="zh-CN"/>
        </w:rPr>
        <w:sectPr>
          <w:footerReference r:id="rId5" w:type="default"/>
          <w:footerReference r:id="rId6"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r>
        <w:rPr>
          <w:rFonts w:hint="eastAsia"/>
          <w:color w:val="auto"/>
          <w:lang w:val="en-US" w:eastAsia="zh-CN"/>
        </w:rPr>
        <w:t xml:space="preserve">                                                                                                                                                                                                                                                                                                                                                                                                                                                                                                                                                                                                                                                                                                                                                                                                                                                                                                                                                                                                                                                                                                                                                                                                                                                                                                                                                                                                                                                                                                                                                                                                                                                                                                                                                                                                                                                                                                                                                                                                                                                                                                                                                                                                                                                                                                                                                                                                                                                                                                                                                                                                                                                                                                                                                                                                                                                                                                                                                                                                                                                                                                                                                                                                                                                                                                                                                                                                                                                                                                                                                                                                                                                                                                                                                                                                                                                                                                                                                                                                                                                                                                                                                                                                                </w:t>
      </w:r>
      <w:r>
        <w:rPr>
          <w:rFonts w:hint="eastAsia"/>
          <w:color w:val="auto"/>
          <w:lang w:val="en-US" w:eastAsia="zh-CN"/>
        </w:rPr>
        <w:t xml:space="preserve">                                                                                                                                                                                                                                                                                                                                                                                                                                                                                                                                                                                                                                                                                                                                                                                                                                                                                                                                                                                                                                                                                                                                                                                                                                                                                                                                                                                                                                                                                                                                                                                                                                                                                                                                                                                                                                                                                                                                                                                                                                                                                                                                                                                                                                                                                                                                                                                                                                                                                                                                                                                                                                                                                                                                                                                                                                                                                                                                                                                                                                                                                                                                                                                                                                                                                                                                                                                                                                                                                                                                                                                                                                                                                                                                                                                                                                                                                                                                                                                                                                                                                                                                                                                                                </w:t>
      </w:r>
      <w:r>
        <w:rPr>
          <w:rFonts w:hint="eastAsia"/>
          <w:color w:val="auto"/>
          <w:lang w:val="en-US" w:eastAsia="zh-CN"/>
        </w:rPr>
        <w:t xml:space="preserve">                                                                                                                                                                                                                                                                                                                                                                                                                                                                                                                                                                                                                                                                                                                                                                                                                                                                                                                                                                                                                                                                                                                                                                                                                                                                                                                                                                                                                                                                                                                                                                                                                                                                                                                                                                                                                                                                                                                                                                                                                                                                                                                                                                                                                                                                                                                                                                                                                                                                                                                                                                                                                                                                                                                                                                                                                                                                                                                                                                                                                                                                                                                                                                                                                                                                                                                                  </w:t>
      </w:r>
    </w:p>
    <w:p>
      <w:pPr>
        <w:pStyle w:val="3"/>
        <w:bidi w:val="0"/>
        <w:jc w:val="center"/>
        <w:rPr>
          <w:rFonts w:hint="eastAsia"/>
          <w:color w:val="auto"/>
        </w:rPr>
      </w:pPr>
      <w:r>
        <w:rPr>
          <w:rFonts w:hint="eastAsia"/>
          <w:color w:val="auto"/>
        </w:rPr>
        <w:t>一、建设项目基本情况</w:t>
      </w:r>
    </w:p>
    <w:tbl>
      <w:tblPr>
        <w:tblStyle w:val="2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78"/>
        <w:gridCol w:w="2124"/>
        <w:gridCol w:w="1950"/>
        <w:gridCol w:w="3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78" w:type="dxa"/>
            <w:tcBorders>
              <w:tl2br w:val="nil"/>
              <w:tr2bl w:val="nil"/>
            </w:tcBorders>
            <w:noWrap w:val="0"/>
            <w:tcMar>
              <w:top w:w="16" w:type="dxa"/>
              <w:left w:w="16" w:type="dxa"/>
              <w:right w:w="16" w:type="dxa"/>
            </w:tcMar>
            <w:vAlign w:val="center"/>
          </w:tcPr>
          <w:p>
            <w:pPr>
              <w:pStyle w:val="31"/>
              <w:bidi w:val="0"/>
              <w:rPr>
                <w:rFonts w:hint="default" w:ascii="Times New Roman" w:hAnsi="Times New Roman" w:eastAsia="宋体" w:cs="Times New Roman"/>
                <w:color w:val="auto"/>
              </w:rPr>
            </w:pPr>
            <w:r>
              <w:rPr>
                <w:rFonts w:hint="default" w:ascii="Times New Roman" w:hAnsi="Times New Roman" w:eastAsia="宋体" w:cs="Times New Roman"/>
                <w:color w:val="auto"/>
              </w:rPr>
              <w:t>建设项目名称</w:t>
            </w:r>
          </w:p>
        </w:tc>
        <w:tc>
          <w:tcPr>
            <w:tcW w:w="7076" w:type="dxa"/>
            <w:gridSpan w:val="3"/>
            <w:tcBorders>
              <w:tl2br w:val="nil"/>
              <w:tr2bl w:val="nil"/>
            </w:tcBorders>
            <w:noWrap w:val="0"/>
            <w:vAlign w:val="center"/>
          </w:tcPr>
          <w:p>
            <w:pPr>
              <w:keepNext w:val="0"/>
              <w:keepLines w:val="0"/>
              <w:suppressLineNumbers w:val="0"/>
              <w:spacing w:before="0" w:beforeAutospacing="0" w:after="0" w:afterAutospacing="0" w:line="240" w:lineRule="auto"/>
              <w:ind w:left="0" w:right="0" w:firstLine="720" w:firstLineChars="300"/>
              <w:jc w:val="both"/>
              <w:rPr>
                <w:rFonts w:hint="default" w:ascii="Times New Roman" w:hAnsi="Times New Roman" w:eastAsia="宋体" w:cs="Times New Roman"/>
                <w:color w:val="auto"/>
              </w:rPr>
            </w:pPr>
            <w:r>
              <w:rPr>
                <w:rFonts w:hint="eastAsia" w:cs="Times New Roman"/>
                <w:color w:val="auto"/>
                <w:kern w:val="2"/>
                <w:sz w:val="24"/>
                <w:szCs w:val="24"/>
                <w:lang w:val="en-US" w:eastAsia="zh-CN" w:bidi="ar-SA"/>
              </w:rPr>
              <w:t>托克逊县伟宏混凝土有限公司混凝土搅拌站建设项目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78" w:type="dxa"/>
            <w:tcBorders>
              <w:tl2br w:val="nil"/>
              <w:tr2bl w:val="nil"/>
            </w:tcBorders>
            <w:noWrap w:val="0"/>
            <w:tcMar>
              <w:top w:w="16" w:type="dxa"/>
              <w:left w:w="16" w:type="dxa"/>
              <w:right w:w="16" w:type="dxa"/>
            </w:tcMar>
            <w:vAlign w:val="center"/>
          </w:tcPr>
          <w:p>
            <w:pPr>
              <w:pStyle w:val="31"/>
              <w:bidi w:val="0"/>
              <w:rPr>
                <w:rFonts w:hint="default" w:ascii="Times New Roman" w:hAnsi="Times New Roman" w:eastAsia="宋体" w:cs="Times New Roman"/>
                <w:color w:val="auto"/>
              </w:rPr>
            </w:pPr>
            <w:r>
              <w:rPr>
                <w:rFonts w:hint="default" w:ascii="Times New Roman" w:hAnsi="Times New Roman" w:eastAsia="宋体" w:cs="Times New Roman"/>
                <w:color w:val="auto"/>
              </w:rPr>
              <w:t>建设地点</w:t>
            </w:r>
          </w:p>
        </w:tc>
        <w:tc>
          <w:tcPr>
            <w:tcW w:w="7076" w:type="dxa"/>
            <w:gridSpan w:val="3"/>
            <w:tcBorders>
              <w:tl2br w:val="nil"/>
              <w:tr2bl w:val="nil"/>
            </w:tcBorders>
            <w:noWrap w:val="0"/>
            <w:vAlign w:val="center"/>
          </w:tcPr>
          <w:p>
            <w:pPr>
              <w:pStyle w:val="31"/>
              <w:bidi w:val="0"/>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托克逊县S301省道北侧</w:t>
            </w:r>
            <w:r>
              <w:rPr>
                <w:rFonts w:hint="eastAsia" w:cs="Times New Roman"/>
                <w:color w:val="auto"/>
                <w:lang w:val="en-US" w:eastAsia="zh-CN"/>
              </w:rPr>
              <w:t>1.9公里</w:t>
            </w:r>
            <w:r>
              <w:rPr>
                <w:rFonts w:hint="default" w:ascii="Times New Roman" w:hAnsi="Times New Roman" w:eastAsia="宋体" w:cs="Times New Roman"/>
                <w:color w:val="auto"/>
                <w:lang w:val="en-US" w:eastAsia="zh-CN"/>
              </w:rPr>
              <w:t>、中泰天雨煤化工东侧4公里</w:t>
            </w:r>
            <w:r>
              <w:rPr>
                <w:rFonts w:hint="eastAsia" w:cs="Times New Roman"/>
                <w:color w:val="auto"/>
                <w:lang w:val="en-US" w:eastAsia="zh-CN"/>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278" w:type="dxa"/>
            <w:tcBorders>
              <w:tl2br w:val="nil"/>
              <w:tr2bl w:val="nil"/>
            </w:tcBorders>
            <w:noWrap w:val="0"/>
            <w:tcMar>
              <w:top w:w="16" w:type="dxa"/>
              <w:left w:w="16" w:type="dxa"/>
              <w:right w:w="16" w:type="dxa"/>
            </w:tcMar>
            <w:vAlign w:val="center"/>
          </w:tcPr>
          <w:p>
            <w:pPr>
              <w:pStyle w:val="31"/>
              <w:bidi w:val="0"/>
              <w:rPr>
                <w:rFonts w:hint="default" w:ascii="Times New Roman" w:hAnsi="Times New Roman" w:eastAsia="宋体" w:cs="Times New Roman"/>
                <w:color w:val="auto"/>
              </w:rPr>
            </w:pPr>
            <w:r>
              <w:rPr>
                <w:rFonts w:hint="default" w:ascii="Times New Roman" w:hAnsi="Times New Roman" w:eastAsia="宋体" w:cs="Times New Roman"/>
                <w:color w:val="auto"/>
              </w:rPr>
              <w:t>国民经济</w:t>
            </w:r>
          </w:p>
          <w:p>
            <w:pPr>
              <w:pStyle w:val="31"/>
              <w:bidi w:val="0"/>
              <w:rPr>
                <w:rFonts w:hint="default" w:ascii="Times New Roman" w:hAnsi="Times New Roman" w:eastAsia="宋体" w:cs="Times New Roman"/>
                <w:color w:val="auto"/>
              </w:rPr>
            </w:pPr>
            <w:r>
              <w:rPr>
                <w:rFonts w:hint="default" w:ascii="Times New Roman" w:hAnsi="Times New Roman" w:eastAsia="宋体" w:cs="Times New Roman"/>
                <w:color w:val="auto"/>
              </w:rPr>
              <w:t>行业类别</w:t>
            </w:r>
          </w:p>
        </w:tc>
        <w:tc>
          <w:tcPr>
            <w:tcW w:w="2124" w:type="dxa"/>
            <w:tcBorders>
              <w:tl2br w:val="nil"/>
              <w:tr2bl w:val="nil"/>
            </w:tcBorders>
            <w:noWrap w:val="0"/>
            <w:vAlign w:val="center"/>
          </w:tcPr>
          <w:p>
            <w:pPr>
              <w:pStyle w:val="31"/>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Cs w:val="21"/>
              </w:rPr>
              <w:t>水泥制品制造C30</w:t>
            </w:r>
            <w:r>
              <w:rPr>
                <w:rFonts w:hint="default" w:ascii="Times New Roman" w:hAnsi="Times New Roman" w:eastAsia="宋体" w:cs="Times New Roman"/>
                <w:color w:val="auto"/>
                <w:szCs w:val="21"/>
                <w:lang w:val="en-US" w:eastAsia="zh-CN"/>
              </w:rPr>
              <w:t>21</w:t>
            </w:r>
          </w:p>
        </w:tc>
        <w:tc>
          <w:tcPr>
            <w:tcW w:w="1950" w:type="dxa"/>
            <w:tcBorders>
              <w:tl2br w:val="nil"/>
              <w:tr2bl w:val="nil"/>
            </w:tcBorders>
            <w:noWrap w:val="0"/>
            <w:vAlign w:val="center"/>
          </w:tcPr>
          <w:p>
            <w:pPr>
              <w:pStyle w:val="31"/>
              <w:bidi w:val="0"/>
              <w:rPr>
                <w:rFonts w:hint="default" w:ascii="Times New Roman" w:hAnsi="Times New Roman" w:eastAsia="宋体" w:cs="Times New Roman"/>
                <w:color w:val="auto"/>
              </w:rPr>
            </w:pPr>
            <w:bookmarkStart w:id="2" w:name="_Hlk49843745"/>
            <w:r>
              <w:rPr>
                <w:rFonts w:hint="default" w:ascii="Times New Roman" w:hAnsi="Times New Roman" w:eastAsia="宋体" w:cs="Times New Roman"/>
                <w:color w:val="auto"/>
              </w:rPr>
              <w:t>建设项目</w:t>
            </w:r>
          </w:p>
          <w:p>
            <w:pPr>
              <w:pStyle w:val="31"/>
              <w:bidi w:val="0"/>
              <w:rPr>
                <w:rFonts w:hint="default" w:ascii="Times New Roman" w:hAnsi="Times New Roman" w:eastAsia="宋体" w:cs="Times New Roman"/>
                <w:color w:val="auto"/>
              </w:rPr>
            </w:pPr>
            <w:r>
              <w:rPr>
                <w:rFonts w:hint="default" w:ascii="Times New Roman" w:hAnsi="Times New Roman" w:eastAsia="宋体" w:cs="Times New Roman"/>
                <w:color w:val="auto"/>
              </w:rPr>
              <w:t>行业类别</w:t>
            </w:r>
            <w:bookmarkEnd w:id="2"/>
          </w:p>
        </w:tc>
        <w:tc>
          <w:tcPr>
            <w:tcW w:w="300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20" w:leftChars="50" w:right="0" w:rightChars="0" w:firstLine="0" w:firstLineChars="0"/>
              <w:jc w:val="left"/>
              <w:textAlignment w:val="auto"/>
              <w:outlineLvl w:val="9"/>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rPr>
              <w:t>二十七、非金属矿物制品业</w:t>
            </w:r>
            <w:r>
              <w:rPr>
                <w:rFonts w:hint="default" w:ascii="Times New Roman" w:hAnsi="Times New Roman" w:eastAsia="宋体" w:cs="Times New Roman"/>
                <w:color w:val="auto"/>
                <w:szCs w:val="21"/>
                <w:lang w:val="en-US" w:eastAsia="zh-CN"/>
              </w:rPr>
              <w:t>---55、石膏、水泥制品及类</w:t>
            </w:r>
          </w:p>
          <w:p>
            <w:pPr>
              <w:pStyle w:val="31"/>
              <w:bidi w:val="0"/>
              <w:jc w:val="left"/>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Cs w:val="21"/>
                <w:lang w:val="en-US" w:eastAsia="zh-CN"/>
              </w:rPr>
              <w:t>似制品制造302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278" w:type="dxa"/>
            <w:tcBorders>
              <w:tl2br w:val="nil"/>
              <w:tr2bl w:val="nil"/>
            </w:tcBorders>
            <w:noWrap w:val="0"/>
            <w:tcMar>
              <w:top w:w="16" w:type="dxa"/>
              <w:left w:w="16" w:type="dxa"/>
              <w:right w:w="16" w:type="dxa"/>
            </w:tcMar>
            <w:vAlign w:val="center"/>
          </w:tcPr>
          <w:p>
            <w:pPr>
              <w:pStyle w:val="31"/>
              <w:bidi w:val="0"/>
              <w:rPr>
                <w:rFonts w:hint="default" w:ascii="Times New Roman" w:hAnsi="Times New Roman" w:eastAsia="宋体" w:cs="Times New Roman"/>
                <w:color w:val="auto"/>
              </w:rPr>
            </w:pPr>
            <w:r>
              <w:rPr>
                <w:rFonts w:hint="default" w:ascii="Times New Roman" w:hAnsi="Times New Roman" w:eastAsia="宋体" w:cs="Times New Roman"/>
                <w:color w:val="auto"/>
              </w:rPr>
              <w:t>建设性质</w:t>
            </w:r>
          </w:p>
        </w:tc>
        <w:tc>
          <w:tcPr>
            <w:tcW w:w="2124" w:type="dxa"/>
            <w:tcBorders>
              <w:tl2br w:val="nil"/>
              <w:tr2bl w:val="nil"/>
            </w:tcBorders>
            <w:noWrap w:val="0"/>
            <w:vAlign w:val="center"/>
          </w:tcPr>
          <w:p>
            <w:pPr>
              <w:pStyle w:val="31"/>
              <w:bidi w:val="0"/>
              <w:jc w:val="left"/>
              <w:rPr>
                <w:rFonts w:hint="default" w:ascii="Times New Roman" w:hAnsi="Times New Roman" w:eastAsia="宋体" w:cs="Times New Roman"/>
                <w:color w:val="auto"/>
              </w:rPr>
            </w:pPr>
            <w:r>
              <w:rPr>
                <w:rFonts w:hint="eastAsia" w:cs="Times New Roman"/>
                <w:color w:val="auto"/>
                <w:lang w:eastAsia="zh-CN"/>
              </w:rPr>
              <w:t>☑</w:t>
            </w:r>
            <w:r>
              <w:rPr>
                <w:rFonts w:hint="default" w:ascii="Times New Roman" w:hAnsi="Times New Roman" w:eastAsia="宋体" w:cs="Times New Roman"/>
                <w:color w:val="auto"/>
              </w:rPr>
              <w:t>新建（迁建）</w:t>
            </w:r>
          </w:p>
          <w:p>
            <w:pPr>
              <w:pStyle w:val="31"/>
              <w:bidi w:val="0"/>
              <w:jc w:val="left"/>
              <w:rPr>
                <w:rFonts w:hint="default" w:ascii="Times New Roman" w:hAnsi="Times New Roman" w:eastAsia="宋体" w:cs="Times New Roman"/>
                <w:color w:val="auto"/>
              </w:rPr>
            </w:pPr>
            <w:r>
              <w:rPr>
                <w:rFonts w:hint="eastAsia" w:cs="Times New Roman"/>
                <w:color w:val="auto"/>
                <w:lang w:eastAsia="zh-CN"/>
              </w:rPr>
              <w:t>□</w:t>
            </w:r>
            <w:r>
              <w:rPr>
                <w:rFonts w:hint="default" w:ascii="Times New Roman" w:hAnsi="Times New Roman" w:eastAsia="宋体" w:cs="Times New Roman"/>
                <w:color w:val="auto"/>
              </w:rPr>
              <w:t>改建</w:t>
            </w:r>
          </w:p>
          <w:p>
            <w:pPr>
              <w:pStyle w:val="31"/>
              <w:bidi w:val="0"/>
              <w:jc w:val="left"/>
              <w:rPr>
                <w:rFonts w:hint="default" w:ascii="Times New Roman" w:hAnsi="Times New Roman" w:eastAsia="宋体" w:cs="Times New Roman"/>
                <w:color w:val="auto"/>
              </w:rPr>
            </w:pPr>
            <w:r>
              <w:rPr>
                <w:rFonts w:hint="eastAsia" w:cs="Times New Roman"/>
                <w:color w:val="auto"/>
                <w:lang w:eastAsia="zh-CN"/>
              </w:rPr>
              <w:t>□</w:t>
            </w:r>
            <w:r>
              <w:rPr>
                <w:rFonts w:hint="default" w:ascii="Times New Roman" w:hAnsi="Times New Roman" w:eastAsia="宋体" w:cs="Times New Roman"/>
                <w:color w:val="auto"/>
              </w:rPr>
              <w:t>扩建</w:t>
            </w:r>
          </w:p>
          <w:p>
            <w:pPr>
              <w:pStyle w:val="31"/>
              <w:bidi w:val="0"/>
              <w:jc w:val="left"/>
              <w:rPr>
                <w:rFonts w:hint="default" w:ascii="Times New Roman" w:hAnsi="Times New Roman" w:eastAsia="宋体" w:cs="Times New Roman"/>
                <w:color w:val="auto"/>
              </w:rPr>
            </w:pPr>
            <w:r>
              <w:rPr>
                <w:rFonts w:hint="eastAsia" w:cs="Times New Roman"/>
                <w:color w:val="auto"/>
                <w:lang w:eastAsia="zh-CN"/>
              </w:rPr>
              <w:t>□</w:t>
            </w:r>
            <w:r>
              <w:rPr>
                <w:rFonts w:hint="default" w:ascii="Times New Roman" w:hAnsi="Times New Roman" w:eastAsia="宋体" w:cs="Times New Roman"/>
                <w:color w:val="auto"/>
              </w:rPr>
              <w:t>技术改造</w:t>
            </w:r>
          </w:p>
        </w:tc>
        <w:tc>
          <w:tcPr>
            <w:tcW w:w="1950" w:type="dxa"/>
            <w:tcBorders>
              <w:tl2br w:val="nil"/>
              <w:tr2bl w:val="nil"/>
            </w:tcBorders>
            <w:noWrap w:val="0"/>
            <w:vAlign w:val="center"/>
          </w:tcPr>
          <w:p>
            <w:pPr>
              <w:pStyle w:val="31"/>
              <w:bidi w:val="0"/>
              <w:rPr>
                <w:rFonts w:hint="default" w:ascii="Times New Roman" w:hAnsi="Times New Roman" w:eastAsia="宋体" w:cs="Times New Roman"/>
                <w:color w:val="auto"/>
              </w:rPr>
            </w:pPr>
            <w:r>
              <w:rPr>
                <w:rFonts w:hint="default" w:ascii="Times New Roman" w:hAnsi="Times New Roman" w:eastAsia="宋体" w:cs="Times New Roman"/>
                <w:color w:val="auto"/>
              </w:rPr>
              <w:t>建设项目</w:t>
            </w:r>
          </w:p>
          <w:p>
            <w:pPr>
              <w:pStyle w:val="31"/>
              <w:bidi w:val="0"/>
              <w:rPr>
                <w:rFonts w:hint="default" w:ascii="Times New Roman" w:hAnsi="Times New Roman" w:eastAsia="宋体" w:cs="Times New Roman"/>
                <w:color w:val="auto"/>
              </w:rPr>
            </w:pPr>
            <w:r>
              <w:rPr>
                <w:rFonts w:hint="default" w:ascii="Times New Roman" w:hAnsi="Times New Roman" w:eastAsia="宋体" w:cs="Times New Roman"/>
                <w:color w:val="auto"/>
              </w:rPr>
              <w:t>申报情形</w:t>
            </w:r>
          </w:p>
        </w:tc>
        <w:tc>
          <w:tcPr>
            <w:tcW w:w="3002" w:type="dxa"/>
            <w:tcBorders>
              <w:tl2br w:val="nil"/>
              <w:tr2bl w:val="nil"/>
            </w:tcBorders>
            <w:noWrap w:val="0"/>
            <w:vAlign w:val="center"/>
          </w:tcPr>
          <w:p>
            <w:pPr>
              <w:pStyle w:val="31"/>
              <w:bidi w:val="0"/>
              <w:jc w:val="left"/>
              <w:rPr>
                <w:rFonts w:hint="default" w:ascii="Times New Roman" w:hAnsi="Times New Roman" w:eastAsia="宋体" w:cs="Times New Roman"/>
                <w:color w:val="auto"/>
              </w:rPr>
            </w:pPr>
            <w:r>
              <w:rPr>
                <w:rFonts w:hint="eastAsia" w:cs="Times New Roman"/>
                <w:color w:val="auto"/>
                <w:lang w:eastAsia="zh-CN"/>
              </w:rPr>
              <w:t>☑</w:t>
            </w:r>
            <w:r>
              <w:rPr>
                <w:rFonts w:hint="default" w:ascii="Times New Roman" w:hAnsi="Times New Roman" w:eastAsia="宋体" w:cs="Times New Roman"/>
                <w:color w:val="auto"/>
              </w:rPr>
              <w:t>首次申报项目</w:t>
            </w:r>
          </w:p>
          <w:p>
            <w:pPr>
              <w:pStyle w:val="31"/>
              <w:bidi w:val="0"/>
              <w:jc w:val="left"/>
              <w:rPr>
                <w:rFonts w:hint="default" w:ascii="Times New Roman" w:hAnsi="Times New Roman" w:eastAsia="宋体" w:cs="Times New Roman"/>
                <w:color w:val="auto"/>
              </w:rPr>
            </w:pPr>
            <w:r>
              <w:rPr>
                <w:rFonts w:hint="eastAsia" w:cs="Times New Roman"/>
                <w:color w:val="auto"/>
                <w:lang w:eastAsia="zh-CN"/>
              </w:rPr>
              <w:t>□</w:t>
            </w:r>
            <w:r>
              <w:rPr>
                <w:rFonts w:hint="default" w:ascii="Times New Roman" w:hAnsi="Times New Roman" w:eastAsia="宋体" w:cs="Times New Roman"/>
                <w:color w:val="auto"/>
              </w:rPr>
              <w:t>不予批准后再次申报项目</w:t>
            </w:r>
          </w:p>
          <w:p>
            <w:pPr>
              <w:pStyle w:val="31"/>
              <w:bidi w:val="0"/>
              <w:jc w:val="left"/>
              <w:rPr>
                <w:rFonts w:hint="default" w:ascii="Times New Roman" w:hAnsi="Times New Roman" w:eastAsia="宋体" w:cs="Times New Roman"/>
                <w:color w:val="auto"/>
              </w:rPr>
            </w:pPr>
            <w:r>
              <w:rPr>
                <w:rFonts w:hint="eastAsia" w:cs="Times New Roman"/>
                <w:color w:val="auto"/>
                <w:lang w:eastAsia="zh-CN"/>
              </w:rPr>
              <w:t>□</w:t>
            </w:r>
            <w:r>
              <w:rPr>
                <w:rFonts w:hint="default" w:ascii="Times New Roman" w:hAnsi="Times New Roman" w:eastAsia="宋体" w:cs="Times New Roman"/>
                <w:color w:val="auto"/>
              </w:rPr>
              <w:t xml:space="preserve">超五年重新审核项目     </w:t>
            </w:r>
          </w:p>
          <w:p>
            <w:pPr>
              <w:pStyle w:val="31"/>
              <w:bidi w:val="0"/>
              <w:jc w:val="left"/>
              <w:rPr>
                <w:rFonts w:hint="default" w:ascii="Times New Roman" w:hAnsi="Times New Roman" w:eastAsia="宋体" w:cs="Times New Roman"/>
                <w:color w:val="auto"/>
              </w:rPr>
            </w:pPr>
            <w:r>
              <w:rPr>
                <w:rFonts w:hint="eastAsia" w:cs="Times New Roman"/>
                <w:color w:val="auto"/>
                <w:lang w:eastAsia="zh-CN"/>
              </w:rPr>
              <w:t>□</w:t>
            </w:r>
            <w:r>
              <w:rPr>
                <w:rFonts w:hint="default" w:ascii="Times New Roman" w:hAnsi="Times New Roman" w:eastAsia="宋体" w:cs="Times New Roman"/>
                <w:color w:val="auto"/>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278" w:type="dxa"/>
            <w:tcBorders>
              <w:tl2br w:val="nil"/>
              <w:tr2bl w:val="nil"/>
            </w:tcBorders>
            <w:noWrap w:val="0"/>
            <w:tcMar>
              <w:top w:w="16" w:type="dxa"/>
              <w:left w:w="16" w:type="dxa"/>
              <w:right w:w="16" w:type="dxa"/>
            </w:tcMar>
            <w:vAlign w:val="center"/>
          </w:tcPr>
          <w:p>
            <w:pPr>
              <w:pStyle w:val="31"/>
              <w:bidi w:val="0"/>
              <w:rPr>
                <w:rFonts w:hint="default" w:ascii="Times New Roman" w:hAnsi="Times New Roman" w:eastAsia="宋体" w:cs="Times New Roman"/>
                <w:color w:val="auto"/>
              </w:rPr>
            </w:pPr>
            <w:r>
              <w:rPr>
                <w:rFonts w:hint="default" w:ascii="Times New Roman" w:hAnsi="Times New Roman" w:eastAsia="宋体" w:cs="Times New Roman"/>
                <w:color w:val="auto"/>
              </w:rPr>
              <w:t>项目审批（核准/</w:t>
            </w:r>
          </w:p>
          <w:p>
            <w:pPr>
              <w:pStyle w:val="31"/>
              <w:bidi w:val="0"/>
              <w:rPr>
                <w:rFonts w:hint="default" w:ascii="Times New Roman" w:hAnsi="Times New Roman" w:eastAsia="宋体" w:cs="Times New Roman"/>
                <w:color w:val="auto"/>
              </w:rPr>
            </w:pPr>
            <w:r>
              <w:rPr>
                <w:rFonts w:hint="default" w:ascii="Times New Roman" w:hAnsi="Times New Roman" w:eastAsia="宋体" w:cs="Times New Roman"/>
                <w:color w:val="auto"/>
              </w:rPr>
              <w:t>备案）部门（选填）</w:t>
            </w:r>
          </w:p>
        </w:tc>
        <w:tc>
          <w:tcPr>
            <w:tcW w:w="2124" w:type="dxa"/>
            <w:tcBorders>
              <w:tl2br w:val="nil"/>
              <w:tr2bl w:val="nil"/>
            </w:tcBorders>
            <w:noWrap w:val="0"/>
            <w:vAlign w:val="center"/>
          </w:tcPr>
          <w:p>
            <w:pPr>
              <w:pStyle w:val="31"/>
              <w:bidi w:val="0"/>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托克逊县发展和改革委员会</w:t>
            </w:r>
          </w:p>
        </w:tc>
        <w:tc>
          <w:tcPr>
            <w:tcW w:w="1950" w:type="dxa"/>
            <w:tcBorders>
              <w:tl2br w:val="nil"/>
              <w:tr2bl w:val="nil"/>
            </w:tcBorders>
            <w:noWrap w:val="0"/>
            <w:vAlign w:val="center"/>
          </w:tcPr>
          <w:p>
            <w:pPr>
              <w:pStyle w:val="31"/>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项目审批（核准/</w:t>
            </w:r>
          </w:p>
          <w:p>
            <w:pPr>
              <w:pStyle w:val="31"/>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备案）文号（选填）</w:t>
            </w:r>
          </w:p>
        </w:tc>
        <w:tc>
          <w:tcPr>
            <w:tcW w:w="3002" w:type="dxa"/>
            <w:tcBorders>
              <w:tl2br w:val="nil"/>
              <w:tr2bl w:val="nil"/>
            </w:tcBorders>
            <w:noWrap w:val="0"/>
            <w:vAlign w:val="center"/>
          </w:tcPr>
          <w:p>
            <w:pPr>
              <w:pStyle w:val="31"/>
              <w:bidi w:val="0"/>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2406141378650400000037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78" w:type="dxa"/>
            <w:tcBorders>
              <w:tl2br w:val="nil"/>
              <w:tr2bl w:val="nil"/>
            </w:tcBorders>
            <w:noWrap w:val="0"/>
            <w:tcMar>
              <w:top w:w="16" w:type="dxa"/>
              <w:left w:w="16" w:type="dxa"/>
              <w:right w:w="16" w:type="dxa"/>
            </w:tcMar>
            <w:vAlign w:val="center"/>
          </w:tcPr>
          <w:p>
            <w:pPr>
              <w:pStyle w:val="31"/>
              <w:bidi w:val="0"/>
              <w:rPr>
                <w:rFonts w:hint="default" w:ascii="Times New Roman" w:hAnsi="Times New Roman" w:eastAsia="宋体" w:cs="Times New Roman"/>
                <w:color w:val="auto"/>
              </w:rPr>
            </w:pPr>
            <w:r>
              <w:rPr>
                <w:rFonts w:hint="default" w:ascii="Times New Roman" w:hAnsi="Times New Roman" w:eastAsia="宋体" w:cs="Times New Roman"/>
                <w:color w:val="auto"/>
              </w:rPr>
              <w:t>总投资（万元）</w:t>
            </w:r>
          </w:p>
        </w:tc>
        <w:tc>
          <w:tcPr>
            <w:tcW w:w="2124" w:type="dxa"/>
            <w:tcBorders>
              <w:tl2br w:val="nil"/>
              <w:tr2bl w:val="nil"/>
            </w:tcBorders>
            <w:noWrap w:val="0"/>
            <w:vAlign w:val="center"/>
          </w:tcPr>
          <w:p>
            <w:pPr>
              <w:pStyle w:val="31"/>
              <w:bidi w:val="0"/>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2500.00</w:t>
            </w:r>
          </w:p>
        </w:tc>
        <w:tc>
          <w:tcPr>
            <w:tcW w:w="1950" w:type="dxa"/>
            <w:tcBorders>
              <w:tl2br w:val="nil"/>
              <w:tr2bl w:val="nil"/>
            </w:tcBorders>
            <w:noWrap w:val="0"/>
            <w:tcMar>
              <w:top w:w="16" w:type="dxa"/>
              <w:left w:w="16" w:type="dxa"/>
              <w:right w:w="16" w:type="dxa"/>
            </w:tcMar>
            <w:vAlign w:val="center"/>
          </w:tcPr>
          <w:p>
            <w:pPr>
              <w:pStyle w:val="31"/>
              <w:bidi w:val="0"/>
              <w:rPr>
                <w:rFonts w:hint="default" w:ascii="Times New Roman" w:hAnsi="Times New Roman" w:eastAsia="宋体" w:cs="Times New Roman"/>
                <w:color w:val="auto"/>
                <w:highlight w:val="none"/>
              </w:rPr>
            </w:pPr>
            <w:r>
              <w:rPr>
                <w:rFonts w:hint="eastAsia" w:cs="Times New Roman"/>
                <w:color w:val="auto"/>
                <w:highlight w:val="none"/>
                <w:lang w:val="en-US" w:eastAsia="zh-CN"/>
              </w:rPr>
              <w:t xml:space="preserve"> </w:t>
            </w:r>
            <w:r>
              <w:rPr>
                <w:rFonts w:hint="default" w:ascii="Times New Roman" w:hAnsi="Times New Roman" w:eastAsia="宋体" w:cs="Times New Roman"/>
                <w:color w:val="auto"/>
                <w:highlight w:val="none"/>
              </w:rPr>
              <w:t>环保投资（万元）</w:t>
            </w:r>
          </w:p>
        </w:tc>
        <w:tc>
          <w:tcPr>
            <w:tcW w:w="3002" w:type="dxa"/>
            <w:tcBorders>
              <w:tl2br w:val="nil"/>
              <w:tr2bl w:val="nil"/>
            </w:tcBorders>
            <w:noWrap w:val="0"/>
            <w:vAlign w:val="center"/>
          </w:tcPr>
          <w:p>
            <w:pPr>
              <w:pStyle w:val="31"/>
              <w:bidi w:val="0"/>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78" w:type="dxa"/>
            <w:tcBorders>
              <w:tl2br w:val="nil"/>
              <w:tr2bl w:val="nil"/>
            </w:tcBorders>
            <w:noWrap w:val="0"/>
            <w:tcMar>
              <w:top w:w="16" w:type="dxa"/>
              <w:left w:w="16" w:type="dxa"/>
              <w:right w:w="16" w:type="dxa"/>
            </w:tcMar>
            <w:vAlign w:val="center"/>
          </w:tcPr>
          <w:p>
            <w:pPr>
              <w:pStyle w:val="31"/>
              <w:bidi w:val="0"/>
              <w:rPr>
                <w:rFonts w:hint="default" w:ascii="Times New Roman" w:hAnsi="Times New Roman" w:eastAsia="宋体" w:cs="Times New Roman"/>
                <w:color w:val="auto"/>
              </w:rPr>
            </w:pPr>
            <w:r>
              <w:rPr>
                <w:rFonts w:hint="default" w:ascii="Times New Roman" w:hAnsi="Times New Roman" w:eastAsia="宋体" w:cs="Times New Roman"/>
                <w:color w:val="auto"/>
              </w:rPr>
              <w:t>环保投资占比（%）</w:t>
            </w:r>
          </w:p>
        </w:tc>
        <w:tc>
          <w:tcPr>
            <w:tcW w:w="2124" w:type="dxa"/>
            <w:tcBorders>
              <w:tl2br w:val="nil"/>
              <w:tr2bl w:val="nil"/>
            </w:tcBorders>
            <w:noWrap w:val="0"/>
            <w:vAlign w:val="center"/>
          </w:tcPr>
          <w:p>
            <w:pPr>
              <w:pStyle w:val="31"/>
              <w:bidi w:val="0"/>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3.92</w:t>
            </w:r>
          </w:p>
        </w:tc>
        <w:tc>
          <w:tcPr>
            <w:tcW w:w="1950" w:type="dxa"/>
            <w:tcBorders>
              <w:tl2br w:val="nil"/>
              <w:tr2bl w:val="nil"/>
            </w:tcBorders>
            <w:noWrap w:val="0"/>
            <w:tcMar>
              <w:top w:w="16" w:type="dxa"/>
              <w:left w:w="16" w:type="dxa"/>
              <w:right w:w="16" w:type="dxa"/>
            </w:tcMar>
            <w:vAlign w:val="center"/>
          </w:tcPr>
          <w:p>
            <w:pPr>
              <w:pStyle w:val="31"/>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施工工期</w:t>
            </w:r>
          </w:p>
        </w:tc>
        <w:tc>
          <w:tcPr>
            <w:tcW w:w="3002" w:type="dxa"/>
            <w:tcBorders>
              <w:tl2br w:val="nil"/>
              <w:tr2bl w:val="nil"/>
            </w:tcBorders>
            <w:noWrap w:val="0"/>
            <w:vAlign w:val="center"/>
          </w:tcPr>
          <w:p>
            <w:pPr>
              <w:pStyle w:val="31"/>
              <w:bidi w:val="0"/>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78" w:type="dxa"/>
            <w:tcBorders>
              <w:tl2br w:val="nil"/>
              <w:tr2bl w:val="nil"/>
            </w:tcBorders>
            <w:noWrap w:val="0"/>
            <w:tcMar>
              <w:top w:w="16" w:type="dxa"/>
              <w:left w:w="16" w:type="dxa"/>
              <w:right w:w="16" w:type="dxa"/>
            </w:tcMar>
            <w:vAlign w:val="center"/>
          </w:tcPr>
          <w:p>
            <w:pPr>
              <w:pStyle w:val="31"/>
              <w:bidi w:val="0"/>
              <w:rPr>
                <w:rFonts w:hint="default" w:ascii="Times New Roman" w:hAnsi="Times New Roman" w:eastAsia="宋体" w:cs="Times New Roman"/>
                <w:color w:val="auto"/>
              </w:rPr>
            </w:pPr>
            <w:r>
              <w:rPr>
                <w:rFonts w:hint="default" w:ascii="Times New Roman" w:hAnsi="Times New Roman" w:eastAsia="宋体" w:cs="Times New Roman"/>
                <w:color w:val="auto"/>
              </w:rPr>
              <w:t>是否开工建设</w:t>
            </w:r>
          </w:p>
        </w:tc>
        <w:tc>
          <w:tcPr>
            <w:tcW w:w="2124" w:type="dxa"/>
            <w:tcBorders>
              <w:tl2br w:val="nil"/>
              <w:tr2bl w:val="nil"/>
            </w:tcBorders>
            <w:noWrap w:val="0"/>
            <w:vAlign w:val="center"/>
          </w:tcPr>
          <w:p>
            <w:pPr>
              <w:pStyle w:val="31"/>
              <w:bidi w:val="0"/>
              <w:jc w:val="left"/>
              <w:rPr>
                <w:rFonts w:hint="default" w:ascii="Times New Roman" w:hAnsi="Times New Roman" w:eastAsia="宋体" w:cs="Times New Roman"/>
                <w:color w:val="auto"/>
              </w:rPr>
            </w:pPr>
            <w:r>
              <w:rPr>
                <w:rFonts w:hint="eastAsia" w:cs="Times New Roman"/>
                <w:color w:val="auto"/>
                <w:lang w:eastAsia="zh-CN"/>
              </w:rPr>
              <w:t>☑</w:t>
            </w:r>
            <w:r>
              <w:rPr>
                <w:rFonts w:hint="default" w:ascii="Times New Roman" w:hAnsi="Times New Roman" w:eastAsia="宋体" w:cs="Times New Roman"/>
                <w:color w:val="auto"/>
              </w:rPr>
              <w:t>否</w:t>
            </w:r>
          </w:p>
          <w:p>
            <w:pPr>
              <w:pStyle w:val="31"/>
              <w:bidi w:val="0"/>
              <w:jc w:val="left"/>
              <w:rPr>
                <w:rFonts w:hint="default" w:ascii="Times New Roman" w:hAnsi="Times New Roman" w:eastAsia="宋体" w:cs="Times New Roman"/>
                <w:i/>
                <w:iCs/>
                <w:color w:val="auto"/>
                <w:u w:val="single"/>
                <w:lang w:val="en-US"/>
              </w:rPr>
            </w:pPr>
            <w:r>
              <w:rPr>
                <w:rFonts w:hint="eastAsia" w:cs="Times New Roman"/>
                <w:color w:val="auto"/>
                <w:lang w:eastAsia="zh-CN"/>
              </w:rPr>
              <w:t>□</w:t>
            </w:r>
            <w:r>
              <w:rPr>
                <w:rFonts w:hint="default" w:ascii="Times New Roman" w:hAnsi="Times New Roman" w:eastAsia="宋体" w:cs="Times New Roman"/>
                <w:color w:val="auto"/>
              </w:rPr>
              <w:t>是</w:t>
            </w:r>
            <w:r>
              <w:rPr>
                <w:rFonts w:hint="eastAsia" w:cs="Times New Roman"/>
                <w:color w:val="auto"/>
                <w:lang w:eastAsia="zh-CN"/>
              </w:rPr>
              <w:t>：</w:t>
            </w:r>
            <w:r>
              <w:rPr>
                <w:rFonts w:hint="eastAsia" w:cs="Times New Roman"/>
                <w:color w:val="auto"/>
                <w:u w:val="single"/>
                <w:lang w:val="en-US" w:eastAsia="zh-CN"/>
              </w:rPr>
              <w:t xml:space="preserve">          </w:t>
            </w:r>
          </w:p>
        </w:tc>
        <w:tc>
          <w:tcPr>
            <w:tcW w:w="1950" w:type="dxa"/>
            <w:tcBorders>
              <w:tl2br w:val="nil"/>
              <w:tr2bl w:val="nil"/>
            </w:tcBorders>
            <w:noWrap w:val="0"/>
            <w:tcMar>
              <w:top w:w="16" w:type="dxa"/>
              <w:left w:w="16" w:type="dxa"/>
              <w:right w:w="16" w:type="dxa"/>
            </w:tcMar>
            <w:vAlign w:val="center"/>
          </w:tcPr>
          <w:p>
            <w:pPr>
              <w:pStyle w:val="31"/>
              <w:bidi w:val="0"/>
              <w:rPr>
                <w:rFonts w:hint="default" w:ascii="Times New Roman" w:hAnsi="Times New Roman" w:eastAsia="宋体" w:cs="Times New Roman"/>
                <w:color w:val="auto"/>
              </w:rPr>
            </w:pPr>
            <w:r>
              <w:rPr>
                <w:rFonts w:hint="default" w:ascii="Times New Roman" w:hAnsi="Times New Roman" w:eastAsia="宋体" w:cs="Times New Roman"/>
                <w:color w:val="auto"/>
              </w:rPr>
              <w:t>用地</w:t>
            </w:r>
          </w:p>
          <w:p>
            <w:pPr>
              <w:pStyle w:val="31"/>
              <w:bidi w:val="0"/>
              <w:rPr>
                <w:rFonts w:hint="default" w:ascii="Times New Roman" w:hAnsi="Times New Roman" w:eastAsia="宋体" w:cs="Times New Roman"/>
                <w:color w:val="auto"/>
              </w:rPr>
            </w:pPr>
            <w:r>
              <w:rPr>
                <w:rFonts w:hint="default" w:ascii="Times New Roman" w:hAnsi="Times New Roman" w:eastAsia="宋体" w:cs="Times New Roman"/>
                <w:color w:val="auto"/>
              </w:rPr>
              <w:t>面积（</w:t>
            </w:r>
            <w:r>
              <w:rPr>
                <w:rFonts w:hint="default" w:ascii="Times New Roman" w:hAnsi="Times New Roman" w:eastAsia="宋体" w:cs="Times New Roman"/>
                <w:color w:val="auto"/>
                <w:lang w:eastAsia="zh-CN"/>
              </w:rPr>
              <w:t>m²</w:t>
            </w:r>
            <w:r>
              <w:rPr>
                <w:rFonts w:hint="default" w:ascii="Times New Roman" w:hAnsi="Times New Roman" w:eastAsia="宋体" w:cs="Times New Roman"/>
                <w:color w:val="auto"/>
              </w:rPr>
              <w:t>）</w:t>
            </w:r>
          </w:p>
        </w:tc>
        <w:tc>
          <w:tcPr>
            <w:tcW w:w="3002" w:type="dxa"/>
            <w:tcBorders>
              <w:tl2br w:val="nil"/>
              <w:tr2bl w:val="nil"/>
            </w:tcBorders>
            <w:noWrap w:val="0"/>
            <w:vAlign w:val="center"/>
          </w:tcPr>
          <w:p>
            <w:pPr>
              <w:pStyle w:val="31"/>
              <w:bidi w:val="0"/>
              <w:rPr>
                <w:rFonts w:hint="default" w:ascii="Times New Roman" w:hAnsi="Times New Roman" w:eastAsia="宋体" w:cs="Times New Roman"/>
                <w:color w:val="auto"/>
                <w:lang w:val="en-US" w:eastAsia="zh-CN"/>
              </w:rPr>
            </w:pPr>
            <w:r>
              <w:rPr>
                <w:rFonts w:hint="eastAsia" w:cs="Times New Roman"/>
                <w:color w:val="auto"/>
                <w:lang w:val="en-US" w:eastAsia="zh-CN"/>
              </w:rPr>
              <w:t>41563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2278" w:type="dxa"/>
            <w:tcBorders>
              <w:tl2br w:val="nil"/>
              <w:tr2bl w:val="nil"/>
            </w:tcBorders>
            <w:noWrap w:val="0"/>
            <w:vAlign w:val="center"/>
          </w:tcPr>
          <w:p>
            <w:pPr>
              <w:pStyle w:val="31"/>
              <w:bidi w:val="0"/>
              <w:rPr>
                <w:rFonts w:hint="default" w:ascii="Times New Roman" w:hAnsi="Times New Roman" w:eastAsia="宋体" w:cs="Times New Roman"/>
                <w:color w:val="auto"/>
              </w:rPr>
            </w:pPr>
            <w:r>
              <w:rPr>
                <w:rFonts w:hint="default" w:ascii="Times New Roman" w:hAnsi="Times New Roman" w:eastAsia="宋体" w:cs="Times New Roman"/>
                <w:color w:val="auto"/>
              </w:rPr>
              <w:t>专项评价设置情况</w:t>
            </w:r>
          </w:p>
        </w:tc>
        <w:tc>
          <w:tcPr>
            <w:tcW w:w="7076" w:type="dxa"/>
            <w:gridSpan w:val="3"/>
            <w:tcBorders>
              <w:tl2br w:val="nil"/>
              <w:tr2bl w:val="nil"/>
            </w:tcBorders>
            <w:noWrap w:val="0"/>
            <w:vAlign w:val="center"/>
          </w:tcPr>
          <w:p>
            <w:pPr>
              <w:pStyle w:val="31"/>
              <w:bidi w:val="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2278" w:type="dxa"/>
            <w:tcBorders>
              <w:tl2br w:val="nil"/>
              <w:tr2bl w:val="nil"/>
            </w:tcBorders>
            <w:noWrap w:val="0"/>
            <w:vAlign w:val="center"/>
          </w:tcPr>
          <w:p>
            <w:pPr>
              <w:pStyle w:val="31"/>
              <w:bidi w:val="0"/>
              <w:rPr>
                <w:rFonts w:hint="default" w:ascii="Times New Roman" w:hAnsi="Times New Roman" w:eastAsia="宋体" w:cs="Times New Roman"/>
                <w:color w:val="auto"/>
              </w:rPr>
            </w:pPr>
            <w:r>
              <w:rPr>
                <w:rFonts w:hint="default" w:ascii="Times New Roman" w:hAnsi="Times New Roman" w:eastAsia="宋体" w:cs="Times New Roman"/>
                <w:color w:val="auto"/>
              </w:rPr>
              <w:t>规划情况</w:t>
            </w:r>
          </w:p>
        </w:tc>
        <w:tc>
          <w:tcPr>
            <w:tcW w:w="7076" w:type="dxa"/>
            <w:gridSpan w:val="3"/>
            <w:tcBorders>
              <w:tl2br w:val="nil"/>
              <w:tr2bl w:val="nil"/>
            </w:tcBorders>
            <w:noWrap w:val="0"/>
            <w:vAlign w:val="center"/>
          </w:tcPr>
          <w:p>
            <w:pPr>
              <w:pStyle w:val="31"/>
              <w:bidi w:val="0"/>
              <w:spacing w:line="360" w:lineRule="auto"/>
              <w:jc w:val="center"/>
              <w:rPr>
                <w:rFonts w:hint="default" w:ascii="Times New Roman" w:hAnsi="Times New Roman" w:eastAsia="宋体" w:cs="Times New Roman"/>
                <w:color w:val="auto"/>
                <w:lang w:val="en-US" w:eastAsia="zh-CN"/>
              </w:rPr>
            </w:pPr>
            <w:r>
              <w:rPr>
                <w:rFonts w:hint="eastAsia" w:cs="Times New Roman"/>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78" w:type="dxa"/>
            <w:tcBorders>
              <w:tl2br w:val="nil"/>
              <w:tr2bl w:val="nil"/>
            </w:tcBorders>
            <w:noWrap w:val="0"/>
            <w:vAlign w:val="center"/>
          </w:tcPr>
          <w:p>
            <w:pPr>
              <w:pStyle w:val="31"/>
              <w:bidi w:val="0"/>
              <w:rPr>
                <w:rFonts w:hint="default" w:ascii="Times New Roman" w:hAnsi="Times New Roman" w:eastAsia="宋体" w:cs="Times New Roman"/>
                <w:color w:val="auto"/>
              </w:rPr>
            </w:pPr>
            <w:r>
              <w:rPr>
                <w:rFonts w:hint="default" w:ascii="Times New Roman" w:hAnsi="Times New Roman" w:eastAsia="宋体" w:cs="Times New Roman"/>
                <w:color w:val="auto"/>
              </w:rPr>
              <w:t>规划环境影响</w:t>
            </w:r>
          </w:p>
          <w:p>
            <w:pPr>
              <w:pStyle w:val="31"/>
              <w:bidi w:val="0"/>
              <w:rPr>
                <w:rFonts w:hint="default" w:ascii="Times New Roman" w:hAnsi="Times New Roman" w:eastAsia="宋体" w:cs="Times New Roman"/>
                <w:color w:val="auto"/>
              </w:rPr>
            </w:pPr>
            <w:r>
              <w:rPr>
                <w:rFonts w:hint="default" w:ascii="Times New Roman" w:hAnsi="Times New Roman" w:eastAsia="宋体" w:cs="Times New Roman"/>
                <w:color w:val="auto"/>
              </w:rPr>
              <w:t>评价情况</w:t>
            </w:r>
          </w:p>
        </w:tc>
        <w:tc>
          <w:tcPr>
            <w:tcW w:w="7076" w:type="dxa"/>
            <w:gridSpan w:val="3"/>
            <w:tcBorders>
              <w:tl2br w:val="nil"/>
              <w:tr2bl w:val="nil"/>
            </w:tcBorders>
            <w:noWrap w:val="0"/>
            <w:vAlign w:val="center"/>
          </w:tcPr>
          <w:p>
            <w:pPr>
              <w:widowControl/>
              <w:spacing w:line="360" w:lineRule="auto"/>
              <w:ind w:left="0" w:leftChars="0" w:firstLine="0" w:firstLineChars="0"/>
              <w:jc w:val="center"/>
              <w:rPr>
                <w:rFonts w:hint="default" w:ascii="Times New Roman" w:hAnsi="Times New Roman" w:eastAsia="宋体" w:cs="Times New Roman"/>
                <w:color w:val="auto"/>
                <w:lang w:val="en-US" w:eastAsia="zh-CN"/>
              </w:rPr>
            </w:pPr>
            <w:r>
              <w:rPr>
                <w:rFonts w:hint="eastAsia" w:cs="Times New Roman"/>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2278" w:type="dxa"/>
            <w:tcBorders>
              <w:tl2br w:val="nil"/>
              <w:tr2bl w:val="nil"/>
            </w:tcBorders>
            <w:noWrap w:val="0"/>
            <w:vAlign w:val="center"/>
          </w:tcPr>
          <w:p>
            <w:pPr>
              <w:pStyle w:val="31"/>
              <w:bidi w:val="0"/>
              <w:rPr>
                <w:rFonts w:hint="default" w:ascii="Times New Roman" w:hAnsi="Times New Roman" w:eastAsia="宋体" w:cs="Times New Roman"/>
                <w:color w:val="auto"/>
              </w:rPr>
            </w:pPr>
            <w:r>
              <w:rPr>
                <w:rFonts w:hint="default" w:ascii="Times New Roman" w:hAnsi="Times New Roman" w:eastAsia="宋体" w:cs="Times New Roman"/>
                <w:color w:val="auto"/>
              </w:rPr>
              <w:t>规划及规划环境影响评价符合性分析</w:t>
            </w:r>
          </w:p>
        </w:tc>
        <w:tc>
          <w:tcPr>
            <w:tcW w:w="7076"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5" w:hRule="atLeast"/>
          <w:jc w:val="center"/>
        </w:trPr>
        <w:tc>
          <w:tcPr>
            <w:tcW w:w="2278" w:type="dxa"/>
            <w:tcBorders>
              <w:tl2br w:val="nil"/>
              <w:tr2bl w:val="nil"/>
            </w:tcBorders>
            <w:noWrap w:val="0"/>
            <w:vAlign w:val="center"/>
          </w:tcPr>
          <w:p>
            <w:pPr>
              <w:pStyle w:val="31"/>
              <w:bidi w:val="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其他符合性分析</w:t>
            </w:r>
          </w:p>
        </w:tc>
        <w:tc>
          <w:tcPr>
            <w:tcW w:w="7076" w:type="dxa"/>
            <w:gridSpan w:val="3"/>
            <w:tcBorders>
              <w:tl2br w:val="nil"/>
              <w:tr2bl w:val="nil"/>
            </w:tcBorders>
            <w:noWrap w:val="0"/>
            <w:vAlign w:val="center"/>
          </w:tcPr>
          <w:p>
            <w:pPr>
              <w:numPr>
                <w:ilvl w:val="0"/>
                <w:numId w:val="0"/>
              </w:numPr>
              <w:bidi w:val="0"/>
              <w:ind w:leftChars="0"/>
              <w:rPr>
                <w:rFonts w:hint="default" w:ascii="Times New Roman" w:hAnsi="Times New Roman" w:eastAsia="宋体" w:cs="Times New Roman"/>
                <w:b/>
                <w:bCs/>
                <w:color w:val="auto"/>
                <w:lang w:val="en-US" w:eastAsia="zh-CN"/>
              </w:rPr>
            </w:pPr>
            <w:r>
              <w:rPr>
                <w:rFonts w:hint="eastAsia" w:cs="Times New Roman"/>
                <w:b/>
                <w:bCs/>
                <w:color w:val="auto"/>
                <w:lang w:val="en-US" w:eastAsia="zh-CN"/>
              </w:rPr>
              <w:t>1.</w:t>
            </w:r>
            <w:r>
              <w:rPr>
                <w:rFonts w:hint="default" w:ascii="Times New Roman" w:hAnsi="Times New Roman" w:eastAsia="宋体" w:cs="Times New Roman"/>
                <w:b/>
                <w:bCs/>
                <w:color w:val="auto"/>
                <w:lang w:val="en-US" w:eastAsia="zh-CN"/>
              </w:rPr>
              <w:t>产业政策符合性</w:t>
            </w:r>
          </w:p>
          <w:p>
            <w:pPr>
              <w:keepNext w:val="0"/>
              <w:keepLines w:val="0"/>
              <w:suppressLineNumbers w:val="0"/>
              <w:spacing w:before="0" w:beforeAutospacing="0" w:after="0" w:afterAutospacing="0" w:line="360" w:lineRule="auto"/>
              <w:ind w:left="0" w:right="0" w:firstLine="480" w:firstLineChars="200"/>
              <w:outlineLvl w:val="1"/>
              <w:rPr>
                <w:rFonts w:hint="default" w:ascii="Times New Roman" w:hAnsi="Times New Roman" w:eastAsia="宋体" w:cs="Times New Roman"/>
                <w:color w:val="auto"/>
                <w:sz w:val="24"/>
                <w:szCs w:val="20"/>
                <w:lang w:val="en-US" w:eastAsia="zh-CN"/>
              </w:rPr>
            </w:pPr>
            <w:r>
              <w:rPr>
                <w:rFonts w:hint="default" w:ascii="Times New Roman" w:hAnsi="Times New Roman" w:eastAsia="宋体" w:cs="Times New Roman"/>
                <w:color w:val="auto"/>
                <w:sz w:val="24"/>
                <w:szCs w:val="20"/>
              </w:rPr>
              <w:t>本项目为混凝土</w:t>
            </w:r>
            <w:r>
              <w:rPr>
                <w:rFonts w:hint="eastAsia" w:cs="Times New Roman"/>
                <w:color w:val="auto"/>
                <w:sz w:val="24"/>
                <w:szCs w:val="20"/>
                <w:lang w:eastAsia="zh-CN"/>
              </w:rPr>
              <w:t>搅拌</w:t>
            </w:r>
            <w:r>
              <w:rPr>
                <w:rFonts w:hint="default" w:ascii="Times New Roman" w:hAnsi="Times New Roman" w:eastAsia="宋体" w:cs="Times New Roman"/>
                <w:color w:val="auto"/>
                <w:sz w:val="24"/>
                <w:szCs w:val="20"/>
              </w:rPr>
              <w:t>站，属于</w:t>
            </w:r>
            <w:r>
              <w:rPr>
                <w:rFonts w:hint="default" w:ascii="Times New Roman" w:hAnsi="Times New Roman" w:eastAsia="宋体" w:cs="Times New Roman"/>
                <w:color w:val="auto"/>
                <w:szCs w:val="21"/>
              </w:rPr>
              <w:t>非金属矿物制品业</w:t>
            </w:r>
            <w:r>
              <w:rPr>
                <w:rFonts w:hint="default" w:ascii="Times New Roman" w:hAnsi="Times New Roman" w:eastAsia="宋体" w:cs="Times New Roman"/>
                <w:color w:val="auto"/>
                <w:sz w:val="24"/>
                <w:szCs w:val="20"/>
              </w:rPr>
              <w:t>。项目的规模、产品、工艺以及采用的生产设备均不属于《产业结构调整指导目录</w:t>
            </w:r>
            <w:r>
              <w:rPr>
                <w:rFonts w:hint="default" w:ascii="Times New Roman" w:hAnsi="Times New Roman" w:eastAsia="宋体" w:cs="Times New Roman"/>
                <w:color w:val="auto"/>
                <w:sz w:val="24"/>
                <w:szCs w:val="20"/>
                <w:lang w:eastAsia="zh-CN"/>
              </w:rPr>
              <w:t>（</w:t>
            </w:r>
            <w:r>
              <w:rPr>
                <w:rFonts w:hint="default" w:ascii="Times New Roman" w:hAnsi="Times New Roman" w:eastAsia="宋体" w:cs="Times New Roman"/>
                <w:color w:val="auto"/>
                <w:sz w:val="24"/>
                <w:szCs w:val="20"/>
                <w:lang w:val="en-US" w:eastAsia="zh-CN"/>
              </w:rPr>
              <w:t>2</w:t>
            </w:r>
            <w:r>
              <w:rPr>
                <w:rFonts w:hint="eastAsia" w:cs="Times New Roman"/>
                <w:color w:val="auto"/>
                <w:sz w:val="24"/>
                <w:szCs w:val="20"/>
                <w:lang w:val="en-US" w:eastAsia="zh-CN"/>
              </w:rPr>
              <w:t>024</w:t>
            </w:r>
            <w:r>
              <w:rPr>
                <w:rFonts w:hint="default" w:ascii="Times New Roman" w:hAnsi="Times New Roman" w:eastAsia="宋体" w:cs="Times New Roman"/>
                <w:color w:val="auto"/>
                <w:sz w:val="24"/>
                <w:szCs w:val="20"/>
                <w:lang w:val="en-US" w:eastAsia="zh-CN"/>
              </w:rPr>
              <w:t>年本</w:t>
            </w:r>
            <w:r>
              <w:rPr>
                <w:rFonts w:hint="default" w:ascii="Times New Roman" w:hAnsi="Times New Roman" w:eastAsia="宋体" w:cs="Times New Roman"/>
                <w:color w:val="auto"/>
                <w:sz w:val="24"/>
                <w:szCs w:val="20"/>
                <w:lang w:eastAsia="zh-CN"/>
              </w:rPr>
              <w:t>）</w:t>
            </w:r>
            <w:r>
              <w:rPr>
                <w:rFonts w:hint="default" w:ascii="Times New Roman" w:hAnsi="Times New Roman" w:eastAsia="宋体" w:cs="Times New Roman"/>
                <w:color w:val="auto"/>
                <w:sz w:val="24"/>
                <w:szCs w:val="20"/>
              </w:rPr>
              <w:t>》（中华人民共和国国家发展和改革委员会令</w:t>
            </w:r>
            <w:r>
              <w:rPr>
                <w:rFonts w:hint="default" w:ascii="Times New Roman" w:hAnsi="Times New Roman" w:eastAsia="宋体" w:cs="Times New Roman"/>
                <w:color w:val="auto"/>
                <w:sz w:val="24"/>
                <w:szCs w:val="20"/>
                <w:lang w:val="en-US" w:eastAsia="zh-CN"/>
              </w:rPr>
              <w:t>第29号</w:t>
            </w:r>
            <w:r>
              <w:rPr>
                <w:rFonts w:hint="default" w:ascii="Times New Roman" w:hAnsi="Times New Roman" w:eastAsia="宋体" w:cs="Times New Roman"/>
                <w:color w:val="auto"/>
                <w:sz w:val="24"/>
                <w:szCs w:val="20"/>
              </w:rPr>
              <w:t>）</w:t>
            </w:r>
            <w:r>
              <w:rPr>
                <w:rFonts w:hint="default" w:ascii="Times New Roman" w:hAnsi="Times New Roman" w:eastAsia="宋体" w:cs="Times New Roman"/>
                <w:color w:val="auto"/>
                <w:sz w:val="24"/>
                <w:szCs w:val="20"/>
                <w:lang w:val="en-US" w:eastAsia="zh-CN"/>
              </w:rPr>
              <w:t>鼓励类、</w:t>
            </w:r>
            <w:r>
              <w:rPr>
                <w:rFonts w:hint="default" w:ascii="Times New Roman" w:hAnsi="Times New Roman" w:eastAsia="宋体" w:cs="Times New Roman"/>
                <w:color w:val="auto"/>
                <w:sz w:val="24"/>
                <w:szCs w:val="20"/>
              </w:rPr>
              <w:t>限制类和淘汰类项目</w:t>
            </w:r>
            <w:r>
              <w:rPr>
                <w:rFonts w:hint="default" w:ascii="Times New Roman" w:hAnsi="Times New Roman" w:eastAsia="宋体" w:cs="Times New Roman"/>
                <w:color w:val="auto"/>
                <w:sz w:val="24"/>
                <w:szCs w:val="20"/>
                <w:lang w:eastAsia="zh-CN"/>
              </w:rPr>
              <w:t>，</w:t>
            </w:r>
            <w:r>
              <w:rPr>
                <w:rFonts w:hint="default" w:ascii="Times New Roman" w:hAnsi="Times New Roman" w:eastAsia="宋体" w:cs="Times New Roman"/>
                <w:color w:val="auto"/>
                <w:sz w:val="24"/>
                <w:szCs w:val="20"/>
                <w:lang w:val="en-US" w:eastAsia="zh-CN"/>
              </w:rPr>
              <w:t>视为允许建设项目。</w:t>
            </w:r>
          </w:p>
          <w:p>
            <w:pPr>
              <w:autoSpaceDE w:val="0"/>
              <w:autoSpaceDN w:val="0"/>
              <w:adjustRightInd w:val="0"/>
              <w:snapToGrid w:val="0"/>
              <w:spacing w:line="360" w:lineRule="auto"/>
              <w:ind w:firstLine="480" w:firstLineChars="200"/>
              <w:rPr>
                <w:color w:val="auto"/>
                <w:kern w:val="0"/>
                <w:sz w:val="24"/>
              </w:rPr>
            </w:pPr>
            <w:r>
              <w:rPr>
                <w:color w:val="auto"/>
                <w:kern w:val="0"/>
                <w:sz w:val="24"/>
              </w:rPr>
              <w:t>生产过程中未使用国家明令禁止的淘汰类和限制类的设备及工艺。因此，本项目建设符合国家产业政策要求。</w:t>
            </w:r>
          </w:p>
          <w:p>
            <w:pPr>
              <w:numPr>
                <w:ilvl w:val="0"/>
                <w:numId w:val="0"/>
              </w:numPr>
              <w:bidi w:val="0"/>
              <w:ind w:leftChars="0"/>
              <w:rPr>
                <w:rFonts w:hint="default" w:ascii="Times New Roman" w:hAnsi="Times New Roman" w:eastAsia="宋体" w:cs="Times New Roman"/>
                <w:b/>
                <w:bCs/>
                <w:color w:val="auto"/>
                <w:lang w:val="en-US" w:eastAsia="zh-CN"/>
              </w:rPr>
            </w:pPr>
            <w:r>
              <w:rPr>
                <w:rFonts w:hint="eastAsia" w:cs="Times New Roman"/>
                <w:b/>
                <w:bCs/>
                <w:color w:val="auto"/>
                <w:lang w:val="en-US" w:eastAsia="zh-CN"/>
              </w:rPr>
              <w:t>2.</w:t>
            </w:r>
            <w:r>
              <w:rPr>
                <w:rFonts w:hint="default" w:ascii="Times New Roman" w:hAnsi="Times New Roman" w:eastAsia="宋体" w:cs="Times New Roman"/>
                <w:b/>
                <w:bCs/>
                <w:color w:val="auto"/>
              </w:rPr>
              <w:t>“三线一单”符合性</w:t>
            </w:r>
          </w:p>
          <w:p>
            <w:pPr>
              <w:ind w:firstLine="48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根据</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新疆维吾尔自治区“三线一单”生态环境分区管控方案</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新政发〔2021〕18号</w:t>
            </w:r>
            <w:r>
              <w:rPr>
                <w:rFonts w:hint="default" w:ascii="Times New Roman" w:hAnsi="Times New Roman" w:eastAsia="宋体" w:cs="Times New Roman"/>
                <w:color w:val="auto"/>
                <w:lang w:eastAsia="zh-CN"/>
              </w:rPr>
              <w:t>），</w:t>
            </w:r>
            <w:r>
              <w:rPr>
                <w:rFonts w:hint="eastAsia" w:cs="Times New Roman"/>
                <w:color w:val="auto"/>
                <w:lang w:eastAsia="zh-CN"/>
              </w:rPr>
              <w:t>“</w:t>
            </w:r>
            <w:r>
              <w:rPr>
                <w:rFonts w:hint="default" w:ascii="Times New Roman" w:hAnsi="Times New Roman" w:eastAsia="宋体" w:cs="Times New Roman"/>
                <w:color w:val="auto"/>
                <w:lang w:val="en-US" w:eastAsia="zh-CN"/>
              </w:rPr>
              <w:t>三线一单</w:t>
            </w:r>
            <w:r>
              <w:rPr>
                <w:rFonts w:hint="eastAsia" w:cs="Times New Roman"/>
                <w:color w:val="auto"/>
                <w:lang w:eastAsia="zh-CN"/>
              </w:rPr>
              <w:t>”</w:t>
            </w:r>
            <w:r>
              <w:rPr>
                <w:rFonts w:hint="default" w:ascii="Times New Roman" w:hAnsi="Times New Roman" w:eastAsia="宋体" w:cs="Times New Roman"/>
                <w:color w:val="auto"/>
                <w:lang w:val="en-US" w:eastAsia="zh-CN"/>
              </w:rPr>
              <w:t>生态环境分区管控基本原则为：（一）坚持底线思维：落实最严格的环境保护制度，坚持生态环境质量只能改善、不能变差，生产生活不突破生态保护红线，开发建设不突破资源环境承载力，确保生态环境安全</w:t>
            </w:r>
            <w:r>
              <w:rPr>
                <w:rFonts w:hint="default" w:ascii="Times New Roman" w:hAnsi="Times New Roman" w:eastAsia="宋体" w:cs="Times New Roman"/>
                <w:color w:val="auto"/>
              </w:rPr>
              <w:t>。</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二</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坚持分类管控：以改善环境质量为核心，建立以环境管控单元为基础的生态环境分区管控体系；针对不同环境管控单元特征，分别提出管控要求，实施差异化环境准入，促进环境管理精准化。（三）坚持统筹实施：按照自治区统筹，上下联动、区域协同的原则，与区域发展和国土空间规划等相衔接，统筹推进落实“三线一单”管控要求；结合经济社会发展和生态环境改善的新形势新任务新要求，定期评估、动态更新调整。</w:t>
            </w:r>
          </w:p>
          <w:p>
            <w:pPr>
              <w:ind w:firstLine="480" w:firstLineChars="20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（1）生态红线</w:t>
            </w:r>
          </w:p>
          <w:p>
            <w:pPr>
              <w:ind w:firstLine="480" w:firstLineChars="200"/>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生态保护红线，按照</w:t>
            </w:r>
            <w:r>
              <w:rPr>
                <w:rFonts w:hint="eastAsia" w:cs="Times New Roman"/>
                <w:color w:val="auto"/>
                <w:lang w:val="en-US" w:eastAsia="zh-CN"/>
              </w:rPr>
              <w:t>“</w:t>
            </w:r>
            <w:r>
              <w:rPr>
                <w:rFonts w:hint="default" w:ascii="Times New Roman" w:hAnsi="Times New Roman" w:eastAsia="宋体" w:cs="Times New Roman"/>
                <w:color w:val="auto"/>
                <w:lang w:val="en-US" w:eastAsia="zh-CN"/>
              </w:rPr>
              <w:t>生态功能不降低、面积不减少、性质不改变</w:t>
            </w:r>
            <w:r>
              <w:rPr>
                <w:rFonts w:hint="eastAsia" w:cs="Times New Roman"/>
                <w:color w:val="auto"/>
                <w:lang w:val="en-US" w:eastAsia="zh-CN"/>
              </w:rPr>
              <w:t>”</w:t>
            </w:r>
            <w:r>
              <w:rPr>
                <w:rFonts w:hint="default" w:ascii="Times New Roman" w:hAnsi="Times New Roman" w:eastAsia="宋体" w:cs="Times New Roman"/>
                <w:color w:val="auto"/>
                <w:lang w:val="en-US" w:eastAsia="zh-CN"/>
              </w:rPr>
              <w:t>的基本要求，对划定的生态保护红线实施严格管控，保障和维护国家生态安全的底线和生命线</w:t>
            </w:r>
            <w:r>
              <w:rPr>
                <w:rFonts w:hint="default" w:ascii="Times New Roman" w:hAnsi="Times New Roman" w:eastAsia="宋体" w:cs="Times New Roman"/>
                <w:color w:val="auto"/>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lang w:val="en-US"/>
              </w:rPr>
            </w:pPr>
            <w:r>
              <w:rPr>
                <w:rFonts w:hint="eastAsia" w:cs="Times New Roman"/>
                <w:color w:val="auto"/>
                <w:lang w:val="en-US" w:eastAsia="zh-CN"/>
              </w:rPr>
              <w:t>项目位于</w:t>
            </w:r>
            <w:r>
              <w:rPr>
                <w:rFonts w:hint="default" w:ascii="Times New Roman" w:hAnsi="Times New Roman" w:eastAsia="宋体" w:cs="Times New Roman"/>
                <w:color w:val="auto"/>
                <w:lang w:val="en-US" w:eastAsia="zh-CN"/>
              </w:rPr>
              <w:t>托克逊县S301省道北侧</w:t>
            </w:r>
            <w:r>
              <w:rPr>
                <w:rFonts w:hint="eastAsia" w:cs="Times New Roman"/>
                <w:color w:val="auto"/>
                <w:lang w:val="en-US" w:eastAsia="zh-CN"/>
              </w:rPr>
              <w:t>1.9公里</w:t>
            </w:r>
            <w:r>
              <w:rPr>
                <w:rFonts w:hint="default" w:ascii="Times New Roman" w:hAnsi="Times New Roman" w:eastAsia="宋体" w:cs="Times New Roman"/>
                <w:color w:val="auto"/>
                <w:lang w:val="en-US" w:eastAsia="zh-CN"/>
              </w:rPr>
              <w:t>、中泰天雨煤化工东侧4公里</w:t>
            </w:r>
            <w:r>
              <w:rPr>
                <w:rFonts w:hint="eastAsia" w:cs="Times New Roman"/>
                <w:color w:val="auto"/>
                <w:lang w:val="en-US" w:eastAsia="zh-CN"/>
              </w:rPr>
              <w:t>处，</w:t>
            </w:r>
            <w:r>
              <w:rPr>
                <w:rFonts w:hint="default" w:ascii="Times New Roman" w:hAnsi="Times New Roman" w:eastAsia="宋体" w:cs="Times New Roman"/>
                <w:bCs/>
                <w:color w:val="auto"/>
                <w:sz w:val="24"/>
                <w:szCs w:val="24"/>
                <w:highlight w:val="none"/>
                <w:lang w:val="en-US" w:eastAsia="zh-CN"/>
              </w:rPr>
              <w:t>评价范围内</w:t>
            </w:r>
            <w:r>
              <w:rPr>
                <w:rFonts w:hint="default" w:ascii="Times New Roman" w:hAnsi="Times New Roman" w:eastAsia="宋体" w:cs="Times New Roman"/>
                <w:bCs/>
                <w:color w:val="auto"/>
                <w:sz w:val="24"/>
                <w:szCs w:val="24"/>
                <w:highlight w:val="none"/>
              </w:rPr>
              <w:t>无自然保护区、风景名胜区</w:t>
            </w:r>
            <w:r>
              <w:rPr>
                <w:rFonts w:hint="default" w:ascii="Times New Roman" w:hAnsi="Times New Roman" w:eastAsia="宋体" w:cs="Times New Roman"/>
                <w:color w:val="auto"/>
                <w:sz w:val="24"/>
                <w:szCs w:val="24"/>
                <w:highlight w:val="none"/>
              </w:rPr>
              <w:t>、同时不在生态保护红线范围内，符合生态保护红线相关要求。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1"/>
              <w:rPr>
                <w:rFonts w:hint="default" w:ascii="Times New Roman" w:hAnsi="Times New Roman" w:eastAsia="宋体" w:cs="Times New Roman"/>
                <w:color w:val="auto"/>
                <w:sz w:val="24"/>
                <w:szCs w:val="20"/>
              </w:rPr>
            </w:pPr>
            <w:r>
              <w:rPr>
                <w:rFonts w:hint="default" w:ascii="Times New Roman" w:hAnsi="Times New Roman" w:eastAsia="宋体" w:cs="Times New Roman"/>
                <w:color w:val="auto"/>
                <w:sz w:val="24"/>
                <w:szCs w:val="20"/>
              </w:rPr>
              <w:t>（2）环境质量底线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1"/>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0"/>
                <w:lang w:val="en-US" w:eastAsia="zh-CN"/>
              </w:rPr>
              <w:t>项目所在区域执行《声环境质量标准》（GB3096-2008）中</w:t>
            </w:r>
            <w:r>
              <w:rPr>
                <w:rFonts w:hint="eastAsia" w:cs="Times New Roman"/>
                <w:color w:val="auto"/>
                <w:sz w:val="24"/>
                <w:szCs w:val="20"/>
                <w:lang w:val="en-US" w:eastAsia="zh-CN"/>
              </w:rPr>
              <w:t>3</w:t>
            </w:r>
            <w:r>
              <w:rPr>
                <w:rFonts w:hint="default" w:ascii="Times New Roman" w:hAnsi="Times New Roman" w:eastAsia="宋体" w:cs="Times New Roman"/>
                <w:color w:val="auto"/>
                <w:sz w:val="24"/>
                <w:szCs w:val="20"/>
                <w:lang w:val="en-US" w:eastAsia="zh-CN"/>
              </w:rPr>
              <w:t>类区环境噪声限值。</w:t>
            </w:r>
            <w:r>
              <w:rPr>
                <w:rFonts w:hint="default" w:ascii="Times New Roman" w:hAnsi="Times New Roman" w:eastAsia="宋体" w:cs="Times New Roman"/>
                <w:color w:val="auto"/>
                <w:sz w:val="24"/>
                <w:szCs w:val="24"/>
                <w:lang w:val="en-US" w:eastAsia="zh-CN"/>
              </w:rPr>
              <w:t>同时本项目</w:t>
            </w:r>
            <w:r>
              <w:rPr>
                <w:rFonts w:hint="eastAsia" w:cs="Times New Roman"/>
                <w:color w:val="auto"/>
                <w:sz w:val="24"/>
                <w:szCs w:val="24"/>
                <w:lang w:val="en-US" w:eastAsia="zh-CN"/>
              </w:rPr>
              <w:t>主要噪声设备</w:t>
            </w:r>
            <w:r>
              <w:rPr>
                <w:rFonts w:hint="default" w:ascii="Times New Roman" w:hAnsi="Times New Roman" w:eastAsia="宋体" w:cs="Times New Roman"/>
                <w:color w:val="auto"/>
                <w:sz w:val="24"/>
                <w:szCs w:val="24"/>
                <w:lang w:val="en-US" w:eastAsia="zh-CN"/>
              </w:rPr>
              <w:t>建设在封闭厂房内部，主要生产设备选用低噪声设备，设置减振基座，高噪声设备设置隔声罩。因此项目的建设不会突破声环境质量底线。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1"/>
              <w:rPr>
                <w:rFonts w:hint="default"/>
                <w:color w:val="auto"/>
                <w:lang w:val="en-US" w:eastAsia="zh-CN"/>
              </w:rPr>
            </w:pPr>
            <w:r>
              <w:rPr>
                <w:rFonts w:hint="eastAsia" w:cs="Times New Roman"/>
                <w:color w:val="auto"/>
                <w:sz w:val="24"/>
                <w:szCs w:val="24"/>
                <w:lang w:val="en-US" w:eastAsia="zh-CN"/>
              </w:rPr>
              <w:t>项目生产过程中会产生少量的粉尘，经除尘器处理后排放，落实各项废气防治措施后，</w:t>
            </w:r>
            <w:r>
              <w:rPr>
                <w:rFonts w:hint="default" w:ascii="Times New Roman" w:hAnsi="Times New Roman" w:eastAsia="宋体" w:cs="Times New Roman"/>
                <w:color w:val="auto"/>
                <w:sz w:val="24"/>
                <w:szCs w:val="24"/>
                <w:lang w:val="en-US" w:eastAsia="zh-CN"/>
              </w:rPr>
              <w:t>不会突破</w:t>
            </w:r>
            <w:r>
              <w:rPr>
                <w:rFonts w:hint="eastAsia" w:cs="Times New Roman"/>
                <w:color w:val="auto"/>
                <w:sz w:val="24"/>
                <w:szCs w:val="24"/>
                <w:lang w:val="en-US" w:eastAsia="zh-CN"/>
              </w:rPr>
              <w:t>大气</w:t>
            </w:r>
            <w:r>
              <w:rPr>
                <w:rFonts w:hint="default" w:ascii="Times New Roman" w:hAnsi="Times New Roman" w:eastAsia="宋体" w:cs="Times New Roman"/>
                <w:color w:val="auto"/>
                <w:sz w:val="24"/>
                <w:szCs w:val="24"/>
                <w:lang w:val="en-US" w:eastAsia="zh-CN"/>
              </w:rPr>
              <w:t>环境质量底线。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1"/>
              <w:rPr>
                <w:rFonts w:hint="default" w:ascii="Times New Roman" w:hAnsi="Times New Roman" w:eastAsia="宋体" w:cs="Times New Roman"/>
                <w:color w:val="auto"/>
                <w:sz w:val="24"/>
                <w:szCs w:val="20"/>
                <w:lang w:val="en-US" w:eastAsia="zh-CN"/>
              </w:rPr>
            </w:pPr>
            <w:r>
              <w:rPr>
                <w:rFonts w:hint="default" w:ascii="Times New Roman" w:hAnsi="Times New Roman" w:eastAsia="宋体" w:cs="Times New Roman"/>
                <w:color w:val="auto"/>
                <w:sz w:val="24"/>
                <w:szCs w:val="20"/>
                <w:lang w:val="en-US" w:eastAsia="zh-CN"/>
              </w:rPr>
              <w:t>项目生产过程中使用少量水，但生产废水均经沉淀后全部回用，</w:t>
            </w:r>
            <w:r>
              <w:rPr>
                <w:rFonts w:hint="eastAsia" w:cs="Times New Roman"/>
                <w:color w:val="auto"/>
                <w:sz w:val="24"/>
                <w:szCs w:val="20"/>
                <w:lang w:val="en-US" w:eastAsia="zh-CN"/>
              </w:rPr>
              <w:t>不外排。</w:t>
            </w:r>
            <w:r>
              <w:rPr>
                <w:rFonts w:hint="default" w:ascii="Times New Roman" w:hAnsi="Times New Roman" w:eastAsia="宋体" w:cs="Times New Roman"/>
                <w:color w:val="auto"/>
                <w:sz w:val="24"/>
                <w:szCs w:val="20"/>
                <w:highlight w:val="none"/>
                <w:lang w:val="en-US" w:eastAsia="zh-CN"/>
              </w:rPr>
              <w:t>职工生活产生一定量的生活污水，经化粪池处置后定期抽运至</w:t>
            </w:r>
            <w:r>
              <w:rPr>
                <w:rFonts w:hint="eastAsia" w:cs="Times New Roman"/>
                <w:color w:val="auto"/>
                <w:sz w:val="24"/>
                <w:szCs w:val="20"/>
                <w:highlight w:val="none"/>
                <w:lang w:val="en-US" w:eastAsia="zh-CN"/>
              </w:rPr>
              <w:t>伊拉湖镇</w:t>
            </w:r>
            <w:r>
              <w:rPr>
                <w:rFonts w:hint="default" w:ascii="Times New Roman" w:hAnsi="Times New Roman" w:eastAsia="宋体" w:cs="Times New Roman"/>
                <w:color w:val="auto"/>
                <w:sz w:val="24"/>
                <w:szCs w:val="20"/>
                <w:highlight w:val="none"/>
                <w:lang w:val="en-US" w:eastAsia="zh-CN"/>
              </w:rPr>
              <w:t>污水处理厂进行后续处理，项目</w:t>
            </w:r>
            <w:r>
              <w:rPr>
                <w:rFonts w:hint="default" w:ascii="Times New Roman" w:hAnsi="Times New Roman" w:eastAsia="宋体" w:cs="Times New Roman"/>
                <w:color w:val="auto"/>
                <w:sz w:val="24"/>
                <w:szCs w:val="20"/>
                <w:lang w:val="en-US" w:eastAsia="zh-CN"/>
              </w:rPr>
              <w:t>周边无径流，项目建成后不废水</w:t>
            </w:r>
            <w:r>
              <w:rPr>
                <w:rFonts w:hint="eastAsia" w:cs="Times New Roman"/>
                <w:color w:val="auto"/>
                <w:sz w:val="24"/>
                <w:szCs w:val="20"/>
                <w:lang w:val="en-US" w:eastAsia="zh-CN"/>
              </w:rPr>
              <w:t>不外排</w:t>
            </w:r>
            <w:r>
              <w:rPr>
                <w:rFonts w:hint="default" w:ascii="Times New Roman" w:hAnsi="Times New Roman" w:eastAsia="宋体" w:cs="Times New Roman"/>
                <w:color w:val="auto"/>
                <w:sz w:val="24"/>
                <w:szCs w:val="20"/>
                <w:lang w:val="en-US" w:eastAsia="zh-CN"/>
              </w:rPr>
              <w:t>，对项目区水环境基本无影响。项目区内部通过分区防渗，避免了污水的下渗污染地下水体，因此，项目的建设不会突破水环境质量底线。</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1"/>
              <w:rPr>
                <w:rFonts w:hint="default" w:ascii="Times New Roman" w:hAnsi="Times New Roman" w:eastAsia="宋体" w:cs="Times New Roman"/>
                <w:color w:val="auto"/>
                <w:sz w:val="24"/>
                <w:szCs w:val="20"/>
                <w:lang w:val="en-US" w:eastAsia="zh-CN"/>
              </w:rPr>
            </w:pPr>
            <w:r>
              <w:rPr>
                <w:rFonts w:hint="default" w:ascii="Times New Roman" w:hAnsi="Times New Roman" w:eastAsia="宋体" w:cs="Times New Roman"/>
                <w:color w:val="auto"/>
                <w:sz w:val="24"/>
                <w:szCs w:val="20"/>
                <w:lang w:val="en-US" w:eastAsia="zh-CN"/>
              </w:rPr>
              <w:t>综上，本项目的建设，是符合环境质量底线要求的。</w:t>
            </w:r>
          </w:p>
          <w:p>
            <w:pPr>
              <w:keepNext w:val="0"/>
              <w:keepLines w:val="0"/>
              <w:suppressLineNumbers w:val="0"/>
              <w:spacing w:before="0" w:beforeAutospacing="0" w:after="0" w:afterAutospacing="0" w:line="360" w:lineRule="auto"/>
              <w:ind w:left="0" w:right="0" w:firstLine="480" w:firstLineChars="200"/>
              <w:outlineLvl w:val="1"/>
              <w:rPr>
                <w:rFonts w:hint="default" w:ascii="Times New Roman" w:hAnsi="Times New Roman" w:eastAsia="宋体" w:cs="Times New Roman"/>
                <w:color w:val="auto"/>
                <w:sz w:val="24"/>
                <w:szCs w:val="20"/>
                <w:lang w:val="en-US" w:eastAsia="zh-CN"/>
              </w:rPr>
            </w:pPr>
            <w:r>
              <w:rPr>
                <w:rFonts w:hint="default" w:ascii="Times New Roman" w:hAnsi="Times New Roman" w:eastAsia="宋体" w:cs="Times New Roman"/>
                <w:color w:val="auto"/>
                <w:sz w:val="24"/>
                <w:szCs w:val="20"/>
                <w:lang w:val="en-US" w:eastAsia="zh-CN"/>
              </w:rPr>
              <w:t>（3）资源利用上线</w:t>
            </w:r>
          </w:p>
          <w:p>
            <w:pPr>
              <w:keepNext w:val="0"/>
              <w:keepLines w:val="0"/>
              <w:suppressLineNumbers w:val="0"/>
              <w:spacing w:before="0" w:beforeAutospacing="0" w:after="0" w:afterAutospacing="0" w:line="360" w:lineRule="auto"/>
              <w:ind w:left="0" w:right="0" w:firstLine="480" w:firstLineChars="200"/>
              <w:outlineLvl w:val="1"/>
              <w:rPr>
                <w:rFonts w:hint="default" w:ascii="Times New Roman" w:hAnsi="Times New Roman" w:eastAsia="宋体" w:cs="Times New Roman"/>
                <w:color w:val="auto"/>
                <w:sz w:val="24"/>
                <w:szCs w:val="20"/>
                <w:lang w:val="en-US" w:eastAsia="zh-CN"/>
              </w:rPr>
            </w:pPr>
            <w:r>
              <w:rPr>
                <w:rFonts w:hint="default" w:ascii="Times New Roman" w:hAnsi="Times New Roman" w:eastAsia="宋体" w:cs="Times New Roman"/>
                <w:color w:val="auto"/>
                <w:sz w:val="24"/>
                <w:szCs w:val="20"/>
                <w:lang w:val="en-US" w:eastAsia="zh-CN"/>
              </w:rPr>
              <w:t>依据《生态保护红线、环境质量底线、资源利用上线和环境准入负面清单编制技术指南（试行）》（环办环评</w:t>
            </w:r>
            <w:r>
              <w:rPr>
                <w:rFonts w:hint="eastAsia" w:ascii="Times New Roman" w:hAnsi="Times New Roman" w:eastAsia="宋体" w:cs="Times New Roman"/>
                <w:color w:val="auto"/>
                <w:sz w:val="24"/>
                <w:szCs w:val="20"/>
                <w:lang w:val="en-US" w:eastAsia="zh-CN"/>
              </w:rPr>
              <w:t>〔2017〕</w:t>
            </w:r>
            <w:r>
              <w:rPr>
                <w:rFonts w:hint="default" w:ascii="Times New Roman" w:hAnsi="Times New Roman" w:eastAsia="宋体" w:cs="Times New Roman"/>
                <w:color w:val="auto"/>
                <w:sz w:val="24"/>
                <w:szCs w:val="20"/>
                <w:lang w:val="en-US" w:eastAsia="zh-CN"/>
              </w:rPr>
              <w:t>99号），资源利用上线是指按照自然资源资产“只能增值、不能贬值”的原则，以保证生态安全和改善环境质量为目的，利用自然资源资产负债表，结合自然资源开发管控，提出的分区域分阶段的资源开发利用总量、强度、效率等上线管控要求。</w:t>
            </w:r>
          </w:p>
          <w:p>
            <w:pPr>
              <w:keepNext w:val="0"/>
              <w:keepLines w:val="0"/>
              <w:suppressLineNumbers w:val="0"/>
              <w:spacing w:before="0" w:beforeAutospacing="0" w:after="0" w:afterAutospacing="0" w:line="360" w:lineRule="auto"/>
              <w:ind w:left="0" w:right="0" w:firstLine="480" w:firstLineChars="200"/>
              <w:outlineLvl w:val="1"/>
              <w:rPr>
                <w:rFonts w:hint="default" w:ascii="Times New Roman" w:hAnsi="Times New Roman" w:eastAsia="宋体" w:cs="Times New Roman"/>
                <w:color w:val="auto"/>
                <w:sz w:val="24"/>
                <w:szCs w:val="20"/>
                <w:highlight w:val="none"/>
                <w:lang w:val="en-US" w:eastAsia="zh-CN"/>
              </w:rPr>
            </w:pPr>
            <w:r>
              <w:rPr>
                <w:rFonts w:hint="default" w:ascii="Times New Roman" w:hAnsi="Times New Roman" w:eastAsia="宋体" w:cs="Times New Roman"/>
                <w:color w:val="auto"/>
                <w:sz w:val="24"/>
                <w:szCs w:val="20"/>
                <w:highlight w:val="none"/>
                <w:lang w:val="en-US" w:eastAsia="zh-CN"/>
              </w:rPr>
              <w:t>本项目租用现有场地进行建设，项目为混凝土</w:t>
            </w:r>
            <w:r>
              <w:rPr>
                <w:rFonts w:hint="eastAsia" w:cs="Times New Roman"/>
                <w:color w:val="auto"/>
                <w:sz w:val="24"/>
                <w:szCs w:val="20"/>
                <w:highlight w:val="none"/>
                <w:lang w:val="en-US" w:eastAsia="zh-CN"/>
              </w:rPr>
              <w:t>搅拌</w:t>
            </w:r>
            <w:r>
              <w:rPr>
                <w:rFonts w:hint="default" w:ascii="Times New Roman" w:hAnsi="Times New Roman" w:eastAsia="宋体" w:cs="Times New Roman"/>
                <w:color w:val="auto"/>
                <w:sz w:val="24"/>
                <w:szCs w:val="20"/>
                <w:highlight w:val="none"/>
                <w:lang w:val="en-US" w:eastAsia="zh-CN"/>
              </w:rPr>
              <w:t>项目，项目占地为工业用地，不涉及基本农田，国家公益林地，土地资源消耗符合要求。同时项目的水、电资源消耗，相对于整个托克逊县的利用上线极小，因此，项目建设符合资源利用上线。</w:t>
            </w:r>
          </w:p>
          <w:p>
            <w:pPr>
              <w:keepNext w:val="0"/>
              <w:keepLines w:val="0"/>
              <w:suppressLineNumbers w:val="0"/>
              <w:spacing w:before="0" w:beforeAutospacing="0" w:after="0" w:afterAutospacing="0" w:line="360" w:lineRule="auto"/>
              <w:ind w:left="0" w:right="0" w:firstLine="480" w:firstLineChars="200"/>
              <w:outlineLvl w:val="1"/>
              <w:rPr>
                <w:rFonts w:hint="default" w:ascii="Times New Roman" w:hAnsi="Times New Roman" w:eastAsia="宋体" w:cs="Times New Roman"/>
                <w:color w:val="auto"/>
                <w:sz w:val="24"/>
                <w:szCs w:val="20"/>
                <w:lang w:val="en-US" w:eastAsia="zh-CN"/>
              </w:rPr>
            </w:pPr>
            <w:r>
              <w:rPr>
                <w:rFonts w:hint="default" w:ascii="Times New Roman" w:hAnsi="Times New Roman" w:eastAsia="宋体" w:cs="Times New Roman"/>
                <w:color w:val="auto"/>
                <w:sz w:val="24"/>
                <w:szCs w:val="20"/>
                <w:lang w:val="en-US" w:eastAsia="zh-CN"/>
              </w:rPr>
              <w:t>（4）生态环境准入清单</w:t>
            </w:r>
          </w:p>
          <w:p>
            <w:pPr>
              <w:keepNext w:val="0"/>
              <w:keepLines w:val="0"/>
              <w:suppressLineNumbers w:val="0"/>
              <w:spacing w:before="0" w:beforeAutospacing="0" w:after="0" w:afterAutospacing="0" w:line="360" w:lineRule="auto"/>
              <w:ind w:left="0" w:right="0" w:firstLine="480" w:firstLineChars="200"/>
              <w:outlineLvl w:val="1"/>
              <w:rPr>
                <w:rFonts w:hint="default" w:ascii="Times New Roman" w:hAnsi="Times New Roman" w:eastAsia="宋体" w:cs="Times New Roman"/>
                <w:color w:val="auto"/>
                <w:sz w:val="24"/>
                <w:szCs w:val="20"/>
                <w:lang w:val="en-US" w:eastAsia="zh-CN"/>
              </w:rPr>
            </w:pPr>
            <w:r>
              <w:rPr>
                <w:rFonts w:hint="default" w:ascii="Times New Roman" w:hAnsi="Times New Roman" w:eastAsia="宋体" w:cs="Times New Roman"/>
                <w:color w:val="auto"/>
                <w:sz w:val="24"/>
                <w:szCs w:val="20"/>
                <w:lang w:val="en-US" w:eastAsia="zh-CN"/>
              </w:rPr>
              <w:t>根据吐鲁番市人民政府办公室2021年6月发布的《吐鲁番市“三线一单”生态环境分区管控方案》（吐政办〔2021〕24号），吐鲁番市共划定管控单元64个，优先保护单元17个，重点管控单元36个，一般管控单元11个。</w:t>
            </w:r>
          </w:p>
          <w:p>
            <w:pPr>
              <w:keepNext w:val="0"/>
              <w:keepLines w:val="0"/>
              <w:pageBreakBefore w:val="0"/>
              <w:widowControl w:val="0"/>
              <w:numPr>
                <w:ilvl w:val="0"/>
                <w:numId w:val="0"/>
              </w:numPr>
              <w:kinsoku/>
              <w:wordWrap w:val="0"/>
              <w:overflowPunct/>
              <w:topLinePunct w:val="0"/>
              <w:autoSpaceDE/>
              <w:autoSpaceDN/>
              <w:bidi w:val="0"/>
              <w:adjustRightInd/>
              <w:snapToGrid/>
              <w:spacing w:line="344" w:lineRule="auto"/>
              <w:ind w:firstLine="480" w:firstLineChars="200"/>
              <w:textAlignment w:val="auto"/>
              <w:rPr>
                <w:rFonts w:hint="default" w:ascii="Times New Roman" w:hAnsi="Times New Roman" w:eastAsia="宋体" w:cs="Times New Roman"/>
                <w:b/>
                <w:bCs/>
                <w:color w:val="000000"/>
                <w:sz w:val="24"/>
                <w:szCs w:val="24"/>
                <w:lang w:eastAsia="zh-CN"/>
              </w:rPr>
            </w:pPr>
            <w:r>
              <w:rPr>
                <w:rFonts w:hint="default" w:ascii="Times New Roman" w:hAnsi="Times New Roman" w:eastAsia="宋体" w:cs="Times New Roman"/>
                <w:color w:val="auto"/>
                <w:highlight w:val="none"/>
                <w:lang w:val="en-US" w:eastAsia="zh-CN"/>
              </w:rPr>
              <w:t>托克逊县S301省道北侧</w:t>
            </w:r>
            <w:r>
              <w:rPr>
                <w:rFonts w:hint="eastAsia" w:cs="Times New Roman"/>
                <w:color w:val="auto"/>
                <w:highlight w:val="none"/>
                <w:lang w:val="en-US" w:eastAsia="zh-CN"/>
              </w:rPr>
              <w:t>1.9公里</w:t>
            </w:r>
            <w:r>
              <w:rPr>
                <w:rFonts w:hint="default" w:ascii="Times New Roman" w:hAnsi="Times New Roman" w:eastAsia="宋体" w:cs="Times New Roman"/>
                <w:color w:val="auto"/>
                <w:highlight w:val="none"/>
                <w:lang w:val="en-US" w:eastAsia="zh-CN"/>
              </w:rPr>
              <w:t>、中泰天雨煤化工东侧4公里</w:t>
            </w:r>
            <w:r>
              <w:rPr>
                <w:rFonts w:hint="eastAsia" w:cs="Times New Roman"/>
                <w:color w:val="auto"/>
                <w:highlight w:val="none"/>
                <w:lang w:val="en-US" w:eastAsia="zh-CN"/>
              </w:rPr>
              <w:t>处，</w:t>
            </w:r>
            <w:r>
              <w:rPr>
                <w:rFonts w:hint="default" w:ascii="Times New Roman" w:hAnsi="Times New Roman" w:eastAsia="宋体" w:cs="Times New Roman"/>
                <w:b w:val="0"/>
                <w:bCs w:val="0"/>
                <w:color w:val="000000"/>
                <w:kern w:val="0"/>
                <w:sz w:val="24"/>
                <w:szCs w:val="24"/>
                <w:lang w:val="en-US" w:eastAsia="zh-CN"/>
              </w:rPr>
              <w:t>与</w:t>
            </w:r>
            <w:r>
              <w:rPr>
                <w:rFonts w:hint="default" w:ascii="Times New Roman" w:hAnsi="Times New Roman" w:eastAsia="宋体" w:cs="Times New Roman"/>
                <w:b w:val="0"/>
                <w:bCs w:val="0"/>
                <w:color w:val="000000"/>
                <w:sz w:val="24"/>
                <w:szCs w:val="24"/>
              </w:rPr>
              <w:t>《吐鲁番市“三线一单”生态环境分区管控方案》符合性分析</w:t>
            </w:r>
            <w:r>
              <w:rPr>
                <w:rFonts w:hint="default" w:ascii="Times New Roman" w:hAnsi="Times New Roman" w:eastAsia="宋体" w:cs="Times New Roman"/>
                <w:b/>
                <w:bCs/>
                <w:color w:val="000000"/>
                <w:sz w:val="24"/>
                <w:szCs w:val="24"/>
                <w:lang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344"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val="en-US" w:eastAsia="zh-CN" w:bidi="ar"/>
              </w:rPr>
              <w:t>本项目位于吐鲁番市托克逊县</w:t>
            </w:r>
            <w:r>
              <w:rPr>
                <w:rFonts w:hint="default" w:ascii="Times New Roman" w:hAnsi="Times New Roman" w:eastAsia="宋体" w:cs="Times New Roman"/>
                <w:color w:val="000000"/>
                <w:sz w:val="24"/>
              </w:rPr>
              <w:t>伊拉湖循环经济产业园</w:t>
            </w: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sz w:val="24"/>
                <w:szCs w:val="24"/>
              </w:rPr>
              <w:t>根据《吐鲁番市“三线一单”生态环境分区管控方案》中的附件3吐鲁番市生态环境准入清单的相关内容，本项目所在的区域属于托克逊县</w:t>
            </w:r>
            <w:r>
              <w:rPr>
                <w:rFonts w:hint="default" w:ascii="Times New Roman" w:hAnsi="Times New Roman" w:eastAsia="宋体" w:cs="Times New Roman"/>
                <w:color w:val="000000"/>
                <w:sz w:val="24"/>
              </w:rPr>
              <w:t>伊拉湖循环经济产业园</w:t>
            </w:r>
            <w:r>
              <w:rPr>
                <w:rFonts w:hint="default" w:ascii="Times New Roman" w:hAnsi="Times New Roman" w:eastAsia="宋体" w:cs="Times New Roman"/>
                <w:color w:val="000000"/>
                <w:sz w:val="24"/>
                <w:szCs w:val="24"/>
              </w:rPr>
              <w:t>重点管控单元</w:t>
            </w:r>
            <w:r>
              <w:rPr>
                <w:rFonts w:hint="default" w:ascii="Times New Roman" w:hAnsi="Times New Roman" w:eastAsia="宋体" w:cs="Times New Roman"/>
                <w:color w:val="000000"/>
                <w:sz w:val="24"/>
                <w:szCs w:val="24"/>
                <w:lang w:eastAsia="zh-CN"/>
              </w:rPr>
              <w:t>（ZH65042220002）</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kern w:val="0"/>
                <w:sz w:val="24"/>
                <w:szCs w:val="24"/>
                <w:lang w:val="en-US" w:eastAsia="zh-CN" w:bidi="ar"/>
              </w:rPr>
              <w:t>生态环境管控单元图见附图</w:t>
            </w:r>
            <w:r>
              <w:rPr>
                <w:rFonts w:hint="eastAsia" w:ascii="Times New Roman" w:hAnsi="Times New Roman" w:eastAsia="宋体" w:cs="Times New Roman"/>
                <w:color w:val="000000"/>
                <w:kern w:val="0"/>
                <w:sz w:val="24"/>
                <w:szCs w:val="24"/>
                <w:lang w:val="en-US" w:eastAsia="zh-CN" w:bidi="ar"/>
              </w:rPr>
              <w:t>1</w:t>
            </w:r>
            <w:r>
              <w:rPr>
                <w:rFonts w:hint="default" w:ascii="Times New Roman" w:hAnsi="Times New Roman" w:eastAsia="宋体" w:cs="Times New Roman"/>
                <w:color w:val="000000"/>
                <w:kern w:val="0"/>
                <w:sz w:val="24"/>
                <w:szCs w:val="24"/>
                <w:lang w:val="en-US" w:eastAsia="zh-CN" w:bidi="ar"/>
              </w:rPr>
              <w:t>。本项目与其符合情况见下表</w:t>
            </w:r>
            <w:r>
              <w:rPr>
                <w:rFonts w:hint="eastAsia" w:ascii="Times New Roman" w:hAnsi="Times New Roman" w:eastAsia="宋体" w:cs="Times New Roman"/>
                <w:color w:val="000000"/>
                <w:kern w:val="0"/>
                <w:sz w:val="24"/>
                <w:szCs w:val="24"/>
                <w:lang w:val="en-US" w:eastAsia="zh-CN" w:bidi="ar"/>
              </w:rPr>
              <w:t>1-1</w:t>
            </w:r>
            <w:r>
              <w:rPr>
                <w:rFonts w:hint="default" w:ascii="Times New Roman" w:hAnsi="Times New Roman" w:eastAsia="宋体" w:cs="Times New Roman"/>
                <w:color w:val="000000"/>
                <w:kern w:val="0"/>
                <w:sz w:val="24"/>
                <w:szCs w:val="24"/>
                <w:lang w:val="en-US" w:eastAsia="zh-CN" w:bidi="ar"/>
              </w:rPr>
              <w:t>：</w:t>
            </w:r>
          </w:p>
          <w:p>
            <w:pPr>
              <w:keepNext w:val="0"/>
              <w:keepLines w:val="0"/>
              <w:widowControl/>
              <w:suppressLineNumbers w:val="0"/>
              <w:spacing w:line="240" w:lineRule="auto"/>
              <w:ind w:firstLine="0" w:firstLineChars="0"/>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kern w:val="0"/>
                <w:sz w:val="21"/>
                <w:szCs w:val="21"/>
                <w:lang w:val="en-US" w:eastAsia="zh-CN" w:bidi="ar"/>
              </w:rPr>
              <w:t>表1-   吐鲁番市“三线一单”符合性分析一览表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3414"/>
              <w:gridCol w:w="1665"/>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69" w:type="pct"/>
                  <w:gridSpan w:val="2"/>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0"/>
                      <w:sz w:val="21"/>
                      <w:szCs w:val="21"/>
                      <w:vertAlign w:val="baseline"/>
                      <w:lang w:val="en-US" w:eastAsia="zh-CN"/>
                    </w:rPr>
                  </w:pPr>
                  <w:r>
                    <w:rPr>
                      <w:rFonts w:hint="default" w:ascii="Times New Roman" w:hAnsi="Times New Roman" w:eastAsia="宋体" w:cs="Times New Roman"/>
                      <w:b/>
                      <w:bCs/>
                      <w:color w:val="000000"/>
                      <w:kern w:val="0"/>
                      <w:sz w:val="21"/>
                      <w:szCs w:val="21"/>
                      <w:vertAlign w:val="baseline"/>
                      <w:lang w:val="en-US" w:eastAsia="zh-CN"/>
                    </w:rPr>
                    <w:t>管控要求</w:t>
                  </w:r>
                </w:p>
              </w:tc>
              <w:tc>
                <w:tcPr>
                  <w:tcW w:w="1215"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0"/>
                      <w:sz w:val="21"/>
                      <w:szCs w:val="21"/>
                      <w:vertAlign w:val="baseline"/>
                      <w:lang w:val="en-US" w:eastAsia="zh-CN"/>
                    </w:rPr>
                  </w:pPr>
                  <w:r>
                    <w:rPr>
                      <w:rFonts w:hint="default" w:ascii="Times New Roman" w:hAnsi="Times New Roman" w:eastAsia="宋体" w:cs="Times New Roman"/>
                      <w:b/>
                      <w:bCs/>
                      <w:color w:val="000000"/>
                      <w:kern w:val="0"/>
                      <w:sz w:val="21"/>
                      <w:szCs w:val="21"/>
                      <w:vertAlign w:val="baseline"/>
                      <w:lang w:val="en-US" w:eastAsia="zh-CN"/>
                    </w:rPr>
                    <w:t>本项目工程概况</w:t>
                  </w:r>
                </w:p>
              </w:tc>
              <w:tc>
                <w:tcPr>
                  <w:tcW w:w="714"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b/>
                      <w:bCs/>
                      <w:color w:val="000000"/>
                      <w:kern w:val="0"/>
                      <w:sz w:val="21"/>
                      <w:szCs w:val="21"/>
                      <w:vertAlign w:val="baseline"/>
                      <w:lang w:val="en-US" w:eastAsia="zh-CN"/>
                    </w:rPr>
                  </w:pPr>
                  <w:r>
                    <w:rPr>
                      <w:rFonts w:hint="default" w:ascii="Times New Roman" w:hAnsi="Times New Roman" w:eastAsia="宋体" w:cs="Times New Roman"/>
                      <w:b/>
                      <w:bCs/>
                      <w:color w:val="000000"/>
                      <w:kern w:val="0"/>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7" w:type="pct"/>
                  <w:noWrap w:val="0"/>
                  <w:vAlign w:val="center"/>
                </w:tcPr>
                <w:p>
                  <w:pPr>
                    <w:adjustRightInd w:val="0"/>
                    <w:snapToGrid w:val="0"/>
                    <w:spacing w:line="320" w:lineRule="exact"/>
                    <w:ind w:firstLine="0" w:firstLineChars="0"/>
                    <w:jc w:val="both"/>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sz w:val="21"/>
                      <w:szCs w:val="21"/>
                      <w:lang w:val="en-US" w:eastAsia="zh-CN"/>
                    </w:rPr>
                    <w:t>空间布局约束</w:t>
                  </w:r>
                </w:p>
              </w:tc>
              <w:tc>
                <w:tcPr>
                  <w:tcW w:w="2491" w:type="pct"/>
                  <w:noWrap w:val="0"/>
                  <w:vAlign w:val="center"/>
                </w:tcPr>
                <w:p>
                  <w:pPr>
                    <w:keepNext w:val="0"/>
                    <w:keepLines w:val="0"/>
                    <w:widowControl/>
                    <w:suppressLineNumbers w:val="0"/>
                    <w:spacing w:line="240" w:lineRule="auto"/>
                    <w:ind w:firstLine="0" w:firstLineChars="0"/>
                    <w:jc w:val="both"/>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kern w:val="0"/>
                      <w:sz w:val="21"/>
                      <w:szCs w:val="21"/>
                      <w:vertAlign w:val="baseline"/>
                      <w:lang w:val="en-US" w:eastAsia="zh-CN"/>
                    </w:rPr>
                    <w:t>1.新建、改建、扩建企业要符合工业园区规划及规划环评要求。</w:t>
                  </w:r>
                </w:p>
                <w:p>
                  <w:pPr>
                    <w:keepNext w:val="0"/>
                    <w:keepLines w:val="0"/>
                    <w:widowControl/>
                    <w:suppressLineNumbers w:val="0"/>
                    <w:spacing w:line="240" w:lineRule="auto"/>
                    <w:ind w:firstLine="0" w:firstLineChars="0"/>
                    <w:jc w:val="both"/>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kern w:val="0"/>
                      <w:sz w:val="21"/>
                      <w:szCs w:val="21"/>
                      <w:vertAlign w:val="baseline"/>
                      <w:lang w:val="en-US" w:eastAsia="zh-CN"/>
                    </w:rPr>
                    <w:t>2.园区北侧与居民最近区域禁止布置原油加工、天然气加工、油母页岩提炼原油、煤制原油及其他石油制品、煤化工、炼焦、煤炭热解、电石、除单纯混合和分装外的化学原料制造、化学品制造、炼钢、炼铁、金属冶炼等三类工业和金属压延加工、含有电镀/喷漆等表面处理工艺的金属制品加工制造（喷漆工艺指使用油性漆量（含稀释剂）10吨及以上）等涉气的二类工业，鼓励无污染，工艺简单的企业入驻。</w:t>
                  </w:r>
                </w:p>
                <w:p>
                  <w:pPr>
                    <w:keepNext w:val="0"/>
                    <w:keepLines w:val="0"/>
                    <w:widowControl/>
                    <w:suppressLineNumbers w:val="0"/>
                    <w:spacing w:line="240" w:lineRule="auto"/>
                    <w:ind w:firstLine="0" w:firstLineChars="0"/>
                    <w:jc w:val="both"/>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kern w:val="0"/>
                      <w:sz w:val="21"/>
                      <w:szCs w:val="21"/>
                      <w:vertAlign w:val="baseline"/>
                      <w:lang w:val="en-US" w:eastAsia="zh-CN"/>
                    </w:rPr>
                    <w:t>3.禁止高水耗、高物耗、高能耗的项目。</w:t>
                  </w:r>
                </w:p>
                <w:p>
                  <w:pPr>
                    <w:keepNext w:val="0"/>
                    <w:keepLines w:val="0"/>
                    <w:widowControl/>
                    <w:suppressLineNumbers w:val="0"/>
                    <w:spacing w:line="240" w:lineRule="auto"/>
                    <w:ind w:firstLine="0" w:firstLineChars="0"/>
                    <w:jc w:val="both"/>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kern w:val="0"/>
                      <w:sz w:val="21"/>
                      <w:szCs w:val="21"/>
                      <w:vertAlign w:val="baseline"/>
                      <w:lang w:val="en-US" w:eastAsia="zh-CN"/>
                    </w:rPr>
                    <w:t>4.服装产业禁止引入含湿法印花、染色、水洗工艺的；禁止棉浆泊生产项目入园；禁止引入含洗毛、染整、脱胶工艺的项目。</w:t>
                  </w:r>
                </w:p>
                <w:p>
                  <w:pPr>
                    <w:keepNext w:val="0"/>
                    <w:keepLines w:val="0"/>
                    <w:widowControl/>
                    <w:suppressLineNumbers w:val="0"/>
                    <w:spacing w:line="240" w:lineRule="auto"/>
                    <w:ind w:firstLine="0" w:firstLineChars="0"/>
                    <w:jc w:val="both"/>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kern w:val="0"/>
                      <w:sz w:val="21"/>
                      <w:szCs w:val="21"/>
                      <w:vertAlign w:val="baseline"/>
                      <w:lang w:val="en-US" w:eastAsia="zh-CN"/>
                    </w:rPr>
                    <w:t>5.新建电石生产装置必须采用密闭式电石炉，电石炉气必须综合利用。新建电石生产装置须与大型乙炔深加工企业配套建设。</w:t>
                  </w:r>
                </w:p>
              </w:tc>
              <w:tc>
                <w:tcPr>
                  <w:tcW w:w="1215" w:type="pct"/>
                  <w:noWrap w:val="0"/>
                  <w:vAlign w:val="center"/>
                </w:tcPr>
                <w:p>
                  <w:pPr>
                    <w:bidi w:val="0"/>
                    <w:spacing w:line="240" w:lineRule="auto"/>
                    <w:ind w:left="0" w:leftChars="0" w:firstLine="0" w:firstLineChars="0"/>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本项目为非金属矿物制品业，</w:t>
                  </w:r>
                  <w:r>
                    <w:rPr>
                      <w:rFonts w:hint="eastAsia" w:ascii="Times New Roman" w:hAnsi="Times New Roman" w:eastAsia="宋体" w:cs="Times New Roman"/>
                      <w:color w:val="auto"/>
                      <w:kern w:val="0"/>
                      <w:sz w:val="21"/>
                      <w:szCs w:val="21"/>
                      <w:vertAlign w:val="baseline"/>
                      <w:lang w:val="en-US" w:eastAsia="zh-CN"/>
                    </w:rPr>
                    <w:t>位于</w:t>
                  </w:r>
                  <w:r>
                    <w:rPr>
                      <w:rFonts w:hint="default" w:ascii="Times New Roman" w:hAnsi="Times New Roman" w:eastAsia="宋体" w:cs="Times New Roman"/>
                      <w:color w:val="auto"/>
                      <w:kern w:val="0"/>
                      <w:sz w:val="21"/>
                      <w:szCs w:val="21"/>
                      <w:vertAlign w:val="baseline"/>
                      <w:lang w:val="en-US" w:eastAsia="zh-CN"/>
                    </w:rPr>
                    <w:t>托克逊县伊拉湖循环经济产业园</w:t>
                  </w:r>
                  <w:r>
                    <w:rPr>
                      <w:rFonts w:hint="eastAsia" w:ascii="Times New Roman" w:hAnsi="Times New Roman" w:eastAsia="宋体" w:cs="Times New Roman"/>
                      <w:color w:val="auto"/>
                      <w:kern w:val="0"/>
                      <w:sz w:val="21"/>
                      <w:szCs w:val="21"/>
                      <w:vertAlign w:val="baseline"/>
                      <w:lang w:val="en-US" w:eastAsia="zh-CN"/>
                    </w:rPr>
                    <w:t>北侧50米处，用地不属于工业园区</w:t>
                  </w:r>
                  <w:r>
                    <w:rPr>
                      <w:rFonts w:hint="default" w:ascii="Times New Roman" w:hAnsi="Times New Roman" w:eastAsia="宋体" w:cs="Times New Roman"/>
                      <w:color w:val="auto"/>
                      <w:kern w:val="0"/>
                      <w:sz w:val="21"/>
                      <w:szCs w:val="21"/>
                      <w:vertAlign w:val="baseline"/>
                      <w:lang w:val="en-US" w:eastAsia="zh-CN"/>
                    </w:rPr>
                    <w:t>。</w:t>
                  </w:r>
                </w:p>
              </w:tc>
              <w:tc>
                <w:tcPr>
                  <w:tcW w:w="714"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7" w:type="pct"/>
                  <w:noWrap w:val="0"/>
                  <w:vAlign w:val="center"/>
                </w:tcPr>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val="en-US" w:eastAsia="zh-CN" w:bidi="ar"/>
                    </w:rPr>
                    <w:t>污染</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val="en-US" w:eastAsia="zh-CN" w:bidi="ar"/>
                    </w:rPr>
                    <w:t>物排</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lang w:val="en-US" w:eastAsia="zh-CN" w:bidi="ar"/>
                    </w:rPr>
                    <w:t>放管</w:t>
                  </w:r>
                </w:p>
                <w:p>
                  <w:pPr>
                    <w:keepNext w:val="0"/>
                    <w:keepLines w:val="0"/>
                    <w:pageBreakBefore w:val="0"/>
                    <w:widowControl/>
                    <w:suppressLineNumbers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kern w:val="0"/>
                      <w:sz w:val="21"/>
                      <w:szCs w:val="21"/>
                      <w:lang w:val="en-US" w:eastAsia="zh-CN" w:bidi="ar"/>
                    </w:rPr>
                    <w:t>控</w:t>
                  </w:r>
                </w:p>
              </w:tc>
              <w:tc>
                <w:tcPr>
                  <w:tcW w:w="2491" w:type="pct"/>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kern w:val="0"/>
                      <w:sz w:val="21"/>
                      <w:szCs w:val="21"/>
                      <w:vertAlign w:val="baseline"/>
                      <w:lang w:val="en-US" w:eastAsia="zh-CN"/>
                    </w:rPr>
                    <w:t>1.对园区的SO</w:t>
                  </w:r>
                  <w:r>
                    <w:rPr>
                      <w:rFonts w:hint="default" w:ascii="Times New Roman" w:hAnsi="Times New Roman" w:eastAsia="宋体" w:cs="Times New Roman"/>
                      <w:color w:val="000000"/>
                      <w:kern w:val="0"/>
                      <w:sz w:val="21"/>
                      <w:szCs w:val="21"/>
                      <w:vertAlign w:val="subscript"/>
                      <w:lang w:val="en-US" w:eastAsia="zh-CN"/>
                    </w:rPr>
                    <w:t>2</w:t>
                  </w:r>
                  <w:r>
                    <w:rPr>
                      <w:rFonts w:hint="default" w:ascii="Times New Roman" w:hAnsi="Times New Roman" w:eastAsia="宋体" w:cs="Times New Roman"/>
                      <w:color w:val="000000"/>
                      <w:kern w:val="0"/>
                      <w:sz w:val="21"/>
                      <w:szCs w:val="21"/>
                      <w:vertAlign w:val="baseline"/>
                      <w:lang w:val="en-US" w:eastAsia="zh-CN"/>
                    </w:rPr>
                    <w:t>、NO</w:t>
                  </w:r>
                  <w:r>
                    <w:rPr>
                      <w:rFonts w:hint="default" w:ascii="Times New Roman" w:hAnsi="Times New Roman" w:eastAsia="宋体" w:cs="Times New Roman"/>
                      <w:color w:val="000000"/>
                      <w:kern w:val="0"/>
                      <w:sz w:val="21"/>
                      <w:szCs w:val="21"/>
                      <w:vertAlign w:val="subscript"/>
                      <w:lang w:val="en-US" w:eastAsia="zh-CN"/>
                    </w:rPr>
                    <w:t>X</w:t>
                  </w:r>
                  <w:r>
                    <w:rPr>
                      <w:rFonts w:hint="default" w:ascii="Times New Roman" w:hAnsi="Times New Roman" w:eastAsia="宋体" w:cs="Times New Roman"/>
                      <w:color w:val="000000"/>
                      <w:kern w:val="0"/>
                      <w:sz w:val="21"/>
                      <w:szCs w:val="21"/>
                      <w:vertAlign w:val="baseline"/>
                      <w:lang w:val="en-US" w:eastAsia="zh-CN"/>
                    </w:rPr>
                    <w:t>、烟粉尘和VOCs进行总量控制。逐步开展碳核查工作。</w:t>
                  </w:r>
                </w:p>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kern w:val="0"/>
                      <w:sz w:val="21"/>
                      <w:szCs w:val="21"/>
                      <w:vertAlign w:val="baseline"/>
                      <w:lang w:val="en-US" w:eastAsia="zh-CN"/>
                    </w:rPr>
                    <w:t>2.推进工业炉窑全面达标排放，严格执行行业排放标准、加大污染治理力度。</w:t>
                  </w:r>
                </w:p>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kern w:val="0"/>
                      <w:sz w:val="21"/>
                      <w:szCs w:val="21"/>
                      <w:vertAlign w:val="baseline"/>
                      <w:lang w:val="en-US" w:eastAsia="zh-CN"/>
                    </w:rPr>
                    <w:t>3.加快推进化工行业VOCs综合治理，加大煤化工（含现代煤化工、炼焦、合成氨等）、橡胶制品、涂料、油墨、胶粘剂、染料、化学助剂（塑料助剂和橡胶助剂）等化工行业VOCs治理力度。</w:t>
                  </w:r>
                </w:p>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kern w:val="0"/>
                      <w:sz w:val="21"/>
                      <w:szCs w:val="21"/>
                      <w:vertAlign w:val="baseline"/>
                      <w:lang w:val="en-US" w:eastAsia="zh-CN"/>
                    </w:rPr>
                    <w:t>4.加强无组织废气排放的管理，采用先进的、密闭性好的生产设备、化工物料存贮容器和输送管线，最大限度减少无组织废气排放。使用煤炭项目建议采用密闭输煤栈桥输送和用圆筒仓储煤以减少扬尘污染，对碎煤车间、储煤仓等扬尘点采用袋式除尘器进行除尘处理，减少粉尘排放量，回收的粉尘返回生产系统。各原料及产品仓采用封闭式。</w:t>
                  </w:r>
                </w:p>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kern w:val="0"/>
                      <w:sz w:val="21"/>
                      <w:szCs w:val="21"/>
                      <w:vertAlign w:val="baseline"/>
                      <w:lang w:val="en-US" w:eastAsia="zh-CN"/>
                    </w:rPr>
                    <w:t>5.加强对园区内企业的废水、废气中重金属的污染防控措施，严格执行重金属总量控制政策。</w:t>
                  </w:r>
                </w:p>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kern w:val="0"/>
                      <w:sz w:val="21"/>
                      <w:szCs w:val="21"/>
                      <w:vertAlign w:val="baseline"/>
                      <w:lang w:val="en-US" w:eastAsia="zh-CN"/>
                    </w:rPr>
                    <w:t>7.推进污水集中处理设施及再生水回用系统；完善污水管网建设，加强对各企业排放的污废水的监控，禁止在园内设置排污口。</w:t>
                  </w:r>
                </w:p>
                <w:p>
                  <w:pPr>
                    <w:keepNext w:val="0"/>
                    <w:keepLines w:val="0"/>
                    <w:pageBreakBefore w:val="0"/>
                    <w:widowControl w:val="0"/>
                    <w:kinsoku/>
                    <w:wordWrap w:val="0"/>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kern w:val="0"/>
                      <w:sz w:val="21"/>
                      <w:szCs w:val="21"/>
                      <w:vertAlign w:val="baseline"/>
                      <w:lang w:val="en-US" w:eastAsia="zh-CN"/>
                    </w:rPr>
                    <w:t>8.对污染地块和列入疑似污染地块名单的地块，严格按照《污染地块土壤环境管理办法》等相关法律法规管理。</w:t>
                  </w:r>
                </w:p>
              </w:tc>
              <w:tc>
                <w:tcPr>
                  <w:tcW w:w="1215" w:type="pct"/>
                  <w:noWrap w:val="0"/>
                  <w:vAlign w:val="center"/>
                </w:tcPr>
                <w:p>
                  <w:pPr>
                    <w:keepNext w:val="0"/>
                    <w:keepLines w:val="0"/>
                    <w:pageBreakBefore w:val="0"/>
                    <w:widowControl/>
                    <w:suppressLineNumbers w:val="0"/>
                    <w:kinsoku/>
                    <w:wordWrap w:val="0"/>
                    <w:overflowPunct/>
                    <w:topLinePunct w:val="0"/>
                    <w:autoSpaceDE/>
                    <w:autoSpaceDN/>
                    <w:bidi w:val="0"/>
                    <w:spacing w:line="240" w:lineRule="auto"/>
                    <w:ind w:firstLine="0" w:firstLineChars="0"/>
                    <w:jc w:val="both"/>
                    <w:textAlignment w:val="auto"/>
                    <w:rPr>
                      <w:rFonts w:hint="default" w:ascii="Times New Roman" w:hAnsi="Times New Roman" w:eastAsia="宋体" w:cs="Times New Roman"/>
                      <w:color w:val="000000"/>
                      <w:kern w:val="0"/>
                      <w:sz w:val="21"/>
                      <w:szCs w:val="21"/>
                      <w:vertAlign w:val="baseline"/>
                      <w:lang w:val="en-US" w:eastAsia="zh-CN"/>
                    </w:rPr>
                  </w:pPr>
                  <w:r>
                    <w:rPr>
                      <w:rFonts w:hint="eastAsia" w:cs="Times New Roman"/>
                      <w:b w:val="0"/>
                      <w:bCs/>
                      <w:color w:val="auto"/>
                      <w:sz w:val="21"/>
                      <w:szCs w:val="21"/>
                      <w:lang w:val="en-US" w:eastAsia="zh-CN"/>
                    </w:rPr>
                    <w:t>本项目冬季不生产办公人员供暖使用电采暖，工艺工程中的搅拌废气经除尘器处理后排放，大石堆场半封闭+防风抑尘网，小石堆场采用全封闭抑尘措施，生产用水沉淀后回用于生产线，</w:t>
                  </w:r>
                  <w:r>
                    <w:rPr>
                      <w:rFonts w:hint="default" w:ascii="Times New Roman" w:hAnsi="Times New Roman" w:eastAsia="宋体" w:cs="Times New Roman"/>
                      <w:b w:val="0"/>
                      <w:bCs/>
                      <w:color w:val="auto"/>
                      <w:sz w:val="21"/>
                      <w:szCs w:val="21"/>
                      <w:lang w:val="en-US" w:eastAsia="zh-CN"/>
                    </w:rPr>
                    <w:t>符合</w:t>
                  </w:r>
                  <w:r>
                    <w:rPr>
                      <w:rFonts w:hint="eastAsia" w:cs="Times New Roman"/>
                      <w:b w:val="0"/>
                      <w:bCs/>
                      <w:color w:val="auto"/>
                      <w:sz w:val="21"/>
                      <w:szCs w:val="21"/>
                      <w:lang w:val="en-US" w:eastAsia="zh-CN"/>
                    </w:rPr>
                    <w:t>污染物排放管控要求</w:t>
                  </w:r>
                </w:p>
              </w:tc>
              <w:tc>
                <w:tcPr>
                  <w:tcW w:w="714"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7"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kern w:val="0"/>
                      <w:sz w:val="21"/>
                      <w:szCs w:val="21"/>
                      <w:vertAlign w:val="baseline"/>
                      <w:lang w:val="en-US" w:eastAsia="zh-CN"/>
                    </w:rPr>
                    <w:t>环境风险防控</w:t>
                  </w:r>
                </w:p>
              </w:tc>
              <w:tc>
                <w:tcPr>
                  <w:tcW w:w="2491" w:type="pct"/>
                  <w:noWrap w:val="0"/>
                  <w:vAlign w:val="center"/>
                </w:tcPr>
                <w:p>
                  <w:pPr>
                    <w:bidi w:val="0"/>
                    <w:spacing w:line="240" w:lineRule="auto"/>
                    <w:ind w:firstLine="0" w:firstLineChars="0"/>
                    <w:jc w:val="both"/>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kern w:val="0"/>
                      <w:sz w:val="21"/>
                      <w:szCs w:val="21"/>
                      <w:vertAlign w:val="baseline"/>
                      <w:lang w:val="en-US" w:eastAsia="zh-CN"/>
                    </w:rPr>
                    <w:t>1.强化有毒有害原辅材料运输、储存、使用等过程的监管；做好厂区分区防渗措施。涉及危险工艺的生产企业，必须装备自动化控制系统，安装液位、温度、压力超限报警设施、气体泄漏检测</w:t>
                  </w:r>
                  <w:r>
                    <w:rPr>
                      <w:rFonts w:hint="eastAsia" w:cs="Times New Roman"/>
                      <w:color w:val="000000"/>
                      <w:kern w:val="0"/>
                      <w:sz w:val="21"/>
                      <w:szCs w:val="21"/>
                      <w:vertAlign w:val="baseline"/>
                      <w:lang w:val="en-US" w:eastAsia="zh-CN"/>
                    </w:rPr>
                    <w:t>报警装置</w:t>
                  </w:r>
                  <w:r>
                    <w:rPr>
                      <w:rFonts w:hint="default" w:ascii="Times New Roman" w:hAnsi="Times New Roman" w:eastAsia="宋体" w:cs="Times New Roman"/>
                      <w:color w:val="000000"/>
                      <w:kern w:val="0"/>
                      <w:sz w:val="21"/>
                      <w:szCs w:val="21"/>
                      <w:vertAlign w:val="baseline"/>
                      <w:lang w:val="en-US" w:eastAsia="zh-CN"/>
                    </w:rPr>
                    <w:t>、紧急切断装置等。</w:t>
                  </w:r>
                </w:p>
                <w:p>
                  <w:pPr>
                    <w:bidi w:val="0"/>
                    <w:spacing w:line="240" w:lineRule="auto"/>
                    <w:ind w:firstLine="0" w:firstLineChars="0"/>
                    <w:jc w:val="both"/>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kern w:val="0"/>
                      <w:sz w:val="21"/>
                      <w:szCs w:val="21"/>
                      <w:vertAlign w:val="baseline"/>
                      <w:lang w:val="en-US" w:eastAsia="zh-CN"/>
                    </w:rPr>
                    <w:t>2.定期排查废水污染治理设施建设运行情况、并做好防腐防渗措施；园区污水集中处理设施安装自动在线监控装置；加强园区下游的水质监测。</w:t>
                  </w:r>
                </w:p>
                <w:p>
                  <w:pPr>
                    <w:bidi w:val="0"/>
                    <w:spacing w:line="240" w:lineRule="auto"/>
                    <w:ind w:firstLine="0" w:firstLineChars="0"/>
                    <w:jc w:val="both"/>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kern w:val="0"/>
                      <w:sz w:val="21"/>
                      <w:szCs w:val="21"/>
                      <w:vertAlign w:val="baseline"/>
                      <w:lang w:val="en-US" w:eastAsia="zh-CN"/>
                    </w:rPr>
                    <w:t>3.加强风险事故防范意识，制定各类风险事故应急预案，并在化工区开展经常性的演练。园区管委会应组建自己的消防队。</w:t>
                  </w:r>
                </w:p>
                <w:p>
                  <w:pPr>
                    <w:bidi w:val="0"/>
                    <w:spacing w:line="240" w:lineRule="auto"/>
                    <w:ind w:firstLine="0" w:firstLineChars="0"/>
                    <w:jc w:val="both"/>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kern w:val="0"/>
                      <w:sz w:val="21"/>
                      <w:szCs w:val="21"/>
                      <w:vertAlign w:val="baseline"/>
                      <w:lang w:val="en-US" w:eastAsia="zh-CN"/>
                    </w:rPr>
                    <w:t>4.严格污染地块开发利用和流转审批。按照国家有关环境</w:t>
                  </w:r>
                  <w:r>
                    <w:rPr>
                      <w:rFonts w:hint="eastAsia" w:cs="Times New Roman"/>
                      <w:color w:val="000000"/>
                      <w:kern w:val="0"/>
                      <w:sz w:val="21"/>
                      <w:szCs w:val="21"/>
                      <w:vertAlign w:val="baseline"/>
                      <w:lang w:val="en-US" w:eastAsia="zh-CN"/>
                    </w:rPr>
                    <w:t>标准</w:t>
                  </w:r>
                  <w:r>
                    <w:rPr>
                      <w:rFonts w:hint="default" w:ascii="Times New Roman" w:hAnsi="Times New Roman" w:eastAsia="宋体" w:cs="Times New Roman"/>
                      <w:color w:val="000000"/>
                      <w:kern w:val="0"/>
                      <w:sz w:val="21"/>
                      <w:szCs w:val="21"/>
                      <w:vertAlign w:val="baseline"/>
                      <w:lang w:val="en-US" w:eastAsia="zh-CN"/>
                    </w:rPr>
                    <w:t>和技术规范，编制风险管控方案。</w:t>
                  </w:r>
                </w:p>
              </w:tc>
              <w:tc>
                <w:tcPr>
                  <w:tcW w:w="1215" w:type="pct"/>
                  <w:noWrap w:val="0"/>
                  <w:vAlign w:val="center"/>
                </w:tcPr>
                <w:p>
                  <w:pPr>
                    <w:keepNext w:val="0"/>
                    <w:keepLines w:val="0"/>
                    <w:widowControl/>
                    <w:suppressLineNumbers w:val="0"/>
                    <w:spacing w:line="240" w:lineRule="auto"/>
                    <w:ind w:firstLine="0" w:firstLineChars="0"/>
                    <w:jc w:val="both"/>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kern w:val="0"/>
                      <w:sz w:val="21"/>
                      <w:szCs w:val="21"/>
                      <w:vertAlign w:val="baseline"/>
                      <w:lang w:val="en-US" w:eastAsia="zh-CN"/>
                    </w:rPr>
                    <w:t>本项目产生的危险废物于危废暂存间暂存，厂区进行分区防渗，危废暂存间为重点防渗区；项目运行期间将加强风险事故防范意识，并制定各类风险事故应急预案。</w:t>
                  </w:r>
                </w:p>
              </w:tc>
              <w:tc>
                <w:tcPr>
                  <w:tcW w:w="714"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7"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kern w:val="0"/>
                      <w:sz w:val="21"/>
                      <w:szCs w:val="21"/>
                      <w:vertAlign w:val="baseline"/>
                      <w:lang w:val="en-US" w:eastAsia="zh-CN"/>
                    </w:rPr>
                    <w:t>资源利用效率要求</w:t>
                  </w:r>
                </w:p>
              </w:tc>
              <w:tc>
                <w:tcPr>
                  <w:tcW w:w="2491" w:type="pct"/>
                  <w:noWrap w:val="0"/>
                  <w:vAlign w:val="center"/>
                </w:tcPr>
                <w:p>
                  <w:pPr>
                    <w:bidi w:val="0"/>
                    <w:spacing w:line="240" w:lineRule="auto"/>
                    <w:ind w:firstLine="0" w:firstLineChars="0"/>
                    <w:jc w:val="both"/>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kern w:val="0"/>
                      <w:sz w:val="21"/>
                      <w:szCs w:val="21"/>
                      <w:vertAlign w:val="baseline"/>
                      <w:lang w:val="en-US" w:eastAsia="zh-CN"/>
                    </w:rPr>
                    <w:t>1.严把耗煤新项目准入关，控制煤炭消费总量。</w:t>
                  </w:r>
                </w:p>
                <w:p>
                  <w:pPr>
                    <w:bidi w:val="0"/>
                    <w:spacing w:line="240" w:lineRule="auto"/>
                    <w:ind w:firstLine="0" w:firstLineChars="0"/>
                    <w:jc w:val="both"/>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kern w:val="0"/>
                      <w:sz w:val="21"/>
                      <w:szCs w:val="21"/>
                      <w:vertAlign w:val="baseline"/>
                      <w:lang w:val="en-US" w:eastAsia="zh-CN"/>
                    </w:rPr>
                    <w:t>2.严格实施用水管理。新建、改建、扩建项目用水要达到行业先进水平，节水设施应与主体工程同时设计、同时施工、同时投运。</w:t>
                  </w:r>
                </w:p>
                <w:p>
                  <w:pPr>
                    <w:bidi w:val="0"/>
                    <w:spacing w:line="240" w:lineRule="auto"/>
                    <w:ind w:firstLine="0" w:firstLineChars="0"/>
                    <w:jc w:val="both"/>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kern w:val="0"/>
                      <w:sz w:val="21"/>
                      <w:szCs w:val="21"/>
                      <w:vertAlign w:val="baseline"/>
                      <w:lang w:val="en-US" w:eastAsia="zh-CN"/>
                    </w:rPr>
                    <w:t>3.提高工业用水效率，提高工业用水重复利用率和中水回用率，满足国家政策和环评要求。</w:t>
                  </w:r>
                </w:p>
              </w:tc>
              <w:tc>
                <w:tcPr>
                  <w:tcW w:w="1215" w:type="pct"/>
                  <w:noWrap w:val="0"/>
                  <w:vAlign w:val="center"/>
                </w:tcPr>
                <w:p>
                  <w:pPr>
                    <w:bidi w:val="0"/>
                    <w:spacing w:line="240" w:lineRule="auto"/>
                    <w:ind w:firstLine="0" w:firstLineChars="0"/>
                    <w:jc w:val="both"/>
                    <w:rPr>
                      <w:rFonts w:hint="default" w:ascii="Times New Roman" w:hAnsi="Times New Roman" w:eastAsia="宋体" w:cs="Times New Roman"/>
                      <w:color w:val="000000"/>
                      <w:kern w:val="0"/>
                      <w:sz w:val="21"/>
                      <w:szCs w:val="21"/>
                      <w:vertAlign w:val="baseline"/>
                      <w:lang w:val="en-US" w:eastAsia="zh-CN"/>
                    </w:rPr>
                  </w:pPr>
                  <w:r>
                    <w:rPr>
                      <w:rFonts w:hint="eastAsia" w:ascii="Times New Roman" w:hAnsi="Times New Roman" w:eastAsia="宋体" w:cs="Times New Roman"/>
                      <w:color w:val="000000"/>
                      <w:kern w:val="0"/>
                      <w:sz w:val="21"/>
                      <w:szCs w:val="21"/>
                      <w:vertAlign w:val="baseline"/>
                      <w:lang w:val="en-US" w:eastAsia="zh-CN"/>
                    </w:rPr>
                    <w:t>本项目生活污水排入化粪池预处理后定期清运至伊拉湖镇污水处理厂，生产废水经沉淀后回用，不外排。</w:t>
                  </w:r>
                </w:p>
              </w:tc>
              <w:tc>
                <w:tcPr>
                  <w:tcW w:w="714" w:type="pct"/>
                  <w:noWrap w:val="0"/>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color w:val="000000"/>
                      <w:kern w:val="0"/>
                      <w:sz w:val="21"/>
                      <w:szCs w:val="21"/>
                      <w:vertAlign w:val="baseline"/>
                      <w:lang w:val="en-US" w:eastAsia="zh-CN"/>
                    </w:rPr>
                  </w:pPr>
                  <w:r>
                    <w:rPr>
                      <w:rFonts w:hint="default" w:ascii="Times New Roman" w:hAnsi="Times New Roman" w:eastAsia="宋体" w:cs="Times New Roman"/>
                      <w:color w:val="000000"/>
                      <w:kern w:val="0"/>
                      <w:sz w:val="21"/>
                      <w:szCs w:val="21"/>
                      <w:vertAlign w:val="baseline"/>
                      <w:lang w:val="en-US" w:eastAsia="zh-CN"/>
                    </w:rPr>
                    <w:t>符合</w:t>
                  </w:r>
                </w:p>
              </w:tc>
            </w:tr>
          </w:tbl>
          <w:p>
            <w:pPr>
              <w:numPr>
                <w:ilvl w:val="0"/>
                <w:numId w:val="0"/>
              </w:numPr>
              <w:ind w:leftChars="0"/>
              <w:rPr>
                <w:rFonts w:hint="default" w:ascii="Times New Roman" w:hAnsi="Times New Roman" w:eastAsia="宋体" w:cs="Times New Roman"/>
                <w:b/>
                <w:bCs/>
                <w:color w:val="000000" w:themeColor="text1"/>
                <w:highlight w:val="none"/>
                <w:lang w:val="en-US" w:eastAsia="zh-CN"/>
                <w14:textFill>
                  <w14:solidFill>
                    <w14:schemeClr w14:val="tx1"/>
                  </w14:solidFill>
                </w14:textFill>
              </w:rPr>
            </w:pPr>
            <w:r>
              <w:rPr>
                <w:rFonts w:hint="eastAsia" w:cs="Times New Roman"/>
                <w:b/>
                <w:bCs/>
                <w:color w:val="000000" w:themeColor="text1"/>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highlight w:val="none"/>
                <w:lang w:val="en-US" w:eastAsia="zh-CN"/>
                <w14:textFill>
                  <w14:solidFill>
                    <w14:schemeClr w14:val="tx1"/>
                  </w14:solidFill>
                </w14:textFill>
              </w:rPr>
              <w:t>选址合理性分析</w:t>
            </w:r>
          </w:p>
          <w:p>
            <w:pPr>
              <w:keepNext w:val="0"/>
              <w:keepLines w:val="0"/>
              <w:suppressLineNumbers w:val="0"/>
              <w:spacing w:before="0" w:beforeAutospacing="0" w:after="0" w:afterAutospacing="0" w:line="360" w:lineRule="auto"/>
              <w:ind w:left="0" w:right="0" w:firstLine="480" w:firstLineChars="200"/>
              <w:outlineLvl w:val="1"/>
              <w:rPr>
                <w:rFonts w:hint="default" w:ascii="Times New Roman" w:hAnsi="Times New Roman" w:eastAsia="宋体" w:cs="Times New Roman"/>
                <w:color w:val="auto"/>
                <w:sz w:val="24"/>
                <w:szCs w:val="20"/>
                <w:highlight w:val="none"/>
                <w:lang w:val="en-US" w:eastAsia="zh-CN"/>
              </w:rPr>
            </w:pPr>
            <w:r>
              <w:rPr>
                <w:rFonts w:hint="eastAsia" w:cs="Times New Roman"/>
                <w:color w:val="auto"/>
                <w:highlight w:val="none"/>
                <w:lang w:val="en-US" w:eastAsia="zh-CN"/>
              </w:rPr>
              <w:t>本项目拟建设地点位于</w:t>
            </w:r>
            <w:r>
              <w:rPr>
                <w:rFonts w:hint="default" w:ascii="Times New Roman" w:hAnsi="Times New Roman" w:eastAsia="宋体" w:cs="Times New Roman"/>
                <w:color w:val="auto"/>
                <w:highlight w:val="none"/>
                <w:lang w:val="en-US" w:eastAsia="zh-CN"/>
              </w:rPr>
              <w:t>托克逊县S301省道北侧</w:t>
            </w:r>
            <w:r>
              <w:rPr>
                <w:rFonts w:hint="eastAsia" w:cs="Times New Roman"/>
                <w:color w:val="auto"/>
                <w:highlight w:val="none"/>
                <w:lang w:val="en-US" w:eastAsia="zh-CN"/>
              </w:rPr>
              <w:t>1.9公里</w:t>
            </w:r>
            <w:r>
              <w:rPr>
                <w:rFonts w:hint="default" w:ascii="Times New Roman" w:hAnsi="Times New Roman" w:eastAsia="宋体" w:cs="Times New Roman"/>
                <w:color w:val="auto"/>
                <w:highlight w:val="none"/>
                <w:lang w:val="en-US" w:eastAsia="zh-CN"/>
              </w:rPr>
              <w:t>、中泰天雨煤化工东侧4公里</w:t>
            </w:r>
            <w:r>
              <w:rPr>
                <w:rFonts w:hint="eastAsia" w:cs="Times New Roman"/>
                <w:color w:val="auto"/>
                <w:highlight w:val="none"/>
                <w:lang w:val="en-US" w:eastAsia="zh-CN"/>
              </w:rPr>
              <w:t>处</w:t>
            </w:r>
            <w:r>
              <w:rPr>
                <w:rFonts w:hint="default" w:ascii="Times New Roman" w:hAnsi="Times New Roman" w:eastAsia="宋体" w:cs="Times New Roman"/>
                <w:color w:val="auto"/>
                <w:sz w:val="24"/>
                <w:szCs w:val="20"/>
                <w:highlight w:val="none"/>
                <w:lang w:val="en-US" w:eastAsia="zh-CN"/>
              </w:rPr>
              <w:t>，占地面积</w:t>
            </w:r>
            <w:r>
              <w:rPr>
                <w:rFonts w:hint="eastAsia" w:cs="Times New Roman"/>
                <w:color w:val="auto"/>
                <w:sz w:val="24"/>
                <w:szCs w:val="20"/>
                <w:highlight w:val="none"/>
                <w:lang w:val="en-US" w:eastAsia="zh-CN"/>
              </w:rPr>
              <w:t>41560m</w:t>
            </w:r>
            <w:r>
              <w:rPr>
                <w:rFonts w:hint="eastAsia" w:cs="Times New Roman"/>
                <w:color w:val="auto"/>
                <w:sz w:val="24"/>
                <w:szCs w:val="20"/>
                <w:highlight w:val="none"/>
                <w:vertAlign w:val="superscript"/>
                <w:lang w:val="en-US" w:eastAsia="zh-CN"/>
              </w:rPr>
              <w:t>2</w:t>
            </w:r>
            <w:r>
              <w:rPr>
                <w:rFonts w:hint="default" w:ascii="Times New Roman" w:hAnsi="Times New Roman" w:eastAsia="宋体" w:cs="Times New Roman"/>
                <w:color w:val="auto"/>
                <w:sz w:val="24"/>
                <w:szCs w:val="20"/>
                <w:highlight w:val="none"/>
                <w:lang w:val="en-US" w:eastAsia="zh-CN"/>
              </w:rPr>
              <w:t>，</w:t>
            </w:r>
            <w:r>
              <w:rPr>
                <w:rFonts w:hint="eastAsia" w:cs="Times New Roman"/>
                <w:color w:val="auto"/>
                <w:sz w:val="24"/>
                <w:szCs w:val="20"/>
                <w:highlight w:val="none"/>
                <w:lang w:val="en-US" w:eastAsia="zh-CN"/>
              </w:rPr>
              <w:t>于</w:t>
            </w:r>
            <w:r>
              <w:rPr>
                <w:rFonts w:hint="default" w:ascii="Times New Roman" w:hAnsi="Times New Roman" w:eastAsia="宋体" w:cs="Times New Roman"/>
                <w:color w:val="auto"/>
                <w:sz w:val="24"/>
                <w:szCs w:val="20"/>
                <w:highlight w:val="none"/>
                <w:lang w:val="en-US" w:eastAsia="zh-CN"/>
              </w:rPr>
              <w:t>202</w:t>
            </w:r>
            <w:r>
              <w:rPr>
                <w:rFonts w:hint="eastAsia" w:cs="Times New Roman"/>
                <w:color w:val="auto"/>
                <w:sz w:val="24"/>
                <w:szCs w:val="20"/>
                <w:highlight w:val="none"/>
                <w:lang w:val="en-US" w:eastAsia="zh-CN"/>
              </w:rPr>
              <w:t>4</w:t>
            </w:r>
            <w:r>
              <w:rPr>
                <w:rFonts w:hint="default" w:ascii="Times New Roman" w:hAnsi="Times New Roman" w:eastAsia="宋体" w:cs="Times New Roman"/>
                <w:color w:val="auto"/>
                <w:sz w:val="24"/>
                <w:szCs w:val="20"/>
                <w:highlight w:val="none"/>
                <w:lang w:val="en-US" w:eastAsia="zh-CN"/>
              </w:rPr>
              <w:t>年</w:t>
            </w:r>
            <w:r>
              <w:rPr>
                <w:rFonts w:hint="eastAsia" w:cs="Times New Roman"/>
                <w:color w:val="auto"/>
                <w:sz w:val="24"/>
                <w:szCs w:val="20"/>
                <w:highlight w:val="none"/>
                <w:lang w:val="en-US" w:eastAsia="zh-CN"/>
              </w:rPr>
              <w:t>6</w:t>
            </w:r>
            <w:r>
              <w:rPr>
                <w:rFonts w:hint="default" w:ascii="Times New Roman" w:hAnsi="Times New Roman" w:eastAsia="宋体" w:cs="Times New Roman"/>
                <w:color w:val="auto"/>
                <w:sz w:val="24"/>
                <w:szCs w:val="20"/>
                <w:highlight w:val="none"/>
                <w:lang w:val="en-US" w:eastAsia="zh-CN"/>
              </w:rPr>
              <w:t>月</w:t>
            </w:r>
            <w:r>
              <w:rPr>
                <w:rFonts w:hint="eastAsia" w:cs="Times New Roman"/>
                <w:color w:val="auto"/>
                <w:sz w:val="24"/>
                <w:szCs w:val="20"/>
                <w:highlight w:val="none"/>
                <w:lang w:val="en-US" w:eastAsia="zh-CN"/>
              </w:rPr>
              <w:t>3</w:t>
            </w:r>
            <w:r>
              <w:rPr>
                <w:rFonts w:hint="default" w:ascii="Times New Roman" w:hAnsi="Times New Roman" w:eastAsia="宋体" w:cs="Times New Roman"/>
                <w:color w:val="auto"/>
                <w:sz w:val="24"/>
                <w:szCs w:val="20"/>
                <w:highlight w:val="none"/>
                <w:lang w:val="en-US" w:eastAsia="zh-CN"/>
              </w:rPr>
              <w:t>日与吐克逊县自然资源局</w:t>
            </w:r>
            <w:r>
              <w:rPr>
                <w:rFonts w:hint="eastAsia" w:cs="Times New Roman"/>
                <w:color w:val="auto"/>
                <w:sz w:val="24"/>
                <w:szCs w:val="20"/>
                <w:highlight w:val="none"/>
                <w:lang w:val="en-US" w:eastAsia="zh-CN"/>
              </w:rPr>
              <w:t>签订</w:t>
            </w:r>
            <w:r>
              <w:rPr>
                <w:rFonts w:hint="default" w:ascii="Times New Roman" w:hAnsi="Times New Roman" w:eastAsia="宋体" w:cs="Times New Roman"/>
                <w:color w:val="auto"/>
                <w:sz w:val="24"/>
                <w:szCs w:val="20"/>
                <w:highlight w:val="none"/>
                <w:lang w:val="en-US" w:eastAsia="zh-CN"/>
              </w:rPr>
              <w:t>临时用地合同，详见附件</w:t>
            </w:r>
            <w:r>
              <w:rPr>
                <w:rFonts w:hint="eastAsia" w:cs="Times New Roman"/>
                <w:color w:val="auto"/>
                <w:sz w:val="24"/>
                <w:szCs w:val="20"/>
                <w:highlight w:val="none"/>
                <w:lang w:val="en-US" w:eastAsia="zh-CN"/>
              </w:rPr>
              <w:t>4</w:t>
            </w:r>
            <w:r>
              <w:rPr>
                <w:rFonts w:hint="default" w:ascii="Times New Roman" w:hAnsi="Times New Roman" w:eastAsia="宋体" w:cs="Times New Roman"/>
                <w:color w:val="auto"/>
                <w:sz w:val="24"/>
                <w:szCs w:val="20"/>
                <w:highlight w:val="none"/>
                <w:lang w:val="en-US" w:eastAsia="zh-CN"/>
              </w:rPr>
              <w:t>。项目区地势平坦，微地貌变化不大。场地无不良地质现象存在，也没有大的活动性构造通过，场地区域稳定性较好，属于可进行工程建设的一般型场地，工程地质条件较好。</w:t>
            </w:r>
          </w:p>
          <w:p>
            <w:pPr>
              <w:keepNext w:val="0"/>
              <w:keepLines w:val="0"/>
              <w:suppressLineNumbers w:val="0"/>
              <w:spacing w:before="0" w:beforeAutospacing="0" w:after="0" w:afterAutospacing="0" w:line="360" w:lineRule="auto"/>
              <w:ind w:left="0" w:right="0" w:firstLine="480" w:firstLineChars="200"/>
              <w:outlineLvl w:val="1"/>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z w:val="24"/>
                <w:szCs w:val="20"/>
                <w:highlight w:val="none"/>
                <w:lang w:val="en-US" w:eastAsia="zh-CN"/>
              </w:rPr>
              <w:t>本项目</w:t>
            </w:r>
            <w:r>
              <w:rPr>
                <w:rFonts w:hint="eastAsia" w:ascii="Times New Roman" w:hAnsi="Times New Roman" w:eastAsia="宋体" w:cs="Times New Roman"/>
                <w:color w:val="auto"/>
                <w:sz w:val="24"/>
                <w:szCs w:val="20"/>
                <w:highlight w:val="none"/>
                <w:lang w:val="en-US" w:eastAsia="zh-CN"/>
              </w:rPr>
              <w:t>距离</w:t>
            </w:r>
            <w:r>
              <w:rPr>
                <w:rFonts w:hint="default" w:ascii="Times New Roman" w:hAnsi="Times New Roman" w:eastAsia="宋体" w:cs="Times New Roman"/>
                <w:color w:val="auto"/>
                <w:sz w:val="24"/>
                <w:szCs w:val="20"/>
                <w:highlight w:val="none"/>
                <w:lang w:val="en-US" w:eastAsia="zh-CN"/>
              </w:rPr>
              <w:t>托克逊县伊拉湖循环经济产业园</w:t>
            </w:r>
            <w:r>
              <w:rPr>
                <w:rFonts w:hint="eastAsia" w:ascii="Times New Roman" w:hAnsi="Times New Roman" w:eastAsia="宋体" w:cs="Times New Roman"/>
                <w:color w:val="auto"/>
                <w:sz w:val="24"/>
                <w:szCs w:val="20"/>
                <w:highlight w:val="none"/>
                <w:lang w:val="en-US" w:eastAsia="zh-CN"/>
              </w:rPr>
              <w:t>北侧50米，项目区</w:t>
            </w:r>
            <w:r>
              <w:rPr>
                <w:rFonts w:hint="default" w:ascii="Times New Roman" w:hAnsi="Times New Roman" w:eastAsia="宋体" w:cs="Times New Roman"/>
                <w:color w:val="auto"/>
                <w:sz w:val="24"/>
                <w:szCs w:val="20"/>
                <w:highlight w:val="none"/>
                <w:lang w:val="en-US" w:eastAsia="zh-CN"/>
              </w:rPr>
              <w:t>不在水源保护区、居民集中区，基本农田保护区内，项目所在区域内无重要环境敏感点，条件优越，厂址符合土地用途管理和规划功能要求。项目周边无环境敏感点位。</w:t>
            </w:r>
            <w:r>
              <w:rPr>
                <w:rFonts w:hint="eastAsia" w:ascii="Times New Roman" w:hAnsi="Times New Roman" w:eastAsia="宋体" w:cs="Times New Roman"/>
                <w:color w:val="auto"/>
                <w:highlight w:val="none"/>
                <w:lang w:val="en-US" w:eastAsia="zh-CN"/>
              </w:rPr>
              <w:t>项目区</w:t>
            </w:r>
            <w:r>
              <w:rPr>
                <w:rFonts w:hint="eastAsia" w:cs="Times New Roman"/>
                <w:color w:val="auto"/>
                <w:highlight w:val="none"/>
                <w:lang w:val="en-US" w:eastAsia="zh-CN"/>
              </w:rPr>
              <w:t>北侧现状空地</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南</w:t>
            </w:r>
            <w:r>
              <w:rPr>
                <w:rFonts w:hint="eastAsia" w:ascii="Times New Roman" w:hAnsi="Times New Roman" w:eastAsia="宋体" w:cs="Times New Roman"/>
                <w:color w:val="auto"/>
                <w:highlight w:val="none"/>
                <w:lang w:val="en-US" w:eastAsia="zh-CN"/>
              </w:rPr>
              <w:t>侧</w:t>
            </w:r>
            <w:r>
              <w:rPr>
                <w:rFonts w:hint="eastAsia" w:cs="Times New Roman"/>
                <w:color w:val="auto"/>
                <w:highlight w:val="none"/>
                <w:lang w:val="en-US" w:eastAsia="zh-CN"/>
              </w:rPr>
              <w:t>85</w:t>
            </w:r>
            <w:r>
              <w:rPr>
                <w:rFonts w:hint="eastAsia" w:ascii="Times New Roman" w:hAnsi="Times New Roman" w:eastAsia="宋体" w:cs="Times New Roman"/>
                <w:color w:val="auto"/>
                <w:highlight w:val="none"/>
                <w:lang w:val="en-US" w:eastAsia="zh-CN"/>
              </w:rPr>
              <w:t>m处为陇新化工，东侧</w:t>
            </w:r>
            <w:r>
              <w:rPr>
                <w:rFonts w:hint="eastAsia" w:cs="Times New Roman"/>
                <w:color w:val="auto"/>
                <w:highlight w:val="none"/>
                <w:lang w:val="en-US" w:eastAsia="zh-CN"/>
              </w:rPr>
              <w:t>4km处为中泰天雨煤化工</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西侧</w:t>
            </w:r>
            <w:r>
              <w:rPr>
                <w:rFonts w:hint="eastAsia" w:ascii="Times New Roman" w:hAnsi="Times New Roman" w:eastAsia="宋体" w:cs="Times New Roman"/>
                <w:color w:val="auto"/>
                <w:highlight w:val="none"/>
                <w:lang w:val="en-US" w:eastAsia="zh-CN"/>
              </w:rPr>
              <w:t>现状</w:t>
            </w:r>
            <w:r>
              <w:rPr>
                <w:rFonts w:hint="eastAsia" w:cs="Times New Roman"/>
                <w:color w:val="auto"/>
                <w:highlight w:val="none"/>
                <w:lang w:val="en-US" w:eastAsia="zh-CN"/>
              </w:rPr>
              <w:t>空地</w:t>
            </w:r>
            <w:r>
              <w:rPr>
                <w:rFonts w:hint="eastAsia" w:ascii="Times New Roman" w:hAnsi="Times New Roman" w:eastAsia="宋体" w:cs="Times New Roman"/>
                <w:color w:val="auto"/>
                <w:highlight w:val="none"/>
                <w:lang w:val="en-US" w:eastAsia="zh-CN"/>
              </w:rPr>
              <w:t>。</w:t>
            </w:r>
          </w:p>
          <w:p>
            <w:pPr>
              <w:keepNext w:val="0"/>
              <w:keepLines w:val="0"/>
              <w:suppressLineNumbers w:val="0"/>
              <w:spacing w:before="0" w:beforeAutospacing="0" w:after="0" w:afterAutospacing="0" w:line="360" w:lineRule="auto"/>
              <w:ind w:left="0" w:right="0" w:firstLine="480" w:firstLineChars="200"/>
              <w:outlineLvl w:val="1"/>
              <w:rPr>
                <w:rFonts w:hint="default" w:ascii="Times New Roman" w:hAnsi="Times New Roman" w:eastAsia="宋体" w:cs="Times New Roman"/>
                <w:color w:val="auto"/>
                <w:sz w:val="24"/>
                <w:szCs w:val="20"/>
                <w:highlight w:val="none"/>
                <w:lang w:val="en-US" w:eastAsia="zh-CN"/>
              </w:rPr>
            </w:pPr>
            <w:r>
              <w:rPr>
                <w:rFonts w:hint="default" w:ascii="Times New Roman" w:hAnsi="Times New Roman" w:eastAsia="宋体" w:cs="Times New Roman"/>
                <w:color w:val="auto"/>
                <w:sz w:val="24"/>
                <w:szCs w:val="20"/>
                <w:highlight w:val="none"/>
                <w:lang w:val="en-US" w:eastAsia="zh-CN"/>
              </w:rPr>
              <w:t>综上所述，项目所在区域，工程地质情况良好，不涉及环境敏感区，交通较为便利，土地性质符合使用条件，采取各项措施后，可确保达标排放，外环境对本项目的影响亦十分有限，故项目的选址是合理的。</w:t>
            </w:r>
          </w:p>
          <w:p>
            <w:pPr>
              <w:numPr>
                <w:ilvl w:val="0"/>
                <w:numId w:val="0"/>
              </w:numPr>
              <w:bidi w:val="0"/>
              <w:ind w:leftChars="0"/>
              <w:rPr>
                <w:rFonts w:hint="default" w:ascii="Times New Roman" w:hAnsi="Times New Roman" w:eastAsia="宋体" w:cs="Times New Roman"/>
                <w:b/>
                <w:bCs/>
                <w:lang w:val="en-US" w:eastAsia="zh-CN"/>
              </w:rPr>
            </w:pPr>
            <w:r>
              <w:rPr>
                <w:rFonts w:hint="eastAsia" w:cs="Times New Roman"/>
                <w:b/>
                <w:bCs/>
                <w:lang w:val="en-US" w:eastAsia="zh-CN"/>
              </w:rPr>
              <w:t>4.</w:t>
            </w:r>
            <w:r>
              <w:rPr>
                <w:rFonts w:hint="default" w:ascii="Times New Roman" w:hAnsi="Times New Roman" w:eastAsia="宋体" w:cs="Times New Roman"/>
                <w:b/>
                <w:bCs/>
                <w:lang w:val="en-US" w:eastAsia="zh-CN"/>
              </w:rPr>
              <w:t>与新疆维吾尔自治区大气污染防治条例符合性分析</w:t>
            </w:r>
          </w:p>
          <w:p>
            <w:pPr>
              <w:keepNext w:val="0"/>
              <w:keepLines w:val="0"/>
              <w:suppressLineNumbers w:val="0"/>
              <w:spacing w:before="0" w:beforeAutospacing="0" w:after="0" w:afterAutospacing="0" w:line="360" w:lineRule="auto"/>
              <w:ind w:left="0" w:right="0" w:firstLine="480" w:firstLineChars="200"/>
              <w:outlineLvl w:val="1"/>
              <w:rPr>
                <w:rFonts w:hint="default" w:ascii="Times New Roman" w:hAnsi="Times New Roman" w:eastAsia="宋体" w:cs="Times New Roman"/>
                <w:color w:val="auto"/>
                <w:sz w:val="24"/>
                <w:szCs w:val="20"/>
                <w:lang w:val="en-US" w:eastAsia="zh-CN"/>
              </w:rPr>
            </w:pPr>
            <w:r>
              <w:rPr>
                <w:rFonts w:hint="default" w:ascii="Times New Roman" w:hAnsi="Times New Roman" w:eastAsia="宋体" w:cs="Times New Roman"/>
                <w:color w:val="auto"/>
                <w:sz w:val="24"/>
                <w:szCs w:val="20"/>
                <w:lang w:val="en-US" w:eastAsia="zh-CN"/>
              </w:rPr>
              <w:t>该条例第四十三条提出：贮存易产生扬尘的煤炭、煤矸石、煤渣、煤灰、水泥、石灰、石膏、砂土等物料的堆场应当密闭；不能密闭的，贮存单位或者个人应当采取下列防尘措施：</w:t>
            </w:r>
          </w:p>
          <w:p>
            <w:pPr>
              <w:keepNext w:val="0"/>
              <w:keepLines w:val="0"/>
              <w:suppressLineNumbers w:val="0"/>
              <w:spacing w:before="0" w:beforeAutospacing="0" w:after="0" w:afterAutospacing="0" w:line="360" w:lineRule="auto"/>
              <w:ind w:left="0" w:right="0" w:firstLine="480" w:firstLineChars="200"/>
              <w:outlineLvl w:val="1"/>
              <w:rPr>
                <w:rFonts w:hint="default" w:ascii="Times New Roman" w:hAnsi="Times New Roman" w:eastAsia="宋体" w:cs="Times New Roman"/>
                <w:color w:val="auto"/>
                <w:sz w:val="24"/>
                <w:szCs w:val="20"/>
                <w:lang w:val="en-US" w:eastAsia="zh-CN"/>
              </w:rPr>
            </w:pPr>
            <w:r>
              <w:rPr>
                <w:rFonts w:hint="default" w:ascii="Times New Roman" w:hAnsi="Times New Roman" w:eastAsia="宋体" w:cs="Times New Roman"/>
                <w:color w:val="auto"/>
                <w:sz w:val="24"/>
                <w:szCs w:val="20"/>
                <w:lang w:val="en-US" w:eastAsia="zh-CN"/>
              </w:rPr>
              <w:t>（一）堆场的场坪、路面应当进行硬化处理，并保持路面整洁；</w:t>
            </w:r>
          </w:p>
          <w:p>
            <w:pPr>
              <w:keepNext w:val="0"/>
              <w:keepLines w:val="0"/>
              <w:suppressLineNumbers w:val="0"/>
              <w:spacing w:before="0" w:beforeAutospacing="0" w:after="0" w:afterAutospacing="0" w:line="360" w:lineRule="auto"/>
              <w:ind w:left="0" w:right="0" w:firstLine="480" w:firstLineChars="200"/>
              <w:outlineLvl w:val="1"/>
              <w:rPr>
                <w:rFonts w:hint="default" w:ascii="Times New Roman" w:hAnsi="Times New Roman" w:eastAsia="宋体" w:cs="Times New Roman"/>
                <w:color w:val="auto"/>
                <w:sz w:val="24"/>
                <w:szCs w:val="20"/>
                <w:lang w:val="en-US" w:eastAsia="zh-CN"/>
              </w:rPr>
            </w:pPr>
            <w:r>
              <w:rPr>
                <w:rFonts w:hint="default" w:ascii="Times New Roman" w:hAnsi="Times New Roman" w:eastAsia="宋体" w:cs="Times New Roman"/>
                <w:color w:val="auto"/>
                <w:sz w:val="24"/>
                <w:szCs w:val="20"/>
                <w:lang w:val="en-US" w:eastAsia="zh-CN"/>
              </w:rPr>
              <w:t>（二）堆场周边应当配备高于堆存物料的围挡、防风抑尘网等设施；</w:t>
            </w:r>
          </w:p>
          <w:p>
            <w:pPr>
              <w:keepNext w:val="0"/>
              <w:keepLines w:val="0"/>
              <w:suppressLineNumbers w:val="0"/>
              <w:spacing w:before="0" w:beforeAutospacing="0" w:after="0" w:afterAutospacing="0" w:line="360" w:lineRule="auto"/>
              <w:ind w:left="0" w:right="0" w:firstLine="480" w:firstLineChars="200"/>
              <w:outlineLvl w:val="1"/>
              <w:rPr>
                <w:rFonts w:hint="default" w:ascii="Times New Roman" w:hAnsi="Times New Roman" w:eastAsia="宋体" w:cs="Times New Roman"/>
                <w:color w:val="auto"/>
                <w:sz w:val="24"/>
                <w:szCs w:val="20"/>
                <w:lang w:val="en-US" w:eastAsia="zh-CN"/>
              </w:rPr>
            </w:pPr>
            <w:r>
              <w:rPr>
                <w:rFonts w:hint="default" w:ascii="Times New Roman" w:hAnsi="Times New Roman" w:eastAsia="宋体" w:cs="Times New Roman"/>
                <w:color w:val="auto"/>
                <w:sz w:val="24"/>
                <w:szCs w:val="20"/>
                <w:lang w:val="en-US" w:eastAsia="zh-CN"/>
              </w:rPr>
              <w:t>（三）按照物料类别采取相应的覆盖、喷淋和围挡等防风抑尘措施。</w:t>
            </w:r>
          </w:p>
          <w:p>
            <w:pPr>
              <w:keepNext w:val="0"/>
              <w:keepLines w:val="0"/>
              <w:suppressLineNumbers w:val="0"/>
              <w:spacing w:before="0" w:beforeAutospacing="0" w:after="0" w:afterAutospacing="0" w:line="360" w:lineRule="auto"/>
              <w:ind w:left="0" w:right="0" w:firstLine="480" w:firstLineChars="200"/>
              <w:outlineLvl w:val="1"/>
              <w:rPr>
                <w:rFonts w:hint="default" w:ascii="Times New Roman" w:hAnsi="Times New Roman" w:eastAsia="宋体" w:cs="Times New Roman"/>
                <w:color w:val="auto"/>
                <w:sz w:val="24"/>
                <w:szCs w:val="20"/>
                <w:highlight w:val="none"/>
                <w:lang w:val="en-US" w:eastAsia="zh-CN"/>
              </w:rPr>
            </w:pPr>
            <w:r>
              <w:rPr>
                <w:rFonts w:hint="default" w:ascii="Times New Roman" w:hAnsi="Times New Roman" w:eastAsia="宋体" w:cs="Times New Roman"/>
                <w:color w:val="auto"/>
                <w:sz w:val="24"/>
                <w:szCs w:val="20"/>
                <w:lang w:val="en-US" w:eastAsia="zh-CN"/>
              </w:rPr>
              <w:t>露天装卸物料应当采取密闭或者喷淋等抑尘措施；输送的物料</w:t>
            </w:r>
            <w:r>
              <w:rPr>
                <w:rFonts w:hint="default" w:ascii="Times New Roman" w:hAnsi="Times New Roman" w:eastAsia="宋体" w:cs="Times New Roman"/>
                <w:color w:val="auto"/>
                <w:sz w:val="24"/>
                <w:szCs w:val="20"/>
                <w:highlight w:val="none"/>
                <w:lang w:val="en-US" w:eastAsia="zh-CN"/>
              </w:rPr>
              <w:t>应当在装料、卸料处配备吸尘、喷淋等防尘设施。</w:t>
            </w:r>
          </w:p>
          <w:p>
            <w:pPr>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本项目为混凝土搅拌项目，</w:t>
            </w:r>
            <w:r>
              <w:rPr>
                <w:rFonts w:hint="default" w:ascii="Times New Roman" w:hAnsi="Times New Roman" w:eastAsia="宋体" w:cs="Times New Roman"/>
                <w:b w:val="0"/>
                <w:bCs w:val="0"/>
                <w:color w:val="auto"/>
                <w:kern w:val="0"/>
                <w:sz w:val="24"/>
                <w:szCs w:val="24"/>
                <w:highlight w:val="none"/>
                <w:lang w:val="en-US" w:eastAsia="zh-CN" w:bidi="ar"/>
              </w:rPr>
              <w:t>料仓顶部设置除尘器，</w:t>
            </w:r>
            <w:r>
              <w:rPr>
                <w:rFonts w:hint="eastAsia" w:cs="Times New Roman"/>
                <w:b w:val="0"/>
                <w:bCs w:val="0"/>
                <w:color w:val="auto"/>
                <w:kern w:val="0"/>
                <w:sz w:val="24"/>
                <w:szCs w:val="24"/>
                <w:highlight w:val="none"/>
                <w:lang w:val="en-US" w:eastAsia="zh-CN" w:bidi="ar"/>
              </w:rPr>
              <w:t>搅拌楼</w:t>
            </w:r>
            <w:r>
              <w:rPr>
                <w:rFonts w:hint="default" w:ascii="Times New Roman" w:hAnsi="Times New Roman" w:eastAsia="宋体" w:cs="Times New Roman"/>
                <w:b w:val="0"/>
                <w:bCs w:val="0"/>
                <w:color w:val="auto"/>
                <w:kern w:val="0"/>
                <w:sz w:val="24"/>
                <w:szCs w:val="24"/>
                <w:highlight w:val="none"/>
                <w:lang w:val="en-US" w:eastAsia="zh-CN" w:bidi="ar"/>
              </w:rPr>
              <w:t>封闭，</w:t>
            </w:r>
            <w:r>
              <w:rPr>
                <w:rFonts w:hint="eastAsia" w:cs="Times New Roman"/>
                <w:b w:val="0"/>
                <w:bCs w:val="0"/>
                <w:color w:val="auto"/>
                <w:kern w:val="0"/>
                <w:sz w:val="24"/>
                <w:szCs w:val="24"/>
                <w:highlight w:val="none"/>
                <w:lang w:val="en-US" w:eastAsia="zh-CN" w:bidi="ar"/>
              </w:rPr>
              <w:t>输送皮带全封闭，砂子、小石堆料场采用全封闭措施，大石堆料场采取半封闭+防风抑尘网并定期洒水降尘。</w:t>
            </w:r>
            <w:r>
              <w:rPr>
                <w:rFonts w:hint="default" w:ascii="Times New Roman" w:hAnsi="Times New Roman" w:eastAsia="宋体" w:cs="Times New Roman"/>
                <w:b w:val="0"/>
                <w:bCs w:val="0"/>
                <w:color w:val="auto"/>
                <w:kern w:val="0"/>
                <w:sz w:val="24"/>
                <w:szCs w:val="24"/>
                <w:highlight w:val="none"/>
                <w:lang w:val="en-US" w:eastAsia="zh-CN" w:bidi="ar"/>
              </w:rPr>
              <w:t>运输车辆加盖篷布，运输道路定期洒水降尘。生活垃圾定期清运至生活垃圾填埋场，生产固废综合利用</w:t>
            </w:r>
            <w:r>
              <w:rPr>
                <w:rFonts w:hint="default" w:ascii="Times New Roman" w:hAnsi="Times New Roman" w:eastAsia="宋体" w:cs="Times New Roman"/>
                <w:color w:val="auto"/>
                <w:highlight w:val="none"/>
                <w:lang w:val="en-US" w:eastAsia="zh-CN"/>
              </w:rPr>
              <w:t>。故符合自治区大气污染防治条例的要求。</w:t>
            </w:r>
          </w:p>
          <w:p>
            <w:pPr>
              <w:keepNext w:val="0"/>
              <w:keepLines w:val="0"/>
              <w:numPr>
                <w:ilvl w:val="0"/>
                <w:numId w:val="0"/>
              </w:numPr>
              <w:suppressLineNumbers w:val="0"/>
              <w:spacing w:before="0" w:beforeAutospacing="0" w:after="0" w:afterAutospacing="0" w:line="360" w:lineRule="auto"/>
              <w:ind w:leftChars="0" w:right="0" w:rightChars="0"/>
              <w:outlineLvl w:val="1"/>
              <w:rPr>
                <w:rFonts w:hint="default" w:ascii="Times New Roman" w:hAnsi="Times New Roman" w:eastAsia="宋体" w:cs="Times New Roman"/>
                <w:b/>
                <w:bCs/>
                <w:color w:val="auto"/>
                <w:sz w:val="24"/>
                <w:szCs w:val="20"/>
                <w:lang w:val="en-US" w:eastAsia="zh-CN"/>
              </w:rPr>
            </w:pPr>
            <w:r>
              <w:rPr>
                <w:rFonts w:hint="eastAsia" w:cs="Times New Roman"/>
                <w:b/>
                <w:bCs/>
                <w:color w:val="auto"/>
                <w:sz w:val="24"/>
                <w:szCs w:val="20"/>
                <w:lang w:val="en-US" w:eastAsia="zh-CN"/>
              </w:rPr>
              <w:t>5.</w:t>
            </w:r>
            <w:r>
              <w:rPr>
                <w:rFonts w:hint="default" w:ascii="Times New Roman" w:hAnsi="Times New Roman" w:eastAsia="宋体" w:cs="Times New Roman"/>
                <w:b/>
                <w:bCs/>
                <w:color w:val="auto"/>
                <w:sz w:val="24"/>
                <w:szCs w:val="20"/>
                <w:lang w:val="en-US" w:eastAsia="zh-CN"/>
              </w:rPr>
              <w:t>《工业料堆场扬尘整治规范》（DB65/T4061-2017）符合性分析</w:t>
            </w:r>
          </w:p>
          <w:p>
            <w:pPr>
              <w:keepNext w:val="0"/>
              <w:keepLines w:val="0"/>
              <w:suppressLineNumbers w:val="0"/>
              <w:spacing w:before="0" w:beforeAutospacing="0" w:after="0" w:afterAutospacing="0" w:line="360" w:lineRule="auto"/>
              <w:ind w:left="0" w:right="0" w:firstLine="480" w:firstLineChars="200"/>
              <w:outlineLvl w:val="1"/>
              <w:rPr>
                <w:rFonts w:hint="eastAsia" w:cs="Times New Roman"/>
                <w:color w:val="auto"/>
                <w:sz w:val="24"/>
                <w:szCs w:val="20"/>
                <w:lang w:val="en-US" w:eastAsia="zh-CN"/>
              </w:rPr>
            </w:pPr>
            <w:r>
              <w:rPr>
                <w:rFonts w:hint="default" w:ascii="Times New Roman" w:hAnsi="Times New Roman" w:eastAsia="宋体" w:cs="Times New Roman"/>
                <w:color w:val="auto"/>
                <w:sz w:val="24"/>
                <w:szCs w:val="20"/>
                <w:lang w:val="en-US" w:eastAsia="zh-CN"/>
              </w:rPr>
              <w:t>《工业料堆场扬尘整治规范》中规定：</w:t>
            </w:r>
            <w:r>
              <w:rPr>
                <w:rFonts w:hint="eastAsia" w:cs="Times New Roman"/>
                <w:color w:val="auto"/>
                <w:sz w:val="24"/>
                <w:szCs w:val="20"/>
                <w:lang w:val="en-US" w:eastAsia="zh-CN"/>
              </w:rPr>
              <w:t>根据工业料场所在地区环境敏感程度、堆场规模、当地年平均风速、物料粒度，将工业堆料场划分为I、II和III三种类型。</w:t>
            </w:r>
          </w:p>
          <w:p>
            <w:pPr>
              <w:keepNext w:val="0"/>
              <w:keepLines w:val="0"/>
              <w:suppressLineNumbers w:val="0"/>
              <w:spacing w:before="0" w:beforeAutospacing="0" w:after="0" w:afterAutospacing="0" w:line="360" w:lineRule="auto"/>
              <w:ind w:left="0" w:right="0" w:firstLine="480" w:firstLineChars="200"/>
              <w:outlineLvl w:val="1"/>
              <w:rPr>
                <w:rFonts w:hint="default"/>
                <w:color w:val="auto"/>
                <w:lang w:val="en-US" w:eastAsia="zh-CN"/>
              </w:rPr>
            </w:pPr>
            <w:r>
              <w:rPr>
                <w:rFonts w:hint="eastAsia" w:cs="Times New Roman"/>
                <w:color w:val="auto"/>
                <w:sz w:val="24"/>
                <w:szCs w:val="20"/>
                <w:lang w:val="en-US" w:eastAsia="zh-CN"/>
              </w:rPr>
              <w:t>I类堆料场至少选取筒仓、圆形料仓、其他封闭性仓库，三种措施之一。Ⅱ类堆料场可用I类堆料场防治方案，也可除用半封闭仓库+防风抑尘网措施之外至少选取a、b、c、d四种防治措施之一（a喷洒水、b覆盖、c喷洒抑尘剂、d干雾抑尘剂措施）。若条件允许应选取方案I。III类堆料场可用I、II类堆料场防治方案，也可以选用覆盖+a、b两种防治措施之一（a喷洒水、b喷洒抑尘剂），若条件许可应选用方案I、方案II。</w:t>
            </w:r>
          </w:p>
          <w:p>
            <w:pPr>
              <w:spacing w:line="360" w:lineRule="auto"/>
              <w:ind w:firstLine="480" w:firstLineChars="200"/>
              <w:rPr>
                <w:rFonts w:hint="default" w:ascii="Times New Roman" w:hAnsi="Times New Roman" w:eastAsia="宋体" w:cs="Times New Roman"/>
                <w:color w:val="auto"/>
                <w:szCs w:val="22"/>
                <w:highlight w:val="none"/>
              </w:rPr>
            </w:pPr>
            <w:r>
              <w:rPr>
                <w:rFonts w:hint="default" w:ascii="Times New Roman" w:hAnsi="Times New Roman" w:eastAsia="宋体" w:cs="Times New Roman"/>
                <w:b w:val="0"/>
                <w:bCs w:val="0"/>
                <w:color w:val="auto"/>
                <w:kern w:val="0"/>
                <w:sz w:val="24"/>
                <w:szCs w:val="24"/>
                <w:highlight w:val="none"/>
                <w:lang w:val="en-US" w:eastAsia="zh-CN" w:bidi="ar"/>
              </w:rPr>
              <w:t>本项目生产过程中采用先进环保的生产设备，清洁能源，从源头上控制污染物的产生，料仓顶部设置除尘器，</w:t>
            </w:r>
            <w:r>
              <w:rPr>
                <w:rFonts w:hint="eastAsia" w:cs="Times New Roman"/>
                <w:b w:val="0"/>
                <w:bCs w:val="0"/>
                <w:color w:val="auto"/>
                <w:kern w:val="0"/>
                <w:sz w:val="24"/>
                <w:szCs w:val="24"/>
                <w:highlight w:val="none"/>
                <w:lang w:val="en-US" w:eastAsia="zh-CN" w:bidi="ar"/>
              </w:rPr>
              <w:t>搅拌楼</w:t>
            </w:r>
            <w:r>
              <w:rPr>
                <w:rFonts w:hint="default" w:ascii="Times New Roman" w:hAnsi="Times New Roman" w:eastAsia="宋体" w:cs="Times New Roman"/>
                <w:b w:val="0"/>
                <w:bCs w:val="0"/>
                <w:color w:val="auto"/>
                <w:kern w:val="0"/>
                <w:sz w:val="24"/>
                <w:szCs w:val="24"/>
                <w:highlight w:val="none"/>
                <w:lang w:val="en-US" w:eastAsia="zh-CN" w:bidi="ar"/>
              </w:rPr>
              <w:t>封闭，</w:t>
            </w:r>
            <w:r>
              <w:rPr>
                <w:rFonts w:hint="eastAsia" w:cs="Times New Roman"/>
                <w:b w:val="0"/>
                <w:bCs w:val="0"/>
                <w:color w:val="auto"/>
                <w:kern w:val="0"/>
                <w:sz w:val="24"/>
                <w:szCs w:val="24"/>
                <w:highlight w:val="none"/>
                <w:lang w:val="en-US" w:eastAsia="zh-CN" w:bidi="ar"/>
              </w:rPr>
              <w:t>输送皮带全封闭，砂子、小石料场采用全封闭措施，大石堆料场采取半封闭+防风抑尘网并定期洒水降尘。</w:t>
            </w:r>
            <w:r>
              <w:rPr>
                <w:rFonts w:hint="default" w:ascii="Times New Roman" w:hAnsi="Times New Roman" w:eastAsia="宋体" w:cs="Times New Roman"/>
                <w:b w:val="0"/>
                <w:bCs w:val="0"/>
                <w:color w:val="auto"/>
                <w:kern w:val="0"/>
                <w:sz w:val="24"/>
                <w:szCs w:val="24"/>
                <w:highlight w:val="none"/>
                <w:lang w:val="en-US" w:eastAsia="zh-CN" w:bidi="ar"/>
              </w:rPr>
              <w:t>运输车辆加盖篷布，运输道路定期洒水降尘。生活垃圾定期清运至生活垃圾填埋场，生产固废综合利用。因此项目符合《逸散性工业粉尘控制技术</w:t>
            </w:r>
            <w:r>
              <w:rPr>
                <w:rFonts w:hint="eastAsia" w:cs="Times New Roman"/>
                <w:b w:val="0"/>
                <w:bCs w:val="0"/>
                <w:color w:val="auto"/>
                <w:kern w:val="0"/>
                <w:sz w:val="24"/>
                <w:szCs w:val="24"/>
                <w:highlight w:val="none"/>
                <w:lang w:val="en-US" w:eastAsia="zh-CN" w:bidi="ar"/>
              </w:rPr>
              <w:t>》《</w:t>
            </w:r>
            <w:r>
              <w:rPr>
                <w:rFonts w:hint="default" w:ascii="Times New Roman" w:hAnsi="Times New Roman" w:eastAsia="宋体" w:cs="Times New Roman"/>
                <w:b w:val="0"/>
                <w:bCs w:val="0"/>
                <w:color w:val="auto"/>
                <w:kern w:val="0"/>
                <w:sz w:val="24"/>
                <w:szCs w:val="24"/>
                <w:highlight w:val="none"/>
                <w:lang w:val="en-US" w:eastAsia="zh-CN" w:bidi="ar"/>
              </w:rPr>
              <w:t>工业料堆场扬尘整治规范》中的相关规定。</w:t>
            </w:r>
          </w:p>
          <w:p>
            <w:pPr>
              <w:keepNext w:val="0"/>
              <w:keepLines w:val="0"/>
              <w:numPr>
                <w:ilvl w:val="0"/>
                <w:numId w:val="0"/>
              </w:numPr>
              <w:suppressLineNumbers w:val="0"/>
              <w:spacing w:before="0" w:beforeAutospacing="0" w:after="0" w:afterAutospacing="0" w:line="360" w:lineRule="auto"/>
              <w:ind w:leftChars="0" w:right="0" w:rightChars="0"/>
              <w:outlineLvl w:val="1"/>
              <w:rPr>
                <w:rFonts w:hint="default" w:ascii="Times New Roman" w:hAnsi="Times New Roman" w:eastAsia="宋体" w:cs="Times New Roman"/>
                <w:b/>
                <w:bCs/>
                <w:color w:val="auto"/>
                <w:sz w:val="24"/>
                <w:szCs w:val="20"/>
                <w:lang w:val="en-US" w:eastAsia="zh-CN"/>
              </w:rPr>
            </w:pPr>
            <w:r>
              <w:rPr>
                <w:rFonts w:hint="eastAsia" w:cs="Times New Roman"/>
                <w:b/>
                <w:bCs/>
                <w:color w:val="auto"/>
                <w:sz w:val="24"/>
                <w:szCs w:val="20"/>
                <w:lang w:val="en-US" w:eastAsia="zh-CN"/>
              </w:rPr>
              <w:t>6.</w:t>
            </w:r>
            <w:r>
              <w:rPr>
                <w:rFonts w:hint="default" w:ascii="Times New Roman" w:hAnsi="Times New Roman" w:eastAsia="宋体" w:cs="Times New Roman"/>
                <w:b/>
                <w:bCs/>
                <w:color w:val="auto"/>
                <w:sz w:val="24"/>
                <w:szCs w:val="20"/>
                <w:lang w:val="en-US" w:eastAsia="zh-CN"/>
              </w:rPr>
              <w:t>与《新疆生态环境保护“十四五”规划》符合性分析</w:t>
            </w:r>
          </w:p>
          <w:p>
            <w:pPr>
              <w:keepNext w:val="0"/>
              <w:keepLines w:val="0"/>
              <w:suppressLineNumbers w:val="0"/>
              <w:spacing w:before="0" w:beforeAutospacing="0" w:after="0" w:afterAutospacing="0" w:line="360" w:lineRule="auto"/>
              <w:ind w:left="0" w:right="0" w:firstLine="480" w:firstLineChars="200"/>
              <w:outlineLvl w:val="1"/>
              <w:rPr>
                <w:rFonts w:hint="default" w:ascii="Times New Roman" w:hAnsi="Times New Roman" w:eastAsia="宋体" w:cs="Times New Roman"/>
                <w:color w:val="auto"/>
                <w:sz w:val="24"/>
                <w:szCs w:val="20"/>
                <w:lang w:val="en-US" w:eastAsia="zh-CN"/>
              </w:rPr>
            </w:pPr>
            <w:r>
              <w:rPr>
                <w:rFonts w:hint="default" w:ascii="Times New Roman" w:hAnsi="Times New Roman" w:eastAsia="宋体" w:cs="Times New Roman"/>
                <w:color w:val="auto"/>
                <w:sz w:val="24"/>
                <w:szCs w:val="20"/>
                <w:lang w:val="en-US" w:eastAsia="zh-CN"/>
              </w:rPr>
              <w:t>《新疆生态环境保护“十四五”规划》第五章第二节中提出：分区推进环境空气质量改善行动。加大天山北坡区域大气污染同防同治力度，巩固和扩大“乌—昌—石”“奎—独—乌”大气污染防治工作成果，推进伊宁市及周边区域大气污染防控，进一步深化工业污染源深度治理，加强采暖季大气污染控制。受自然沙尘影响严重的南疆、东疆区域，因地制宜开展防风固沙生态修复工程，强化沙尘天气颗粒物防控。未达标城市制定或修订大气环境质量限期达标规划，加强达标进程管理，明确环境空气质量达标路线图及污染防治重点任务，并向社会公开。克拉玛依市、阿勒泰地区、塔城地区、博州等环境空气质量较好的地区，继续加大污染防治力度，实现环境空气质量稳定达标。</w:t>
            </w:r>
          </w:p>
          <w:p>
            <w:pPr>
              <w:keepNext w:val="0"/>
              <w:keepLines w:val="0"/>
              <w:suppressLineNumbers w:val="0"/>
              <w:spacing w:before="0" w:beforeAutospacing="0" w:after="0" w:afterAutospacing="0" w:line="360" w:lineRule="auto"/>
              <w:ind w:left="0" w:right="0" w:firstLine="480" w:firstLineChars="200"/>
              <w:outlineLvl w:val="1"/>
              <w:rPr>
                <w:rFonts w:hint="default" w:ascii="Times New Roman" w:hAnsi="Times New Roman" w:eastAsia="宋体" w:cs="Times New Roman"/>
                <w:color w:val="auto"/>
                <w:sz w:val="24"/>
                <w:szCs w:val="20"/>
                <w:lang w:val="en-US" w:eastAsia="zh-CN"/>
              </w:rPr>
            </w:pPr>
            <w:r>
              <w:rPr>
                <w:rFonts w:hint="default" w:ascii="Times New Roman" w:hAnsi="Times New Roman" w:eastAsia="宋体" w:cs="Times New Roman"/>
                <w:color w:val="auto"/>
                <w:sz w:val="24"/>
                <w:szCs w:val="20"/>
                <w:lang w:val="en-US" w:eastAsia="zh-CN"/>
              </w:rPr>
              <w:t>深入推进重点区域大气污染治理。深入推进“乌—昌—石”“奎—独—乌”和伊宁市及周边区域大气污染治理，加快推进“乌—昌—石”区域城市细颗粒物和臭氧协同防控“一市一策”驻点跟踪研究工作。强化区域大气污染联防联控，合理确定产业布局，推动区域内统一产业准入和排放标准。实施钢铁、水泥、焦化等行业季节性生产调控措施，推进散煤整治、挥发性有机污染物（以下简称“VOCs”）综合治理、钢铁、水泥、焦化和燃煤工业锅炉行业超低排放改造、燃气锅炉低氮燃烧改造、工业园区内轨道运输（大宗货物“公转铁”）、柴油货车治理、锅炉炉窑综合治理等工程项目。全面推行绿色施工，持续推动城市建成区重污染企业搬迁或关闭退出。</w:t>
            </w:r>
          </w:p>
          <w:p>
            <w:pPr>
              <w:keepNext w:val="0"/>
              <w:keepLines w:val="0"/>
              <w:suppressLineNumbers w:val="0"/>
              <w:spacing w:before="0" w:beforeAutospacing="0" w:after="0" w:afterAutospacing="0" w:line="360" w:lineRule="auto"/>
              <w:ind w:left="0" w:right="0" w:firstLine="480" w:firstLineChars="200"/>
              <w:outlineLvl w:val="1"/>
              <w:rPr>
                <w:rFonts w:hint="default" w:ascii="Times New Roman" w:hAnsi="Times New Roman" w:eastAsia="宋体" w:cs="Times New Roman"/>
                <w:color w:val="auto"/>
                <w:sz w:val="24"/>
                <w:szCs w:val="20"/>
                <w:lang w:val="en-US" w:eastAsia="zh-CN"/>
              </w:rPr>
            </w:pPr>
            <w:r>
              <w:rPr>
                <w:rFonts w:hint="default" w:ascii="Times New Roman" w:hAnsi="Times New Roman" w:eastAsia="宋体" w:cs="Times New Roman"/>
                <w:color w:val="auto"/>
                <w:sz w:val="24"/>
                <w:szCs w:val="20"/>
                <w:lang w:val="en-US" w:eastAsia="zh-CN"/>
              </w:rPr>
              <w:t>本项目属于</w:t>
            </w:r>
            <w:r>
              <w:rPr>
                <w:rFonts w:hint="default" w:ascii="Times New Roman" w:hAnsi="Times New Roman" w:eastAsia="宋体" w:cs="Times New Roman"/>
                <w:color w:val="auto"/>
                <w:szCs w:val="21"/>
              </w:rPr>
              <w:t>非金属矿物制品业</w:t>
            </w:r>
            <w:r>
              <w:rPr>
                <w:rFonts w:hint="default" w:ascii="Times New Roman" w:hAnsi="Times New Roman" w:eastAsia="宋体" w:cs="Times New Roman"/>
                <w:color w:val="auto"/>
                <w:sz w:val="24"/>
                <w:szCs w:val="20"/>
                <w:lang w:val="en-US" w:eastAsia="zh-CN"/>
              </w:rPr>
              <w:t>，不属于高污染、落后产能等项目，符合产业布局准入的要求。</w:t>
            </w:r>
          </w:p>
          <w:p>
            <w:pPr>
              <w:keepNext w:val="0"/>
              <w:keepLines w:val="0"/>
              <w:suppressLineNumbers w:val="0"/>
              <w:spacing w:before="0" w:beforeAutospacing="0" w:after="0" w:afterAutospacing="0" w:line="360" w:lineRule="auto"/>
              <w:ind w:left="0" w:right="0" w:firstLine="480" w:firstLineChars="200"/>
              <w:outlineLvl w:val="1"/>
              <w:rPr>
                <w:rFonts w:hint="default" w:ascii="Times New Roman" w:hAnsi="Times New Roman" w:eastAsia="宋体" w:cs="Times New Roman"/>
                <w:color w:val="auto"/>
                <w:sz w:val="24"/>
                <w:szCs w:val="20"/>
                <w:lang w:val="en-US" w:eastAsia="zh-CN"/>
              </w:rPr>
            </w:pPr>
            <w:r>
              <w:rPr>
                <w:rFonts w:hint="default" w:ascii="Times New Roman" w:hAnsi="Times New Roman" w:eastAsia="宋体" w:cs="Times New Roman"/>
                <w:color w:val="auto"/>
                <w:sz w:val="24"/>
                <w:szCs w:val="20"/>
                <w:lang w:val="en-US" w:eastAsia="zh-CN"/>
              </w:rPr>
              <w:t>《新疆生态环境保护“十四五”规划》中提出针对其他工业污染源治理：加大对其他工业污染源的环境监管力度，集中力量对全疆大气污染排放企业进行全面整治。不能稳定达标的企业要采取清洁生产改造、污染深度治理等措施，限期整治改造；对问题严重、达标无望的责令关闭。</w:t>
            </w:r>
          </w:p>
          <w:p>
            <w:pPr>
              <w:keepNext w:val="0"/>
              <w:keepLines w:val="0"/>
              <w:suppressLineNumbers w:val="0"/>
              <w:spacing w:before="0" w:beforeAutospacing="0" w:after="0" w:afterAutospacing="0" w:line="360" w:lineRule="auto"/>
              <w:ind w:left="0" w:right="0" w:firstLine="480" w:firstLineChars="200"/>
              <w:outlineLvl w:val="1"/>
              <w:rPr>
                <w:rFonts w:hint="default" w:ascii="Times New Roman" w:hAnsi="Times New Roman" w:eastAsia="宋体" w:cs="Times New Roman"/>
                <w:lang w:val="en-US" w:eastAsia="zh-CN"/>
              </w:rPr>
            </w:pPr>
            <w:r>
              <w:rPr>
                <w:rFonts w:hint="default" w:ascii="Times New Roman" w:hAnsi="Times New Roman" w:eastAsia="宋体" w:cs="Times New Roman"/>
                <w:color w:val="auto"/>
                <w:sz w:val="24"/>
                <w:szCs w:val="20"/>
                <w:highlight w:val="none"/>
                <w:lang w:val="en-US" w:eastAsia="zh-CN"/>
              </w:rPr>
              <w:t>本项目</w:t>
            </w:r>
            <w:r>
              <w:rPr>
                <w:rFonts w:hint="eastAsia" w:cs="Times New Roman"/>
                <w:color w:val="auto"/>
                <w:sz w:val="24"/>
                <w:szCs w:val="20"/>
                <w:highlight w:val="none"/>
                <w:lang w:val="en-US" w:eastAsia="zh-CN"/>
              </w:rPr>
              <w:t>为</w:t>
            </w:r>
            <w:r>
              <w:rPr>
                <w:rFonts w:hint="default" w:ascii="Times New Roman" w:hAnsi="Times New Roman" w:eastAsia="宋体" w:cs="Times New Roman"/>
                <w:color w:val="auto"/>
                <w:sz w:val="24"/>
                <w:szCs w:val="20"/>
                <w:highlight w:val="none"/>
                <w:lang w:val="en-US" w:eastAsia="zh-CN"/>
              </w:rPr>
              <w:t>商品混凝土制造，对产尘的水泥筒仓</w:t>
            </w:r>
            <w:r>
              <w:rPr>
                <w:rFonts w:hint="eastAsia" w:cs="Times New Roman"/>
                <w:color w:val="auto"/>
                <w:sz w:val="24"/>
                <w:szCs w:val="20"/>
                <w:highlight w:val="none"/>
                <w:lang w:val="en-US" w:eastAsia="zh-CN"/>
              </w:rPr>
              <w:t>、粉煤灰</w:t>
            </w:r>
            <w:r>
              <w:rPr>
                <w:rFonts w:hint="default" w:ascii="Times New Roman" w:hAnsi="Times New Roman" w:eastAsia="宋体" w:cs="Times New Roman"/>
                <w:color w:val="auto"/>
                <w:sz w:val="24"/>
                <w:szCs w:val="20"/>
                <w:highlight w:val="none"/>
                <w:lang w:val="en-US" w:eastAsia="zh-CN"/>
              </w:rPr>
              <w:t>筒仓、搅拌系统配套高效除尘，</w:t>
            </w:r>
            <w:r>
              <w:rPr>
                <w:rFonts w:hint="default" w:ascii="Times New Roman" w:hAnsi="Times New Roman" w:eastAsia="宋体" w:cs="Times New Roman"/>
                <w:b w:val="0"/>
                <w:bCs w:val="0"/>
                <w:color w:val="auto"/>
                <w:kern w:val="0"/>
                <w:sz w:val="24"/>
                <w:szCs w:val="24"/>
                <w:highlight w:val="none"/>
                <w:lang w:val="en-US" w:eastAsia="zh-CN" w:bidi="ar"/>
              </w:rPr>
              <w:t>料仓顶部设置除尘器，</w:t>
            </w:r>
            <w:r>
              <w:rPr>
                <w:rFonts w:hint="eastAsia" w:cs="Times New Roman"/>
                <w:b w:val="0"/>
                <w:bCs w:val="0"/>
                <w:color w:val="auto"/>
                <w:kern w:val="0"/>
                <w:sz w:val="24"/>
                <w:szCs w:val="24"/>
                <w:highlight w:val="none"/>
                <w:lang w:val="en-US" w:eastAsia="zh-CN" w:bidi="ar"/>
              </w:rPr>
              <w:t>搅拌楼</w:t>
            </w:r>
            <w:r>
              <w:rPr>
                <w:rFonts w:hint="default" w:ascii="Times New Roman" w:hAnsi="Times New Roman" w:eastAsia="宋体" w:cs="Times New Roman"/>
                <w:b w:val="0"/>
                <w:bCs w:val="0"/>
                <w:color w:val="auto"/>
                <w:kern w:val="0"/>
                <w:sz w:val="24"/>
                <w:szCs w:val="24"/>
                <w:highlight w:val="none"/>
                <w:lang w:val="en-US" w:eastAsia="zh-CN" w:bidi="ar"/>
              </w:rPr>
              <w:t>封闭，</w:t>
            </w:r>
            <w:r>
              <w:rPr>
                <w:rFonts w:hint="eastAsia" w:cs="Times New Roman"/>
                <w:b w:val="0"/>
                <w:bCs w:val="0"/>
                <w:color w:val="auto"/>
                <w:kern w:val="0"/>
                <w:sz w:val="24"/>
                <w:szCs w:val="24"/>
                <w:highlight w:val="none"/>
                <w:lang w:val="en-US" w:eastAsia="zh-CN" w:bidi="ar"/>
              </w:rPr>
              <w:t>输送皮带全封闭，砂子、小石堆料场采用全封闭措施，大石堆料场采取半封闭+防风抑尘网并定期洒水降尘。</w:t>
            </w:r>
            <w:r>
              <w:rPr>
                <w:rFonts w:hint="default" w:ascii="Times New Roman" w:hAnsi="Times New Roman" w:eastAsia="宋体" w:cs="Times New Roman"/>
                <w:b w:val="0"/>
                <w:bCs w:val="0"/>
                <w:color w:val="auto"/>
                <w:kern w:val="0"/>
                <w:sz w:val="24"/>
                <w:szCs w:val="24"/>
                <w:highlight w:val="none"/>
                <w:lang w:val="en-US" w:eastAsia="zh-CN" w:bidi="ar"/>
              </w:rPr>
              <w:t>运输车辆加盖篷布，运输道路定期洒水降尘</w:t>
            </w:r>
            <w:r>
              <w:rPr>
                <w:rFonts w:hint="eastAsia" w:cs="Times New Roman"/>
                <w:b w:val="0"/>
                <w:bCs w:val="0"/>
                <w:color w:val="auto"/>
                <w:kern w:val="0"/>
                <w:sz w:val="24"/>
                <w:szCs w:val="24"/>
                <w:highlight w:val="none"/>
                <w:lang w:val="en-US" w:eastAsia="zh-CN" w:bidi="ar"/>
              </w:rPr>
              <w:t>，</w:t>
            </w:r>
            <w:r>
              <w:rPr>
                <w:rFonts w:hint="default" w:ascii="Times New Roman" w:hAnsi="Times New Roman" w:eastAsia="宋体" w:cs="Times New Roman"/>
                <w:color w:val="auto"/>
                <w:sz w:val="24"/>
                <w:szCs w:val="20"/>
                <w:highlight w:val="none"/>
                <w:lang w:val="en-US" w:eastAsia="zh-CN"/>
              </w:rPr>
              <w:t>可极大</w:t>
            </w:r>
            <w:r>
              <w:rPr>
                <w:rFonts w:hint="eastAsia" w:cs="Times New Roman"/>
                <w:color w:val="auto"/>
                <w:sz w:val="24"/>
                <w:szCs w:val="20"/>
                <w:highlight w:val="none"/>
                <w:lang w:val="en-US" w:eastAsia="zh-CN"/>
              </w:rPr>
              <w:t>地减少</w:t>
            </w:r>
            <w:r>
              <w:rPr>
                <w:rFonts w:hint="default" w:ascii="Times New Roman" w:hAnsi="Times New Roman" w:eastAsia="宋体" w:cs="Times New Roman"/>
                <w:color w:val="auto"/>
                <w:sz w:val="24"/>
                <w:szCs w:val="20"/>
                <w:highlight w:val="none"/>
                <w:lang w:val="en-US" w:eastAsia="zh-CN"/>
              </w:rPr>
              <w:t>颗粒物的产生，符合新疆环境保护规划的要求。</w:t>
            </w:r>
          </w:p>
        </w:tc>
      </w:tr>
    </w:tbl>
    <w:p>
      <w:pPr>
        <w:bidi w:val="0"/>
        <w:rPr>
          <w:color w:val="000000" w:themeColor="text1"/>
          <w14:textFill>
            <w14:solidFill>
              <w14:schemeClr w14:val="tx1"/>
            </w14:solidFill>
          </w14:textFill>
        </w:rPr>
        <w:sectPr>
          <w:footerReference r:id="rId7"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3"/>
        <w:bidi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二、建设项目工程分析</w:t>
      </w:r>
    </w:p>
    <w:tbl>
      <w:tblPr>
        <w:tblStyle w:val="23"/>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8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7" w:hRule="atLeast"/>
          <w:jc w:val="center"/>
        </w:trPr>
        <w:tc>
          <w:tcPr>
            <w:tcW w:w="864" w:type="dxa"/>
            <w:tcBorders>
              <w:tl2br w:val="nil"/>
              <w:tr2bl w:val="nil"/>
            </w:tcBorders>
            <w:noWrap w:val="0"/>
            <w:vAlign w:val="center"/>
          </w:tcPr>
          <w:p>
            <w:pPr>
              <w:pStyle w:val="31"/>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建设内容</w:t>
            </w:r>
          </w:p>
        </w:tc>
        <w:tc>
          <w:tcPr>
            <w:tcW w:w="8197" w:type="dxa"/>
            <w:tcBorders>
              <w:tl2br w:val="nil"/>
              <w:tr2bl w:val="nil"/>
            </w:tcBorders>
            <w:noWrap w:val="0"/>
            <w:vAlign w:val="top"/>
          </w:tcPr>
          <w:p>
            <w:pPr>
              <w:numPr>
                <w:ilvl w:val="0"/>
                <w:numId w:val="1"/>
              </w:numPr>
              <w:ind w:left="0" w:leftChars="0" w:firstLine="0" w:firstLineChars="0"/>
              <w:rPr>
                <w:rFonts w:hint="eastAsia"/>
                <w:b/>
                <w:bCs/>
                <w:highlight w:val="none"/>
                <w:lang w:val="en-US" w:eastAsia="zh-CN"/>
              </w:rPr>
            </w:pPr>
            <w:r>
              <w:rPr>
                <w:rFonts w:hint="eastAsia"/>
                <w:b/>
                <w:bCs/>
                <w:highlight w:val="none"/>
                <w:lang w:val="en-US" w:eastAsia="zh-CN"/>
              </w:rPr>
              <w:t>项目背景</w:t>
            </w:r>
          </w:p>
          <w:p>
            <w:pPr>
              <w:keepNext w:val="0"/>
              <w:keepLines w:val="0"/>
              <w:suppressLineNumbers w:val="0"/>
              <w:spacing w:before="0" w:beforeAutospacing="0" w:after="0" w:afterAutospacing="0" w:line="360" w:lineRule="auto"/>
              <w:ind w:left="0" w:leftChars="0" w:right="0" w:firstLine="480" w:firstLineChars="200"/>
              <w:jc w:val="left"/>
              <w:outlineLvl w:val="1"/>
              <w:rPr>
                <w:rFonts w:hint="eastAsia" w:ascii="Times New Roman" w:hAnsi="Times New Roman" w:eastAsia="宋体" w:cs="Times New Roman"/>
                <w:color w:val="auto"/>
                <w:sz w:val="24"/>
                <w:szCs w:val="20"/>
                <w:highlight w:val="none"/>
                <w:lang w:val="en-US" w:eastAsia="zh-CN"/>
              </w:rPr>
            </w:pPr>
            <w:r>
              <w:rPr>
                <w:rFonts w:hint="eastAsia" w:ascii="Times New Roman" w:hAnsi="Times New Roman" w:eastAsia="宋体" w:cs="Times New Roman"/>
                <w:color w:val="auto"/>
                <w:sz w:val="24"/>
                <w:szCs w:val="20"/>
                <w:highlight w:val="none"/>
                <w:lang w:val="en-US" w:eastAsia="zh-CN"/>
              </w:rPr>
              <w:t>长期以来我国</w:t>
            </w:r>
            <w:r>
              <w:rPr>
                <w:rFonts w:hint="eastAsia" w:cs="Times New Roman"/>
                <w:color w:val="auto"/>
                <w:sz w:val="24"/>
                <w:szCs w:val="20"/>
                <w:highlight w:val="none"/>
                <w:lang w:val="en-US" w:eastAsia="zh-CN"/>
              </w:rPr>
              <w:t>一直沿用</w:t>
            </w:r>
            <w:r>
              <w:rPr>
                <w:rFonts w:hint="eastAsia" w:ascii="Times New Roman" w:hAnsi="Times New Roman" w:eastAsia="宋体" w:cs="Times New Roman"/>
                <w:color w:val="auto"/>
                <w:sz w:val="24"/>
                <w:szCs w:val="20"/>
                <w:highlight w:val="none"/>
                <w:lang w:val="en-US" w:eastAsia="zh-CN"/>
              </w:rPr>
              <w:t>落后的分散制备方式进行砼生产，即每一个工地都在数量不同地搅拌砼，这样虽然解决砼的制备问题，但存在问题很多，诸如物料计量不准确、砼质量不稳定、原材料浪费大、占用场地大、噪声污染严重等。因此，当代实行砼集中搅拌，是建筑工程生产方式的重大变革，发展商品砼已是大势所趋，这也是衡量一个国家建筑施工技术水平和机械化水平的重要标志之一。</w:t>
            </w:r>
          </w:p>
          <w:p>
            <w:pPr>
              <w:keepNext w:val="0"/>
              <w:keepLines w:val="0"/>
              <w:suppressLineNumbers w:val="0"/>
              <w:spacing w:before="0" w:beforeAutospacing="0" w:after="0" w:afterAutospacing="0" w:line="360" w:lineRule="auto"/>
              <w:ind w:left="0" w:leftChars="0" w:right="0" w:firstLine="480" w:firstLineChars="200"/>
              <w:jc w:val="left"/>
              <w:outlineLvl w:val="1"/>
              <w:rPr>
                <w:rFonts w:hint="default" w:ascii="Times New Roman" w:hAnsi="Times New Roman" w:eastAsia="宋体" w:cs="Times New Roman"/>
                <w:color w:val="auto"/>
                <w:sz w:val="24"/>
                <w:szCs w:val="20"/>
                <w:highlight w:val="none"/>
                <w:lang w:val="en-US" w:eastAsia="zh-CN"/>
              </w:rPr>
            </w:pPr>
            <w:r>
              <w:rPr>
                <w:rFonts w:hint="eastAsia" w:ascii="Times New Roman" w:hAnsi="Times New Roman" w:eastAsia="宋体" w:cs="Times New Roman"/>
                <w:color w:val="auto"/>
                <w:sz w:val="24"/>
                <w:szCs w:val="20"/>
                <w:highlight w:val="none"/>
                <w:lang w:val="en-US" w:eastAsia="zh-CN"/>
              </w:rPr>
              <w:t xml:space="preserve">商品砼属于预拌砼，其特点是集中搅制，商品化供应，把砼这一主要建筑材料生产的备料、搅拌、运输等一系列环节，从传统的施工条件中分离出来，成为一个独立经营的生产企业。使砼生产实现产业化和专业化。这是建筑施工技术的一个进步，也是实现建筑工业化的一项重要改革。 </w:t>
            </w:r>
          </w:p>
          <w:p>
            <w:pPr>
              <w:keepNext w:val="0"/>
              <w:keepLines w:val="0"/>
              <w:suppressLineNumbers w:val="0"/>
              <w:spacing w:before="0" w:beforeAutospacing="0" w:after="0" w:afterAutospacing="0" w:line="360" w:lineRule="auto"/>
              <w:ind w:left="0" w:right="0" w:firstLine="480" w:firstLineChars="200"/>
              <w:jc w:val="left"/>
              <w:outlineLvl w:val="1"/>
              <w:rPr>
                <w:rFonts w:hint="default" w:ascii="Times New Roman" w:hAnsi="Times New Roman" w:eastAsia="宋体" w:cs="Times New Roman"/>
                <w:color w:val="auto"/>
                <w:sz w:val="24"/>
                <w:szCs w:val="20"/>
                <w:highlight w:val="none"/>
                <w:lang w:val="en-US" w:eastAsia="zh-CN"/>
              </w:rPr>
            </w:pPr>
            <w:r>
              <w:rPr>
                <w:rFonts w:hint="eastAsia" w:ascii="Times New Roman" w:hAnsi="Times New Roman" w:eastAsia="宋体" w:cs="Times New Roman"/>
                <w:color w:val="auto"/>
                <w:sz w:val="24"/>
                <w:szCs w:val="20"/>
                <w:highlight w:val="none"/>
                <w:lang w:val="en-US" w:eastAsia="zh-CN"/>
              </w:rPr>
              <w:t>随着西部大开发的推进，为新疆各地区的经济发展创造了十分有利的契机。城市化进程的加快，城市范围的扩大，高层建筑的增多，城市基础设施的完善，使建筑材料用量迅速增加，城市建设施工给环境造成越来越大的压力。在城市建设中，由于现场搅拌混凝土而引起的城市污染仍然没有得到彻底</w:t>
            </w:r>
            <w:r>
              <w:rPr>
                <w:rFonts w:hint="eastAsia" w:cs="Times New Roman"/>
                <w:color w:val="auto"/>
                <w:sz w:val="24"/>
                <w:szCs w:val="20"/>
                <w:highlight w:val="none"/>
                <w:lang w:val="en-US" w:eastAsia="zh-CN"/>
              </w:rPr>
              <w:t>地</w:t>
            </w:r>
            <w:r>
              <w:rPr>
                <w:rFonts w:hint="eastAsia" w:ascii="Times New Roman" w:hAnsi="Times New Roman" w:eastAsia="宋体" w:cs="Times New Roman"/>
                <w:color w:val="auto"/>
                <w:sz w:val="24"/>
                <w:szCs w:val="20"/>
                <w:highlight w:val="none"/>
                <w:lang w:val="en-US" w:eastAsia="zh-CN"/>
              </w:rPr>
              <w:t>解决，市民对生活环境的</w:t>
            </w:r>
            <w:r>
              <w:rPr>
                <w:rFonts w:hint="eastAsia" w:cs="Times New Roman"/>
                <w:color w:val="auto"/>
                <w:sz w:val="24"/>
                <w:szCs w:val="20"/>
                <w:highlight w:val="none"/>
                <w:lang w:val="en-US" w:eastAsia="zh-CN"/>
              </w:rPr>
              <w:t>要求使</w:t>
            </w:r>
            <w:r>
              <w:rPr>
                <w:rFonts w:hint="eastAsia" w:ascii="Times New Roman" w:hAnsi="Times New Roman" w:eastAsia="宋体" w:cs="Times New Roman"/>
                <w:color w:val="auto"/>
                <w:sz w:val="24"/>
                <w:szCs w:val="20"/>
                <w:highlight w:val="none"/>
                <w:lang w:val="en-US" w:eastAsia="zh-CN"/>
              </w:rPr>
              <w:t>企业在不断提高，国家有关产业政策规定，要“提高水泥散装率，发展商品混凝土”，城市的建设水平必须顺应经济的发展，符合政策的要求。</w:t>
            </w:r>
          </w:p>
          <w:p>
            <w:pPr>
              <w:keepNext w:val="0"/>
              <w:keepLines w:val="0"/>
              <w:suppressLineNumbers w:val="0"/>
              <w:spacing w:before="0" w:beforeAutospacing="0" w:after="0" w:afterAutospacing="0" w:line="360" w:lineRule="auto"/>
              <w:ind w:left="0" w:right="0" w:firstLine="480" w:firstLineChars="200"/>
              <w:jc w:val="left"/>
              <w:outlineLvl w:val="1"/>
              <w:rPr>
                <w:rFonts w:hint="default" w:ascii="Times New Roman" w:hAnsi="Times New Roman" w:eastAsia="宋体" w:cs="Times New Roman"/>
                <w:color w:val="auto"/>
                <w:sz w:val="24"/>
                <w:szCs w:val="20"/>
                <w:highlight w:val="none"/>
                <w:lang w:val="en-US" w:eastAsia="zh-CN"/>
              </w:rPr>
            </w:pPr>
            <w:r>
              <w:rPr>
                <w:rFonts w:hint="eastAsia" w:ascii="Times New Roman" w:hAnsi="Times New Roman" w:eastAsia="宋体" w:cs="Times New Roman"/>
                <w:color w:val="auto"/>
                <w:sz w:val="24"/>
                <w:szCs w:val="20"/>
                <w:highlight w:val="none"/>
                <w:lang w:val="en-US" w:eastAsia="zh-CN"/>
              </w:rPr>
              <w:t>为提高工程建设的工效，减少城市噪声、粉尘及建筑垃圾的污染，改善市容市貌，确保建设工程的质量，国家建设部和有关部委针对城市建设中推广使用商品混凝土制定了一系列政策和实施细则。随着托克逊县各种基础设施，市政工程及工业项目的加快建设，托克逊县商品混凝土需用量不断增加，同时随着建筑技术的发展及新技术的广泛应用，现代建筑对性能稳定、质量优异的商品混凝土需求量日趋增加，发展商品混凝土不仅符合国家产业政策导向，也是建筑业发展的内在需求，在现代建筑行业商品混凝土</w:t>
            </w:r>
            <w:r>
              <w:rPr>
                <w:rFonts w:hint="eastAsia" w:cs="Times New Roman"/>
                <w:color w:val="auto"/>
                <w:sz w:val="24"/>
                <w:szCs w:val="20"/>
                <w:highlight w:val="none"/>
                <w:lang w:val="en-US" w:eastAsia="zh-CN"/>
              </w:rPr>
              <w:t>搅拌</w:t>
            </w:r>
            <w:r>
              <w:rPr>
                <w:rFonts w:hint="eastAsia" w:ascii="Times New Roman" w:hAnsi="Times New Roman" w:eastAsia="宋体" w:cs="Times New Roman"/>
                <w:color w:val="auto"/>
                <w:sz w:val="24"/>
                <w:szCs w:val="20"/>
                <w:highlight w:val="none"/>
                <w:lang w:val="en-US" w:eastAsia="zh-CN"/>
              </w:rPr>
              <w:t>站具有良好的市场环境和市场前景</w:t>
            </w:r>
            <w:r>
              <w:rPr>
                <w:rFonts w:hint="eastAsia" w:cs="Times New Roman"/>
                <w:color w:val="auto"/>
                <w:sz w:val="24"/>
                <w:szCs w:val="20"/>
                <w:highlight w:val="none"/>
                <w:lang w:val="en-US" w:eastAsia="zh-CN"/>
              </w:rPr>
              <w:t>。</w:t>
            </w:r>
          </w:p>
          <w:p>
            <w:pPr>
              <w:numPr>
                <w:ilvl w:val="0"/>
                <w:numId w:val="1"/>
              </w:numPr>
              <w:ind w:left="0" w:leftChars="0" w:firstLine="0" w:firstLineChars="0"/>
              <w:rPr>
                <w:rFonts w:hint="eastAsia" w:eastAsia="宋体"/>
                <w:b/>
                <w:bCs/>
                <w:highlight w:val="none"/>
                <w:lang w:eastAsia="zh-CN"/>
              </w:rPr>
            </w:pPr>
            <w:r>
              <w:rPr>
                <w:rFonts w:hint="eastAsia"/>
                <w:b/>
                <w:bCs/>
                <w:highlight w:val="none"/>
                <w:lang w:eastAsia="zh-CN"/>
              </w:rPr>
              <w:t>项目概况</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1）项目名称：</w:t>
            </w:r>
            <w:r>
              <w:rPr>
                <w:rFonts w:hint="eastAsia" w:cs="Times New Roman"/>
                <w:color w:val="auto"/>
                <w:highlight w:val="none"/>
                <w:lang w:val="en-US" w:eastAsia="zh-CN"/>
              </w:rPr>
              <w:t>托克逊县伟宏混凝土有限公司混凝土搅拌站建设项目</w:t>
            </w:r>
          </w:p>
          <w:p>
            <w:pPr>
              <w:keepNext w:val="0"/>
              <w:keepLines w:val="0"/>
              <w:suppressLineNumbers w:val="0"/>
              <w:spacing w:before="0" w:beforeAutospacing="0" w:after="0" w:afterAutospacing="0" w:line="360" w:lineRule="auto"/>
              <w:ind w:left="0" w:right="0" w:firstLine="480" w:firstLineChars="200"/>
              <w:rPr>
                <w:rFonts w:hint="eastAsia" w:cs="Times New Roman"/>
                <w:color w:val="auto"/>
                <w:highlight w:val="none"/>
                <w:lang w:val="en-US" w:eastAsia="zh-CN"/>
              </w:rPr>
            </w:pPr>
            <w:r>
              <w:rPr>
                <w:rFonts w:hint="eastAsia" w:ascii="Times New Roman" w:hAnsi="Times New Roman" w:eastAsia="宋体" w:cs="Times New Roman"/>
                <w:color w:val="auto"/>
                <w:highlight w:val="none"/>
                <w:lang w:val="en-US" w:eastAsia="zh-CN"/>
              </w:rPr>
              <w:t>（2）建设单位：</w:t>
            </w:r>
            <w:r>
              <w:rPr>
                <w:rFonts w:hint="eastAsia" w:cs="Times New Roman"/>
                <w:color w:val="auto"/>
                <w:highlight w:val="none"/>
                <w:lang w:val="en-US" w:eastAsia="zh-CN"/>
              </w:rPr>
              <w:t>托克逊县伟宏混凝土有限公司</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（3）建设性质：新建</w:t>
            </w:r>
            <w:r>
              <w:rPr>
                <w:rFonts w:hint="eastAsia" w:cs="Times New Roman"/>
                <w:color w:val="auto"/>
                <w:highlight w:val="none"/>
                <w:lang w:val="en-US" w:eastAsia="zh-CN"/>
              </w:rPr>
              <w:t>（迁建）</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）建设地点：</w:t>
            </w:r>
            <w:r>
              <w:rPr>
                <w:rFonts w:hint="default" w:ascii="Times New Roman" w:hAnsi="Times New Roman" w:eastAsia="宋体" w:cs="Times New Roman"/>
                <w:color w:val="auto"/>
                <w:highlight w:val="none"/>
                <w:lang w:val="en-US" w:eastAsia="zh-CN"/>
              </w:rPr>
              <w:t>托克逊县S301省道北侧</w:t>
            </w:r>
            <w:r>
              <w:rPr>
                <w:rFonts w:hint="eastAsia" w:cs="Times New Roman"/>
                <w:color w:val="auto"/>
                <w:highlight w:val="none"/>
                <w:lang w:val="en-US" w:eastAsia="zh-CN"/>
              </w:rPr>
              <w:t>1.9公里</w:t>
            </w:r>
            <w:r>
              <w:rPr>
                <w:rFonts w:hint="default" w:ascii="Times New Roman" w:hAnsi="Times New Roman" w:eastAsia="宋体" w:cs="Times New Roman"/>
                <w:color w:val="auto"/>
                <w:highlight w:val="none"/>
                <w:lang w:val="en-US" w:eastAsia="zh-CN"/>
              </w:rPr>
              <w:t>、中泰天雨煤化工东侧4公里</w:t>
            </w:r>
            <w:r>
              <w:rPr>
                <w:rFonts w:hint="eastAsia" w:cs="Times New Roman"/>
                <w:color w:val="auto"/>
                <w:highlight w:val="none"/>
                <w:lang w:val="en-US" w:eastAsia="zh-CN"/>
              </w:rPr>
              <w:t>处，</w:t>
            </w:r>
            <w:r>
              <w:rPr>
                <w:rFonts w:hint="eastAsia" w:ascii="Times New Roman" w:hAnsi="Times New Roman" w:eastAsia="宋体" w:cs="Times New Roman"/>
                <w:color w:val="auto"/>
                <w:highlight w:val="none"/>
                <w:lang w:val="en-US" w:eastAsia="zh-CN"/>
              </w:rPr>
              <w:t>项目区</w:t>
            </w:r>
            <w:r>
              <w:rPr>
                <w:rFonts w:hint="default" w:ascii="Times New Roman" w:hAnsi="Times New Roman" w:eastAsia="宋体" w:cs="Times New Roman"/>
                <w:color w:val="auto"/>
                <w:highlight w:val="none"/>
                <w:lang w:val="en-US" w:eastAsia="zh-CN"/>
              </w:rPr>
              <w:t>中心地理</w:t>
            </w:r>
            <w:r>
              <w:rPr>
                <w:rFonts w:hint="eastAsia" w:ascii="Times New Roman" w:hAnsi="Times New Roman" w:eastAsia="宋体" w:cs="Times New Roman"/>
                <w:color w:val="auto"/>
                <w:highlight w:val="none"/>
                <w:lang w:val="en-US" w:eastAsia="zh-CN"/>
              </w:rPr>
              <w:t>项目区</w:t>
            </w:r>
            <w:r>
              <w:rPr>
                <w:rFonts w:hint="eastAsia" w:cs="Times New Roman"/>
                <w:color w:val="auto"/>
                <w:highlight w:val="none"/>
                <w:lang w:val="en-US" w:eastAsia="zh-CN"/>
              </w:rPr>
              <w:t>北侧现状空地</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南</w:t>
            </w:r>
            <w:r>
              <w:rPr>
                <w:rFonts w:hint="eastAsia" w:ascii="Times New Roman" w:hAnsi="Times New Roman" w:eastAsia="宋体" w:cs="Times New Roman"/>
                <w:color w:val="auto"/>
                <w:highlight w:val="none"/>
                <w:lang w:val="en-US" w:eastAsia="zh-CN"/>
              </w:rPr>
              <w:t>侧</w:t>
            </w:r>
            <w:r>
              <w:rPr>
                <w:rFonts w:hint="eastAsia" w:cs="Times New Roman"/>
                <w:color w:val="auto"/>
                <w:highlight w:val="none"/>
                <w:lang w:val="en-US" w:eastAsia="zh-CN"/>
              </w:rPr>
              <w:t>85</w:t>
            </w:r>
            <w:r>
              <w:rPr>
                <w:rFonts w:hint="eastAsia" w:ascii="Times New Roman" w:hAnsi="Times New Roman" w:eastAsia="宋体" w:cs="Times New Roman"/>
                <w:color w:val="auto"/>
                <w:highlight w:val="none"/>
                <w:lang w:val="en-US" w:eastAsia="zh-CN"/>
              </w:rPr>
              <w:t>m处为陇新化工，东侧</w:t>
            </w:r>
            <w:r>
              <w:rPr>
                <w:rFonts w:hint="eastAsia" w:cs="Times New Roman"/>
                <w:color w:val="auto"/>
                <w:highlight w:val="none"/>
                <w:lang w:val="en-US" w:eastAsia="zh-CN"/>
              </w:rPr>
              <w:t>4km处为中泰天雨煤化工</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西侧</w:t>
            </w:r>
            <w:r>
              <w:rPr>
                <w:rFonts w:hint="eastAsia" w:ascii="Times New Roman" w:hAnsi="Times New Roman" w:eastAsia="宋体" w:cs="Times New Roman"/>
                <w:color w:val="auto"/>
                <w:highlight w:val="none"/>
                <w:lang w:val="en-US" w:eastAsia="zh-CN"/>
              </w:rPr>
              <w:t>现状</w:t>
            </w:r>
            <w:r>
              <w:rPr>
                <w:rFonts w:hint="eastAsia" w:cs="Times New Roman"/>
                <w:color w:val="auto"/>
                <w:highlight w:val="none"/>
                <w:lang w:val="en-US" w:eastAsia="zh-CN"/>
              </w:rPr>
              <w:t>空地</w:t>
            </w:r>
            <w:r>
              <w:rPr>
                <w:rFonts w:hint="eastAsia" w:ascii="Times New Roman" w:hAnsi="Times New Roman" w:eastAsia="宋体" w:cs="Times New Roman"/>
                <w:color w:val="auto"/>
                <w:highlight w:val="none"/>
                <w:lang w:val="en-US" w:eastAsia="zh-CN"/>
              </w:rPr>
              <w:t>。</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地理位置见附图</w:t>
            </w:r>
            <w:r>
              <w:rPr>
                <w:rFonts w:hint="eastAsia" w:ascii="Times New Roman" w:hAnsi="Times New Roman" w:eastAsia="宋体" w:cs="Times New Roman"/>
                <w:color w:val="auto"/>
                <w:highlight w:val="none"/>
                <w:lang w:val="en-US" w:eastAsia="zh-CN"/>
              </w:rPr>
              <w:t>2，</w:t>
            </w:r>
            <w:r>
              <w:rPr>
                <w:rFonts w:hint="eastAsia" w:cs="Times New Roman"/>
                <w:color w:val="auto"/>
                <w:highlight w:val="none"/>
                <w:lang w:val="en-US" w:eastAsia="zh-CN"/>
              </w:rPr>
              <w:t>项目区与周边关系图</w:t>
            </w:r>
            <w:r>
              <w:rPr>
                <w:rFonts w:hint="eastAsia" w:ascii="Times New Roman" w:hAnsi="Times New Roman" w:eastAsia="宋体" w:cs="Times New Roman"/>
                <w:color w:val="auto"/>
                <w:highlight w:val="none"/>
                <w:lang w:val="en-US" w:eastAsia="zh-CN"/>
              </w:rPr>
              <w:t>3</w:t>
            </w:r>
            <w:r>
              <w:rPr>
                <w:rFonts w:hint="default" w:ascii="Times New Roman" w:hAnsi="Times New Roman" w:eastAsia="宋体" w:cs="Times New Roman"/>
                <w:color w:val="auto"/>
                <w:highlight w:val="none"/>
                <w:lang w:val="en-US" w:eastAsia="zh-CN"/>
              </w:rPr>
              <w:t>。</w:t>
            </w:r>
          </w:p>
          <w:p>
            <w:pPr>
              <w:keepNext w:val="0"/>
              <w:keepLines w:val="0"/>
              <w:widowControl/>
              <w:suppressLineNumbers w:val="0"/>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）总投资：本项目总投资</w:t>
            </w:r>
            <w:r>
              <w:rPr>
                <w:rFonts w:hint="eastAsia" w:cs="Times New Roman"/>
                <w:color w:val="auto"/>
                <w:highlight w:val="none"/>
                <w:lang w:val="en-US" w:eastAsia="zh-CN"/>
              </w:rPr>
              <w:t>2500</w:t>
            </w:r>
            <w:r>
              <w:rPr>
                <w:rFonts w:hint="eastAsia" w:ascii="Times New Roman" w:hAnsi="Times New Roman" w:eastAsia="宋体" w:cs="Times New Roman"/>
                <w:color w:val="auto"/>
                <w:highlight w:val="none"/>
                <w:lang w:val="en-US" w:eastAsia="zh-CN"/>
              </w:rPr>
              <w:t>万元</w:t>
            </w:r>
            <w:r>
              <w:rPr>
                <w:rFonts w:hint="eastAsia" w:cs="Times New Roman"/>
                <w:color w:val="auto"/>
                <w:highlight w:val="none"/>
                <w:lang w:val="en-US" w:eastAsia="zh-CN"/>
              </w:rPr>
              <w:t>，均为企业自筹</w:t>
            </w:r>
            <w:r>
              <w:rPr>
                <w:rFonts w:hint="eastAsia" w:ascii="Times New Roman" w:hAnsi="Times New Roman" w:eastAsia="宋体" w:cs="Times New Roman"/>
                <w:color w:val="auto"/>
                <w:highlight w:val="none"/>
                <w:lang w:val="en-US" w:eastAsia="zh-CN"/>
              </w:rPr>
              <w:t>。</w:t>
            </w:r>
          </w:p>
          <w:p>
            <w:pPr>
              <w:bidi w:val="0"/>
              <w:ind w:left="0" w:leftChars="0" w:firstLine="0" w:firstLineChars="0"/>
              <w:rPr>
                <w:rFonts w:hint="default"/>
                <w:b/>
                <w:bCs/>
                <w:highlight w:val="none"/>
                <w:lang w:val="en-US" w:eastAsia="zh-CN"/>
              </w:rPr>
            </w:pPr>
            <w:r>
              <w:rPr>
                <w:rFonts w:hint="eastAsia"/>
                <w:b/>
                <w:bCs/>
                <w:highlight w:val="none"/>
                <w:lang w:val="en-US" w:eastAsia="zh-CN"/>
              </w:rPr>
              <w:t>3 项目</w:t>
            </w:r>
            <w:r>
              <w:rPr>
                <w:rFonts w:hint="default"/>
                <w:b/>
                <w:bCs/>
                <w:highlight w:val="none"/>
                <w:lang w:val="en-US" w:eastAsia="zh-CN"/>
              </w:rPr>
              <w:t>建设</w:t>
            </w:r>
            <w:r>
              <w:rPr>
                <w:rFonts w:hint="eastAsia"/>
                <w:b/>
                <w:bCs/>
                <w:highlight w:val="none"/>
                <w:lang w:val="en-US" w:eastAsia="zh-CN"/>
              </w:rPr>
              <w:t>内容</w:t>
            </w:r>
          </w:p>
          <w:p>
            <w:pPr>
              <w:bidi w:val="0"/>
              <w:ind w:left="0" w:leftChars="0" w:firstLine="0" w:firstLineChars="0"/>
              <w:rPr>
                <w:rFonts w:hint="default" w:eastAsia="宋体"/>
                <w:b/>
                <w:bCs/>
                <w:highlight w:val="none"/>
                <w:lang w:val="en-US" w:eastAsia="zh-CN"/>
              </w:rPr>
            </w:pPr>
            <w:r>
              <w:rPr>
                <w:rFonts w:hint="eastAsia"/>
                <w:b/>
                <w:bCs/>
                <w:highlight w:val="none"/>
                <w:lang w:val="en-US" w:eastAsia="zh-CN"/>
              </w:rPr>
              <w:t>3.1建设内容与规模</w:t>
            </w:r>
          </w:p>
          <w:p>
            <w:pPr>
              <w:keepNext w:val="0"/>
              <w:keepLines w:val="0"/>
              <w:widowControl/>
              <w:suppressLineNumbers w:val="0"/>
              <w:ind w:left="0" w:leftChars="0" w:firstLine="480" w:firstLineChars="200"/>
              <w:jc w:val="left"/>
              <w:rPr>
                <w:rFonts w:hint="eastAsia"/>
                <w:highlight w:val="none"/>
                <w:lang w:eastAsia="zh-CN"/>
              </w:rPr>
            </w:pPr>
            <w:r>
              <w:rPr>
                <w:rFonts w:hint="default"/>
                <w:highlight w:val="none"/>
              </w:rPr>
              <w:t>本</w:t>
            </w:r>
            <w:r>
              <w:rPr>
                <w:rFonts w:hint="default"/>
                <w:highlight w:val="none"/>
                <w:lang w:eastAsia="zh-CN"/>
              </w:rPr>
              <w:t>项目</w:t>
            </w:r>
            <w:r>
              <w:rPr>
                <w:rFonts w:hint="eastAsia"/>
                <w:highlight w:val="none"/>
                <w:lang w:eastAsia="zh-CN"/>
              </w:rPr>
              <w:t>主要建设内容为</w:t>
            </w:r>
            <w:r>
              <w:rPr>
                <w:rFonts w:hint="eastAsia"/>
                <w:highlight w:val="none"/>
                <w:lang w:val="en-US" w:eastAsia="zh-CN"/>
              </w:rPr>
              <w:t>本项目建设内容包括HZS180型混凝土生产线2条，水稳料生产线1条，以及办公用房、实验室、地磅房、食堂、值班室等附属工程。本项目总用地面积为41563m</w:t>
            </w:r>
            <w:r>
              <w:rPr>
                <w:rFonts w:hint="eastAsia"/>
                <w:highlight w:val="none"/>
                <w:vertAlign w:val="superscript"/>
                <w:lang w:val="en-US" w:eastAsia="zh-CN"/>
              </w:rPr>
              <w:t>2</w:t>
            </w:r>
            <w:r>
              <w:rPr>
                <w:rFonts w:hint="eastAsia"/>
                <w:highlight w:val="none"/>
                <w:lang w:val="en-US" w:eastAsia="zh-CN"/>
              </w:rPr>
              <w:t>。项目建成后年产各种类型和标号商品混凝土20万立方米，水稳料5万立方米。</w:t>
            </w:r>
          </w:p>
          <w:p>
            <w:pPr>
              <w:bidi w:val="0"/>
              <w:ind w:left="0" w:leftChars="0" w:firstLine="480" w:firstLineChars="200"/>
              <w:rPr>
                <w:rFonts w:hint="default"/>
                <w:highlight w:val="none"/>
                <w:lang w:val="en-US" w:eastAsia="zh-CN"/>
              </w:rPr>
            </w:pPr>
            <w:r>
              <w:rPr>
                <w:rFonts w:hint="eastAsia"/>
                <w:highlight w:val="none"/>
                <w:lang w:val="en-US" w:eastAsia="zh-CN"/>
              </w:rPr>
              <w:t>项目具体工程见下表2-1。</w:t>
            </w:r>
          </w:p>
          <w:p>
            <w:pPr>
              <w:pStyle w:val="30"/>
              <w:bidi w:val="0"/>
              <w:rPr>
                <w:rFonts w:hint="eastAsia"/>
                <w:b/>
                <w:bCs/>
                <w:highlight w:val="none"/>
                <w:lang w:val="en-US" w:eastAsia="zh-CN"/>
              </w:rPr>
            </w:pPr>
            <w:r>
              <w:rPr>
                <w:rFonts w:hint="eastAsia"/>
                <w:b/>
                <w:bCs/>
                <w:highlight w:val="none"/>
                <w:lang w:val="en-US" w:eastAsia="zh-CN"/>
              </w:rPr>
              <w:t>表2-1   建设内容一览表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11"/>
              <w:gridCol w:w="424"/>
              <w:gridCol w:w="1144"/>
              <w:gridCol w:w="897"/>
              <w:gridCol w:w="4534"/>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24" w:type="pct"/>
                  <w:gridSpan w:val="2"/>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eastAsia="宋体"/>
                      <w:b/>
                      <w:bCs/>
                      <w:highlight w:val="none"/>
                      <w:lang w:val="en-US" w:eastAsia="zh-CN"/>
                    </w:rPr>
                  </w:pPr>
                  <w:r>
                    <w:rPr>
                      <w:rFonts w:hint="eastAsia"/>
                      <w:b/>
                      <w:bCs/>
                      <w:highlight w:val="none"/>
                      <w:lang w:val="en-US" w:eastAsia="zh-CN"/>
                    </w:rPr>
                    <w:t>工程类别</w:t>
                  </w:r>
                </w:p>
              </w:tc>
              <w:tc>
                <w:tcPr>
                  <w:tcW w:w="718"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b/>
                      <w:bCs/>
                      <w:highlight w:val="none"/>
                    </w:rPr>
                  </w:pPr>
                  <w:r>
                    <w:rPr>
                      <w:rFonts w:hint="eastAsia"/>
                      <w:b/>
                      <w:bCs/>
                      <w:highlight w:val="none"/>
                    </w:rPr>
                    <w:t>项目</w:t>
                  </w:r>
                </w:p>
              </w:tc>
              <w:tc>
                <w:tcPr>
                  <w:tcW w:w="3408" w:type="pct"/>
                  <w:gridSpan w:val="2"/>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eastAsia="宋体"/>
                      <w:b/>
                      <w:bCs/>
                      <w:highlight w:val="none"/>
                      <w:lang w:val="en-US" w:eastAsia="zh-CN"/>
                    </w:rPr>
                  </w:pPr>
                  <w:r>
                    <w:rPr>
                      <w:rFonts w:hint="eastAsia"/>
                      <w:b/>
                      <w:bCs/>
                      <w:highlight w:val="none"/>
                      <w:lang w:val="en-US" w:eastAsia="zh-CN"/>
                    </w:rPr>
                    <w:t>项目规模</w:t>
                  </w:r>
                </w:p>
              </w:tc>
              <w:tc>
                <w:tcPr>
                  <w:tcW w:w="349"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b/>
                      <w:bCs/>
                      <w:highlight w:val="none"/>
                    </w:rPr>
                  </w:pPr>
                  <w:r>
                    <w:rPr>
                      <w:rFonts w:hint="eastAsia"/>
                      <w:b/>
                      <w:bCs/>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258" w:type="pct"/>
                  <w:vMerge w:val="restart"/>
                  <w:noWrap w:val="0"/>
                  <w:vAlign w:val="center"/>
                </w:tcPr>
                <w:p>
                  <w:pPr>
                    <w:pStyle w:val="30"/>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highlight w:val="none"/>
                      <w:lang w:val="en-US" w:eastAsia="zh-CN"/>
                    </w:rPr>
                  </w:pPr>
                  <w:r>
                    <w:rPr>
                      <w:rFonts w:hint="eastAsia"/>
                      <w:highlight w:val="none"/>
                      <w:lang w:val="en-US" w:eastAsia="zh-CN"/>
                    </w:rPr>
                    <w:t>主体工程</w:t>
                  </w:r>
                </w:p>
              </w:tc>
              <w:tc>
                <w:tcPr>
                  <w:tcW w:w="265" w:type="pct"/>
                  <w:vMerge w:val="restart"/>
                  <w:noWrap w:val="0"/>
                  <w:vAlign w:val="center"/>
                </w:tcPr>
                <w:p>
                  <w:pPr>
                    <w:pStyle w:val="30"/>
                    <w:keepNext w:val="0"/>
                    <w:keepLines w:val="0"/>
                    <w:pageBreakBefore w:val="0"/>
                    <w:kinsoku/>
                    <w:wordWrap/>
                    <w:overflowPunct/>
                    <w:topLinePunct w:val="0"/>
                    <w:autoSpaceDE/>
                    <w:autoSpaceDN/>
                    <w:bidi w:val="0"/>
                    <w:adjustRightInd/>
                    <w:snapToGrid/>
                    <w:spacing w:line="240" w:lineRule="auto"/>
                    <w:jc w:val="center"/>
                    <w:textAlignment w:val="auto"/>
                    <w:rPr>
                      <w:rFonts w:hint="eastAsia"/>
                      <w:highlight w:val="none"/>
                      <w:lang w:val="en-US" w:eastAsia="zh-CN"/>
                    </w:rPr>
                  </w:pPr>
                  <w:r>
                    <w:rPr>
                      <w:rFonts w:hint="eastAsia"/>
                      <w:highlight w:val="none"/>
                      <w:lang w:val="en-US" w:eastAsia="zh-CN"/>
                    </w:rPr>
                    <w:t>混凝土搅拌站</w:t>
                  </w:r>
                </w:p>
              </w:tc>
              <w:tc>
                <w:tcPr>
                  <w:tcW w:w="718"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搅拌区</w:t>
                  </w:r>
                </w:p>
              </w:tc>
              <w:tc>
                <w:tcPr>
                  <w:tcW w:w="3408" w:type="pct"/>
                  <w:gridSpan w:val="2"/>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布置</w:t>
                  </w:r>
                  <w:r>
                    <w:rPr>
                      <w:rFonts w:hint="default" w:ascii="Times New Roman" w:hAnsi="Times New Roman" w:eastAsia="宋体" w:cs="Times New Roman"/>
                      <w:color w:val="auto"/>
                      <w:kern w:val="2"/>
                      <w:sz w:val="21"/>
                      <w:szCs w:val="21"/>
                      <w:highlight w:val="none"/>
                      <w:lang w:val="en-US" w:eastAsia="zh-CN" w:bidi="ar-SA"/>
                    </w:rPr>
                    <w:t>HZS180型</w:t>
                  </w:r>
                  <w:r>
                    <w:rPr>
                      <w:rFonts w:hint="eastAsia" w:ascii="Times New Roman" w:hAnsi="Times New Roman" w:eastAsia="宋体" w:cs="Times New Roman"/>
                      <w:color w:val="auto"/>
                      <w:kern w:val="2"/>
                      <w:sz w:val="21"/>
                      <w:szCs w:val="21"/>
                      <w:highlight w:val="none"/>
                      <w:lang w:val="en-US" w:eastAsia="zh-CN" w:bidi="ar-SA"/>
                    </w:rPr>
                    <w:t>混凝土生产线2条</w:t>
                  </w: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配套</w:t>
                  </w:r>
                  <w:r>
                    <w:rPr>
                      <w:rFonts w:hint="default" w:ascii="Times New Roman" w:hAnsi="Times New Roman" w:eastAsia="宋体" w:cs="Times New Roman"/>
                      <w:color w:val="auto"/>
                      <w:kern w:val="2"/>
                      <w:sz w:val="21"/>
                      <w:szCs w:val="21"/>
                      <w:highlight w:val="none"/>
                      <w:lang w:val="en-US" w:eastAsia="zh-CN" w:bidi="ar-SA"/>
                    </w:rPr>
                    <w:t>水泥筒仓4座，粉煤灰仓4座，</w:t>
                  </w:r>
                  <w:r>
                    <w:rPr>
                      <w:rFonts w:hint="eastAsia" w:ascii="Times New Roman" w:hAnsi="Times New Roman" w:eastAsia="宋体" w:cs="Times New Roman"/>
                      <w:color w:val="auto"/>
                      <w:kern w:val="2"/>
                      <w:sz w:val="21"/>
                      <w:szCs w:val="21"/>
                      <w:highlight w:val="none"/>
                      <w:lang w:val="en-US" w:eastAsia="zh-CN" w:bidi="ar-SA"/>
                    </w:rPr>
                    <w:t>骨料仓、</w:t>
                  </w:r>
                  <w:r>
                    <w:rPr>
                      <w:rFonts w:hint="default" w:ascii="Times New Roman" w:hAnsi="Times New Roman" w:eastAsia="宋体" w:cs="Times New Roman"/>
                      <w:color w:val="auto"/>
                      <w:kern w:val="2"/>
                      <w:sz w:val="21"/>
                      <w:szCs w:val="21"/>
                      <w:highlight w:val="none"/>
                      <w:lang w:val="en-US" w:eastAsia="zh-CN" w:bidi="ar-SA"/>
                    </w:rPr>
                    <w:t>原料输送装置</w:t>
                  </w:r>
                  <w:r>
                    <w:rPr>
                      <w:rFonts w:hint="eastAsia" w:ascii="Times New Roman" w:hAnsi="Times New Roman" w:eastAsia="宋体" w:cs="Times New Roman"/>
                      <w:color w:val="auto"/>
                      <w:kern w:val="2"/>
                      <w:sz w:val="21"/>
                      <w:szCs w:val="21"/>
                      <w:highlight w:val="none"/>
                      <w:lang w:val="en-US" w:eastAsia="zh-CN" w:bidi="ar-SA"/>
                    </w:rPr>
                    <w:t>；</w:t>
                  </w:r>
                </w:p>
              </w:tc>
              <w:tc>
                <w:tcPr>
                  <w:tcW w:w="349"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trPr>
              <w:tc>
                <w:tcPr>
                  <w:tcW w:w="258" w:type="pct"/>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c>
                <w:tcPr>
                  <w:tcW w:w="265" w:type="pct"/>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jc w:val="both"/>
                    <w:textAlignment w:val="auto"/>
                    <w:rPr>
                      <w:rFonts w:hint="eastAsia"/>
                      <w:highlight w:val="none"/>
                      <w:lang w:val="en-US" w:eastAsia="zh-CN"/>
                    </w:rPr>
                  </w:pPr>
                </w:p>
              </w:tc>
              <w:tc>
                <w:tcPr>
                  <w:tcW w:w="718"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b w:val="0"/>
                      <w:bCs w:val="0"/>
                      <w:color w:val="auto"/>
                      <w:highlight w:val="none"/>
                      <w:lang w:val="en-US" w:eastAsia="zh-CN"/>
                    </w:rPr>
                  </w:pPr>
                  <w:r>
                    <w:rPr>
                      <w:rFonts w:hint="eastAsia"/>
                      <w:b w:val="0"/>
                      <w:bCs w:val="0"/>
                      <w:color w:val="auto"/>
                      <w:highlight w:val="none"/>
                      <w:lang w:val="en-US" w:eastAsia="zh-CN"/>
                    </w:rPr>
                    <w:t>搅拌楼</w:t>
                  </w:r>
                </w:p>
              </w:tc>
              <w:tc>
                <w:tcPr>
                  <w:tcW w:w="3408" w:type="pct"/>
                  <w:gridSpan w:val="2"/>
                  <w:noWrap w:val="0"/>
                  <w:vAlign w:val="center"/>
                </w:tcPr>
                <w:p>
                  <w:pPr>
                    <w:widowControl/>
                    <w:spacing w:line="240" w:lineRule="auto"/>
                    <w:ind w:left="0" w:leftChars="0" w:firstLine="0" w:firstLineChars="0"/>
                    <w:jc w:val="left"/>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HZS180型混凝土搅拌楼2座，配套安装集气罩+袋式除尘器2套</w:t>
                  </w:r>
                  <w:r>
                    <w:rPr>
                      <w:rFonts w:hint="eastAsia" w:ascii="Times New Roman" w:hAnsi="Times New Roman" w:eastAsia="宋体" w:cs="Times New Roman"/>
                      <w:color w:val="auto"/>
                      <w:kern w:val="2"/>
                      <w:sz w:val="21"/>
                      <w:szCs w:val="21"/>
                      <w:highlight w:val="none"/>
                      <w:lang w:val="en-US" w:eastAsia="zh-CN" w:bidi="ar-SA"/>
                    </w:rPr>
                    <w:t>，物料搅拌过程产生的粉尘经搅拌机自带的脉冲布袋除尘器处理后通过一根15m高的排气筒（DA001）排放；</w:t>
                  </w:r>
                </w:p>
              </w:tc>
              <w:tc>
                <w:tcPr>
                  <w:tcW w:w="349"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258" w:type="pct"/>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highlight w:val="none"/>
                      <w:lang w:val="en-US" w:eastAsia="zh-CN"/>
                    </w:rPr>
                  </w:pPr>
                </w:p>
              </w:tc>
              <w:tc>
                <w:tcPr>
                  <w:tcW w:w="265" w:type="pct"/>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highlight w:val="none"/>
                      <w:lang w:val="en-US" w:eastAsia="zh-CN"/>
                    </w:rPr>
                  </w:pPr>
                </w:p>
              </w:tc>
              <w:tc>
                <w:tcPr>
                  <w:tcW w:w="718"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highlight w:val="none"/>
                      <w:lang w:val="en-US" w:eastAsia="zh-CN"/>
                    </w:rPr>
                    <w:t>水泥筒仓</w:t>
                  </w:r>
                </w:p>
              </w:tc>
              <w:tc>
                <w:tcPr>
                  <w:tcW w:w="3408" w:type="pct"/>
                  <w:gridSpan w:val="2"/>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eastAsia="宋体"/>
                      <w:highlight w:val="none"/>
                      <w:vertAlign w:val="baseline"/>
                      <w:lang w:val="en-US" w:eastAsia="zh-CN"/>
                    </w:rPr>
                  </w:pPr>
                  <w:r>
                    <w:rPr>
                      <w:rFonts w:hint="eastAsia"/>
                      <w:highlight w:val="none"/>
                      <w:lang w:val="en-US" w:eastAsia="zh-CN"/>
                    </w:rPr>
                    <w:t>水泥从周边地区水泥厂由装水泥罐车运输至散装水泥仓，水泥储存仓为4个钢板圆筒仓，直径为φ4500mm，储存量200t×4。</w:t>
                  </w:r>
                  <w:r>
                    <w:rPr>
                      <w:rFonts w:hint="eastAsia"/>
                      <w:color w:val="auto"/>
                      <w:highlight w:val="none"/>
                      <w:vertAlign w:val="baseline"/>
                      <w:lang w:val="en-US" w:eastAsia="zh-CN"/>
                    </w:rPr>
                    <w:t>顶部配套袋式除尘器，底部设置螺旋输送机</w:t>
                  </w:r>
                  <w:r>
                    <w:rPr>
                      <w:rFonts w:hint="eastAsia"/>
                      <w:highlight w:val="none"/>
                      <w:vertAlign w:val="baseline"/>
                      <w:lang w:val="en-US" w:eastAsia="zh-CN"/>
                    </w:rPr>
                    <w:t>，与搅拌楼相连；</w:t>
                  </w:r>
                </w:p>
              </w:tc>
              <w:tc>
                <w:tcPr>
                  <w:tcW w:w="349"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258" w:type="pct"/>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jc w:val="center"/>
                    <w:textAlignment w:val="auto"/>
                    <w:rPr>
                      <w:rFonts w:hint="eastAsia"/>
                      <w:highlight w:val="none"/>
                      <w:lang w:val="en-US" w:eastAsia="zh-CN"/>
                    </w:rPr>
                  </w:pPr>
                </w:p>
              </w:tc>
              <w:tc>
                <w:tcPr>
                  <w:tcW w:w="265" w:type="pct"/>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jc w:val="center"/>
                    <w:textAlignment w:val="auto"/>
                    <w:rPr>
                      <w:rFonts w:hint="eastAsia"/>
                      <w:highlight w:val="none"/>
                      <w:lang w:val="en-US" w:eastAsia="zh-CN"/>
                    </w:rPr>
                  </w:pPr>
                </w:p>
              </w:tc>
              <w:tc>
                <w:tcPr>
                  <w:tcW w:w="718"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szCs w:val="21"/>
                      <w:highlight w:val="none"/>
                      <w:lang w:val="en-US" w:eastAsia="zh-CN" w:bidi="ar-SA"/>
                    </w:rPr>
                  </w:pPr>
                  <w:r>
                    <w:rPr>
                      <w:rFonts w:hint="eastAsia"/>
                      <w:highlight w:val="none"/>
                      <w:lang w:val="en-US" w:eastAsia="zh-CN"/>
                    </w:rPr>
                    <w:t>粉煤灰筒仓</w:t>
                  </w:r>
                </w:p>
              </w:tc>
              <w:tc>
                <w:tcPr>
                  <w:tcW w:w="3408" w:type="pct"/>
                  <w:gridSpan w:val="2"/>
                  <w:noWrap w:val="0"/>
                  <w:vAlign w:val="center"/>
                </w:tcPr>
                <w:p>
                  <w:pPr>
                    <w:pStyle w:val="30"/>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粉煤灰由散装水泥专用汽车运输进厂至粉煤灰中间仓，粉煤灰中间储存为二个钢板圆筒仓，直径φ4500mm，储存量150t×4。</w:t>
                  </w:r>
                  <w:r>
                    <w:rPr>
                      <w:rFonts w:hint="eastAsia"/>
                      <w:color w:val="auto"/>
                      <w:highlight w:val="none"/>
                      <w:vertAlign w:val="baseline"/>
                      <w:lang w:val="en-US" w:eastAsia="zh-CN"/>
                    </w:rPr>
                    <w:t>顶部配套袋式除尘器，底部设置螺旋输送机，与搅拌楼相连；</w:t>
                  </w:r>
                </w:p>
              </w:tc>
              <w:tc>
                <w:tcPr>
                  <w:tcW w:w="349"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258" w:type="pct"/>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eastAsia="zh-CN"/>
                    </w:rPr>
                  </w:pPr>
                </w:p>
              </w:tc>
              <w:tc>
                <w:tcPr>
                  <w:tcW w:w="265" w:type="pct"/>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eastAsia="zh-CN"/>
                    </w:rPr>
                  </w:pPr>
                </w:p>
              </w:tc>
              <w:tc>
                <w:tcPr>
                  <w:tcW w:w="718"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外加剂罐</w:t>
                  </w:r>
                </w:p>
              </w:tc>
              <w:tc>
                <w:tcPr>
                  <w:tcW w:w="3408" w:type="pct"/>
                  <w:gridSpan w:val="2"/>
                  <w:noWrap w:val="0"/>
                  <w:vAlign w:val="center"/>
                </w:tcPr>
                <w:p>
                  <w:pPr>
                    <w:pStyle w:val="30"/>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固体外加剂均为袋装入厂，利用库房储存，人工破袋后输送至外加剂储存仓。液体外加剂（高效减水剂等）按配比要求将粉剂加水搅拌溶解之后，通过塑料液体泵分别送往液体外加剂秤</w:t>
                  </w:r>
                  <w:r>
                    <w:rPr>
                      <w:rFonts w:hint="default"/>
                      <w:color w:val="auto"/>
                      <w:highlight w:val="none"/>
                      <w:lang w:val="en-US" w:eastAsia="zh-CN"/>
                    </w:rPr>
                    <w:t>外加剂出料采用液体泵由管道与搅拌机组相连</w:t>
                  </w:r>
                  <w:r>
                    <w:rPr>
                      <w:rFonts w:hint="eastAsia"/>
                      <w:color w:val="auto"/>
                      <w:highlight w:val="none"/>
                      <w:lang w:val="en-US" w:eastAsia="zh-CN"/>
                    </w:rPr>
                    <w:t>；</w:t>
                  </w:r>
                </w:p>
              </w:tc>
              <w:tc>
                <w:tcPr>
                  <w:tcW w:w="349"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7" w:hRule="atLeast"/>
              </w:trPr>
              <w:tc>
                <w:tcPr>
                  <w:tcW w:w="258" w:type="pct"/>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eastAsia="zh-CN"/>
                    </w:rPr>
                  </w:pPr>
                </w:p>
              </w:tc>
              <w:tc>
                <w:tcPr>
                  <w:tcW w:w="265" w:type="pct"/>
                  <w:vMerge w:val="restar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eastAsia="zh-CN"/>
                    </w:rPr>
                  </w:pPr>
                  <w:r>
                    <w:rPr>
                      <w:rFonts w:hint="eastAsia"/>
                      <w:highlight w:val="none"/>
                      <w:lang w:val="en-US" w:eastAsia="zh-CN"/>
                    </w:rPr>
                    <w:t>水稳站</w:t>
                  </w:r>
                </w:p>
              </w:tc>
              <w:tc>
                <w:tcPr>
                  <w:tcW w:w="718"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水稳站</w:t>
                  </w:r>
                </w:p>
              </w:tc>
              <w:tc>
                <w:tcPr>
                  <w:tcW w:w="3408" w:type="pct"/>
                  <w:gridSpan w:val="2"/>
                  <w:noWrap w:val="0"/>
                  <w:vAlign w:val="center"/>
                </w:tcPr>
                <w:p>
                  <w:pPr>
                    <w:pStyle w:val="30"/>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color w:val="auto"/>
                      <w:kern w:val="2"/>
                      <w:sz w:val="21"/>
                      <w:szCs w:val="21"/>
                      <w:vertAlign w:val="baseline"/>
                      <w:lang w:val="en-US" w:eastAsia="zh-CN" w:bidi="ar-SA"/>
                    </w:rPr>
                  </w:pPr>
                  <w:r>
                    <w:rPr>
                      <w:rFonts w:hint="eastAsia"/>
                      <w:color w:val="auto"/>
                      <w:lang w:val="en-US" w:eastAsia="zh-CN"/>
                    </w:rPr>
                    <w:t>占地面积1400m</w:t>
                  </w:r>
                  <w:r>
                    <w:rPr>
                      <w:rFonts w:hint="eastAsia"/>
                      <w:color w:val="auto"/>
                      <w:vertAlign w:val="superscript"/>
                      <w:lang w:val="en-US" w:eastAsia="zh-CN"/>
                    </w:rPr>
                    <w:t>2</w:t>
                  </w:r>
                  <w:r>
                    <w:rPr>
                      <w:rFonts w:hint="eastAsia"/>
                      <w:color w:val="auto"/>
                      <w:lang w:val="en-US" w:eastAsia="zh-CN"/>
                    </w:rPr>
                    <w:t>，设置1条水稳料生产线，安装1台水稳拌合机，4座料仓，1座水泥筒仓年产水稳料5万m</w:t>
                  </w:r>
                  <w:r>
                    <w:rPr>
                      <w:rFonts w:hint="eastAsia"/>
                      <w:color w:val="auto"/>
                      <w:vertAlign w:val="superscript"/>
                      <w:lang w:val="en-US" w:eastAsia="zh-CN"/>
                    </w:rPr>
                    <w:t>3</w:t>
                  </w:r>
                  <w:r>
                    <w:rPr>
                      <w:rFonts w:hint="eastAsia"/>
                      <w:color w:val="auto"/>
                      <w:vertAlign w:val="baseline"/>
                      <w:lang w:val="en-US" w:eastAsia="zh-CN"/>
                    </w:rPr>
                    <w:t>；</w:t>
                  </w:r>
                </w:p>
              </w:tc>
              <w:tc>
                <w:tcPr>
                  <w:tcW w:w="349"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258" w:type="pct"/>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eastAsia="zh-CN"/>
                    </w:rPr>
                  </w:pPr>
                </w:p>
              </w:tc>
              <w:tc>
                <w:tcPr>
                  <w:tcW w:w="265" w:type="pct"/>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eastAsia="zh-CN"/>
                    </w:rPr>
                  </w:pPr>
                </w:p>
              </w:tc>
              <w:tc>
                <w:tcPr>
                  <w:tcW w:w="718"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szCs w:val="21"/>
                      <w:lang w:val="en-US" w:eastAsia="zh-CN" w:bidi="ar-SA"/>
                    </w:rPr>
                  </w:pPr>
                  <w:r>
                    <w:rPr>
                      <w:rFonts w:hint="eastAsia"/>
                      <w:lang w:val="en-US" w:eastAsia="zh-CN"/>
                    </w:rPr>
                    <w:t>水泥筒仓</w:t>
                  </w:r>
                </w:p>
              </w:tc>
              <w:tc>
                <w:tcPr>
                  <w:tcW w:w="3408" w:type="pct"/>
                  <w:gridSpan w:val="2"/>
                  <w:noWrap w:val="0"/>
                  <w:vAlign w:val="center"/>
                </w:tcPr>
                <w:p>
                  <w:pPr>
                    <w:pStyle w:val="30"/>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kern w:val="2"/>
                      <w:sz w:val="21"/>
                      <w:szCs w:val="21"/>
                      <w:vertAlign w:val="baseline"/>
                      <w:lang w:val="en-US" w:eastAsia="zh-CN" w:bidi="ar-SA"/>
                    </w:rPr>
                  </w:pPr>
                  <w:r>
                    <w:rPr>
                      <w:rFonts w:hint="eastAsia"/>
                      <w:color w:val="auto"/>
                      <w:vertAlign w:val="baseline"/>
                      <w:lang w:val="en-US" w:eastAsia="zh-CN"/>
                    </w:rPr>
                    <w:t>安装1个水泥筒仓（单座储存量为200t），用于储存水泥。圆柱形钢结构，砂石经给料机运送至集料仓，顶部配套袋式除尘器，底部设置螺旋输送机</w:t>
                  </w:r>
                  <w:r>
                    <w:rPr>
                      <w:rFonts w:hint="eastAsia"/>
                      <w:vertAlign w:val="baseline"/>
                      <w:lang w:val="en-US" w:eastAsia="zh-CN"/>
                    </w:rPr>
                    <w:t>，与搅拌楼相连；</w:t>
                  </w:r>
                </w:p>
              </w:tc>
              <w:tc>
                <w:tcPr>
                  <w:tcW w:w="349"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258" w:type="pct"/>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eastAsia="zh-CN"/>
                    </w:rPr>
                  </w:pPr>
                </w:p>
              </w:tc>
              <w:tc>
                <w:tcPr>
                  <w:tcW w:w="265" w:type="pct"/>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eastAsia="zh-CN"/>
                    </w:rPr>
                  </w:pPr>
                </w:p>
              </w:tc>
              <w:tc>
                <w:tcPr>
                  <w:tcW w:w="718"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料仓</w:t>
                  </w:r>
                </w:p>
              </w:tc>
              <w:tc>
                <w:tcPr>
                  <w:tcW w:w="3408" w:type="pct"/>
                  <w:gridSpan w:val="2"/>
                  <w:noWrap w:val="0"/>
                  <w:vAlign w:val="center"/>
                </w:tcPr>
                <w:p>
                  <w:pPr>
                    <w:pStyle w:val="30"/>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设4个料仓，位于厂区东南侧，建设轻型钢结构房（三面围挡+顶层覆盖）地面采用混凝土硬化用于堆放各种碎石和石屑；</w:t>
                  </w:r>
                </w:p>
              </w:tc>
              <w:tc>
                <w:tcPr>
                  <w:tcW w:w="349"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24" w:type="pct"/>
                  <w:gridSpan w:val="2"/>
                  <w:vMerge w:val="restart"/>
                  <w:noWrap w:val="0"/>
                  <w:vAlign w:val="center"/>
                </w:tcPr>
                <w:p>
                  <w:pPr>
                    <w:pStyle w:val="30"/>
                    <w:keepNext w:val="0"/>
                    <w:keepLines w:val="0"/>
                    <w:pageBreakBefore w:val="0"/>
                    <w:kinsoku/>
                    <w:wordWrap/>
                    <w:overflowPunct/>
                    <w:topLinePunct w:val="0"/>
                    <w:autoSpaceDE/>
                    <w:autoSpaceDN/>
                    <w:bidi w:val="0"/>
                    <w:adjustRightInd/>
                    <w:snapToGrid/>
                    <w:spacing w:line="240" w:lineRule="auto"/>
                    <w:jc w:val="center"/>
                    <w:textAlignment w:val="auto"/>
                    <w:rPr>
                      <w:rFonts w:hint="eastAsia"/>
                      <w:highlight w:val="none"/>
                      <w:lang w:eastAsia="zh-CN"/>
                    </w:rPr>
                  </w:pPr>
                  <w:r>
                    <w:rPr>
                      <w:rFonts w:hint="eastAsia"/>
                      <w:highlight w:val="none"/>
                      <w:lang w:eastAsia="zh-CN"/>
                    </w:rPr>
                    <w:t>配套工程</w:t>
                  </w:r>
                </w:p>
              </w:tc>
              <w:tc>
                <w:tcPr>
                  <w:tcW w:w="718"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原料堆场</w:t>
                  </w:r>
                </w:p>
              </w:tc>
              <w:tc>
                <w:tcPr>
                  <w:tcW w:w="3408" w:type="pct"/>
                  <w:gridSpan w:val="2"/>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位于厂区北侧，</w:t>
                  </w:r>
                  <w:r>
                    <w:rPr>
                      <w:rFonts w:hint="eastAsia" w:cs="Times New Roman" w:eastAsiaTheme="minorEastAsia"/>
                      <w:color w:val="auto"/>
                      <w:sz w:val="21"/>
                      <w:szCs w:val="21"/>
                      <w:highlight w:val="none"/>
                      <w:lang w:val="en-US" w:eastAsia="zh-CN"/>
                    </w:rPr>
                    <w:t>砂子</w:t>
                  </w:r>
                  <w:r>
                    <w:rPr>
                      <w:rFonts w:hint="eastAsia"/>
                      <w:color w:val="auto"/>
                      <w:highlight w:val="none"/>
                      <w:lang w:val="en-US" w:eastAsia="zh-CN"/>
                    </w:rPr>
                    <w:t>小石料场占地450</w:t>
                  </w:r>
                  <w:r>
                    <w:rPr>
                      <w:rFonts w:hint="default"/>
                      <w:color w:val="auto"/>
                      <w:highlight w:val="none"/>
                      <w:lang w:val="en-US" w:eastAsia="zh-CN"/>
                    </w:rPr>
                    <w:t>m</w:t>
                  </w:r>
                  <w:r>
                    <w:rPr>
                      <w:rFonts w:hint="default"/>
                      <w:color w:val="auto"/>
                      <w:highlight w:val="none"/>
                      <w:vertAlign w:val="superscript"/>
                      <w:lang w:val="en-US" w:eastAsia="zh-CN"/>
                    </w:rPr>
                    <w:t>2</w:t>
                  </w:r>
                  <w:r>
                    <w:rPr>
                      <w:rFonts w:hint="eastAsia"/>
                      <w:color w:val="auto"/>
                      <w:highlight w:val="none"/>
                      <w:vertAlign w:val="baseline"/>
                      <w:lang w:val="en-US" w:eastAsia="zh-CN"/>
                    </w:rPr>
                    <w:t>，采用全封闭措施，</w:t>
                  </w:r>
                  <w:r>
                    <w:rPr>
                      <w:rFonts w:hint="eastAsia"/>
                      <w:color w:val="auto"/>
                      <w:highlight w:val="none"/>
                      <w:lang w:val="en-US" w:eastAsia="zh-CN"/>
                    </w:rPr>
                    <w:t>大石料场占地450m</w:t>
                  </w:r>
                  <w:r>
                    <w:rPr>
                      <w:rFonts w:hint="eastAsia"/>
                      <w:color w:val="auto"/>
                      <w:highlight w:val="none"/>
                      <w:vertAlign w:val="superscript"/>
                      <w:lang w:val="en-US" w:eastAsia="zh-CN"/>
                    </w:rPr>
                    <w:t>2</w:t>
                  </w:r>
                  <w:r>
                    <w:rPr>
                      <w:rFonts w:hint="eastAsia"/>
                      <w:color w:val="auto"/>
                      <w:highlight w:val="none"/>
                      <w:vertAlign w:val="baseline"/>
                      <w:lang w:val="en-US" w:eastAsia="zh-CN"/>
                    </w:rPr>
                    <w:t>，</w:t>
                  </w:r>
                  <w:r>
                    <w:rPr>
                      <w:rFonts w:hint="eastAsia"/>
                      <w:color w:val="auto"/>
                      <w:highlight w:val="none"/>
                      <w:lang w:val="en-US" w:eastAsia="zh-CN"/>
                    </w:rPr>
                    <w:t>采用半封闭+防风抑尘网措施，并定期洒水降尘；</w:t>
                  </w:r>
                </w:p>
              </w:tc>
              <w:tc>
                <w:tcPr>
                  <w:tcW w:w="349"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2" w:hRule="atLeast"/>
              </w:trPr>
              <w:tc>
                <w:tcPr>
                  <w:tcW w:w="524" w:type="pct"/>
                  <w:gridSpan w:val="2"/>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eastAsia="zh-CN"/>
                    </w:rPr>
                  </w:pPr>
                </w:p>
              </w:tc>
              <w:tc>
                <w:tcPr>
                  <w:tcW w:w="718"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输送</w:t>
                  </w:r>
                </w:p>
              </w:tc>
              <w:tc>
                <w:tcPr>
                  <w:tcW w:w="3408" w:type="pct"/>
                  <w:gridSpan w:val="2"/>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default" w:ascii="Times New Roman" w:hAnsi="Times New Roman" w:eastAsia="宋体" w:cs="Times New Roman"/>
                      <w:color w:val="auto"/>
                      <w:highlight w:val="none"/>
                      <w:lang w:val="en-US" w:eastAsia="zh-CN"/>
                    </w:rPr>
                    <w:t>采用全封闭式皮带输送系统</w:t>
                  </w:r>
                  <w:r>
                    <w:rPr>
                      <w:rFonts w:hint="eastAsia" w:cs="Times New Roman"/>
                      <w:color w:val="auto"/>
                      <w:highlight w:val="none"/>
                      <w:lang w:val="en-US" w:eastAsia="zh-CN"/>
                    </w:rPr>
                    <w:t>；</w:t>
                  </w:r>
                </w:p>
              </w:tc>
              <w:tc>
                <w:tcPr>
                  <w:tcW w:w="349"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5" w:hRule="atLeast"/>
              </w:trPr>
              <w:tc>
                <w:tcPr>
                  <w:tcW w:w="524" w:type="pct"/>
                  <w:gridSpan w:val="2"/>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highlight w:val="none"/>
                      <w:lang w:val="en-US" w:eastAsia="zh-CN"/>
                    </w:rPr>
                  </w:pPr>
                </w:p>
              </w:tc>
              <w:tc>
                <w:tcPr>
                  <w:tcW w:w="718"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highlight w:val="none"/>
                      <w:lang w:val="en-US" w:eastAsia="zh-CN"/>
                    </w:rPr>
                    <w:t>沉淀池</w:t>
                  </w:r>
                </w:p>
              </w:tc>
              <w:tc>
                <w:tcPr>
                  <w:tcW w:w="3408" w:type="pct"/>
                  <w:gridSpan w:val="2"/>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80m</w:t>
                  </w:r>
                  <w:r>
                    <w:rPr>
                      <w:rFonts w:hint="eastAsia"/>
                      <w:color w:val="auto"/>
                      <w:highlight w:val="none"/>
                      <w:vertAlign w:val="superscript"/>
                      <w:lang w:val="en-US" w:eastAsia="zh-CN"/>
                    </w:rPr>
                    <w:t>3</w:t>
                  </w:r>
                  <w:r>
                    <w:rPr>
                      <w:rFonts w:hint="eastAsia"/>
                      <w:color w:val="auto"/>
                      <w:highlight w:val="none"/>
                      <w:lang w:val="en-US" w:eastAsia="zh-CN"/>
                    </w:rPr>
                    <w:t>沉淀池2个；</w:t>
                  </w:r>
                </w:p>
              </w:tc>
              <w:tc>
                <w:tcPr>
                  <w:tcW w:w="349"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5" w:hRule="atLeast"/>
              </w:trPr>
              <w:tc>
                <w:tcPr>
                  <w:tcW w:w="524" w:type="pct"/>
                  <w:gridSpan w:val="2"/>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highlight w:val="none"/>
                      <w:lang w:val="en-US" w:eastAsia="zh-CN"/>
                    </w:rPr>
                  </w:pPr>
                </w:p>
              </w:tc>
              <w:tc>
                <w:tcPr>
                  <w:tcW w:w="718"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r>
                    <w:rPr>
                      <w:rFonts w:hint="eastAsia"/>
                      <w:highlight w:val="none"/>
                      <w:lang w:val="en-US" w:eastAsia="zh-CN"/>
                    </w:rPr>
                    <w:t>化粪池</w:t>
                  </w:r>
                </w:p>
              </w:tc>
              <w:tc>
                <w:tcPr>
                  <w:tcW w:w="3408" w:type="pct"/>
                  <w:gridSpan w:val="2"/>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地埋式玻璃钢防渗化粪池1座，容积18m</w:t>
                  </w:r>
                  <w:r>
                    <w:rPr>
                      <w:rFonts w:hint="eastAsia"/>
                      <w:color w:val="auto"/>
                      <w:highlight w:val="none"/>
                      <w:vertAlign w:val="superscript"/>
                      <w:lang w:val="en-US" w:eastAsia="zh-CN"/>
                    </w:rPr>
                    <w:t>3</w:t>
                  </w:r>
                  <w:r>
                    <w:rPr>
                      <w:rFonts w:hint="eastAsia"/>
                      <w:color w:val="auto"/>
                      <w:highlight w:val="none"/>
                      <w:vertAlign w:val="baseline"/>
                      <w:lang w:val="en-US" w:eastAsia="zh-CN"/>
                    </w:rPr>
                    <w:t>；</w:t>
                  </w:r>
                </w:p>
              </w:tc>
              <w:tc>
                <w:tcPr>
                  <w:tcW w:w="349"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0" w:hRule="atLeast"/>
              </w:trPr>
              <w:tc>
                <w:tcPr>
                  <w:tcW w:w="524" w:type="pct"/>
                  <w:gridSpan w:val="2"/>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highlight w:val="none"/>
                      <w:lang w:val="en-US" w:eastAsia="zh-CN"/>
                    </w:rPr>
                  </w:pPr>
                </w:p>
              </w:tc>
              <w:tc>
                <w:tcPr>
                  <w:tcW w:w="718"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r>
                    <w:rPr>
                      <w:rFonts w:hint="eastAsia"/>
                      <w:highlight w:val="none"/>
                      <w:lang w:val="en-US" w:eastAsia="zh-CN"/>
                    </w:rPr>
                    <w:t>清水池</w:t>
                  </w:r>
                </w:p>
              </w:tc>
              <w:tc>
                <w:tcPr>
                  <w:tcW w:w="3408" w:type="pct"/>
                  <w:gridSpan w:val="2"/>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highlight w:val="none"/>
                      <w:lang w:val="en-US" w:eastAsia="zh-CN"/>
                    </w:rPr>
                    <w:t>建200m</w:t>
                  </w:r>
                  <w:r>
                    <w:rPr>
                      <w:rFonts w:hint="eastAsia"/>
                      <w:highlight w:val="none"/>
                      <w:vertAlign w:val="superscript"/>
                      <w:lang w:val="en-US" w:eastAsia="zh-CN"/>
                    </w:rPr>
                    <w:t>3</w:t>
                  </w:r>
                  <w:r>
                    <w:rPr>
                      <w:rFonts w:hint="eastAsia"/>
                      <w:highlight w:val="none"/>
                      <w:lang w:val="en-US" w:eastAsia="zh-CN"/>
                    </w:rPr>
                    <w:t>清水池一座，无塔供水设备1套，通过管网供应全厂生产设备用水；</w:t>
                  </w:r>
                </w:p>
              </w:tc>
              <w:tc>
                <w:tcPr>
                  <w:tcW w:w="349"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4" w:hRule="atLeast"/>
              </w:trPr>
              <w:tc>
                <w:tcPr>
                  <w:tcW w:w="524" w:type="pct"/>
                  <w:gridSpan w:val="2"/>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c>
                <w:tcPr>
                  <w:tcW w:w="718"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办公及化验室</w:t>
                  </w:r>
                </w:p>
              </w:tc>
              <w:tc>
                <w:tcPr>
                  <w:tcW w:w="3408" w:type="pct"/>
                  <w:gridSpan w:val="2"/>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color w:val="auto"/>
                      <w:highlight w:val="none"/>
                      <w:vertAlign w:val="baseline"/>
                      <w:lang w:val="en-US" w:eastAsia="zh-CN"/>
                    </w:rPr>
                  </w:pPr>
                  <w:r>
                    <w:rPr>
                      <w:rFonts w:hint="eastAsia"/>
                      <w:color w:val="auto"/>
                      <w:highlight w:val="none"/>
                      <w:lang w:val="en-US" w:eastAsia="zh-CN"/>
                    </w:rPr>
                    <w:t>办公及化验室占地面积350m</w:t>
                  </w:r>
                  <w:r>
                    <w:rPr>
                      <w:rFonts w:hint="eastAsia"/>
                      <w:color w:val="auto"/>
                      <w:highlight w:val="none"/>
                      <w:vertAlign w:val="superscript"/>
                      <w:lang w:val="en-US" w:eastAsia="zh-CN"/>
                    </w:rPr>
                    <w:t>2</w:t>
                  </w:r>
                  <w:r>
                    <w:rPr>
                      <w:rFonts w:hint="eastAsia"/>
                      <w:color w:val="auto"/>
                      <w:highlight w:val="none"/>
                      <w:vertAlign w:val="baseline"/>
                      <w:lang w:val="en-US" w:eastAsia="zh-CN"/>
                    </w:rPr>
                    <w:t>，位于厂区西南角；</w:t>
                  </w:r>
                </w:p>
              </w:tc>
              <w:tc>
                <w:tcPr>
                  <w:tcW w:w="349"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24" w:type="pct"/>
                  <w:gridSpan w:val="2"/>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c>
                <w:tcPr>
                  <w:tcW w:w="718"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食堂</w:t>
                  </w:r>
                </w:p>
              </w:tc>
              <w:tc>
                <w:tcPr>
                  <w:tcW w:w="3408" w:type="pct"/>
                  <w:gridSpan w:val="2"/>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color w:val="auto"/>
                      <w:highlight w:val="none"/>
                      <w:vertAlign w:val="baseline"/>
                      <w:lang w:val="en-US" w:eastAsia="zh-CN"/>
                    </w:rPr>
                  </w:pPr>
                  <w:r>
                    <w:rPr>
                      <w:rFonts w:hint="eastAsia"/>
                      <w:color w:val="auto"/>
                      <w:highlight w:val="none"/>
                      <w:lang w:val="en-US" w:eastAsia="zh-CN"/>
                    </w:rPr>
                    <w:t>占地面积100m</w:t>
                  </w:r>
                  <w:r>
                    <w:rPr>
                      <w:rFonts w:hint="eastAsia"/>
                      <w:color w:val="auto"/>
                      <w:highlight w:val="none"/>
                      <w:vertAlign w:val="superscript"/>
                      <w:lang w:val="en-US" w:eastAsia="zh-CN"/>
                    </w:rPr>
                    <w:t>2</w:t>
                  </w:r>
                  <w:r>
                    <w:rPr>
                      <w:rFonts w:hint="eastAsia"/>
                      <w:color w:val="auto"/>
                      <w:highlight w:val="none"/>
                      <w:vertAlign w:val="baseline"/>
                      <w:lang w:val="en-US" w:eastAsia="zh-CN"/>
                    </w:rPr>
                    <w:t>，位于厂区西南角；</w:t>
                  </w:r>
                </w:p>
              </w:tc>
              <w:tc>
                <w:tcPr>
                  <w:tcW w:w="349"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24" w:type="pct"/>
                  <w:gridSpan w:val="2"/>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c>
                <w:tcPr>
                  <w:tcW w:w="718"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color w:val="auto"/>
                      <w:highlight w:val="none"/>
                      <w:lang w:val="en-US" w:eastAsia="zh-CN"/>
                    </w:rPr>
                  </w:pPr>
                  <w:r>
                    <w:rPr>
                      <w:rFonts w:hint="eastAsia"/>
                      <w:color w:val="auto"/>
                      <w:highlight w:val="none"/>
                      <w:lang w:val="en-US" w:eastAsia="zh-CN"/>
                    </w:rPr>
                    <w:t>宿舍</w:t>
                  </w:r>
                </w:p>
              </w:tc>
              <w:tc>
                <w:tcPr>
                  <w:tcW w:w="3408" w:type="pct"/>
                  <w:gridSpan w:val="2"/>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b/>
                      <w:bCs/>
                      <w:color w:val="auto"/>
                      <w:highlight w:val="none"/>
                      <w:lang w:val="en-US" w:eastAsia="zh-CN"/>
                    </w:rPr>
                  </w:pPr>
                  <w:r>
                    <w:rPr>
                      <w:rFonts w:hint="eastAsia"/>
                      <w:color w:val="auto"/>
                      <w:highlight w:val="none"/>
                      <w:lang w:val="en-US" w:eastAsia="zh-CN"/>
                    </w:rPr>
                    <w:t>占地面积150m</w:t>
                  </w:r>
                  <w:r>
                    <w:rPr>
                      <w:rFonts w:hint="eastAsia"/>
                      <w:color w:val="auto"/>
                      <w:highlight w:val="none"/>
                      <w:vertAlign w:val="superscript"/>
                      <w:lang w:val="en-US" w:eastAsia="zh-CN"/>
                    </w:rPr>
                    <w:t>2</w:t>
                  </w:r>
                  <w:r>
                    <w:rPr>
                      <w:rFonts w:hint="eastAsia"/>
                      <w:color w:val="auto"/>
                      <w:highlight w:val="none"/>
                      <w:vertAlign w:val="baseline"/>
                      <w:lang w:val="en-US" w:eastAsia="zh-CN"/>
                    </w:rPr>
                    <w:t>，位于厂区西南侧；</w:t>
                  </w:r>
                </w:p>
              </w:tc>
              <w:tc>
                <w:tcPr>
                  <w:tcW w:w="349"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24" w:type="pct"/>
                  <w:gridSpan w:val="2"/>
                  <w:vMerge w:val="restar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highlight w:val="none"/>
                      <w:lang w:val="en-US" w:eastAsia="zh-CN"/>
                    </w:rPr>
                    <w:t>公用工程</w:t>
                  </w:r>
                </w:p>
              </w:tc>
              <w:tc>
                <w:tcPr>
                  <w:tcW w:w="718"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highlight w:val="none"/>
                      <w:lang w:val="en-US" w:eastAsia="zh-CN"/>
                    </w:rPr>
                    <w:t>供水</w:t>
                  </w:r>
                </w:p>
              </w:tc>
              <w:tc>
                <w:tcPr>
                  <w:tcW w:w="3408"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color w:val="FF0000"/>
                      <w:highlight w:val="no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工厂水源来自吐鲁番市供排水公司，出水量可达100m</w:t>
                  </w:r>
                  <w:r>
                    <w:rPr>
                      <w:rFonts w:hint="eastAsia" w:ascii="Times New Roman" w:hAnsi="Times New Roman" w:eastAsia="宋体" w:cs="Times New Roman"/>
                      <w:color w:val="auto"/>
                      <w:kern w:val="2"/>
                      <w:sz w:val="21"/>
                      <w:szCs w:val="21"/>
                      <w:highlight w:val="none"/>
                      <w:vertAlign w:val="superscript"/>
                      <w:lang w:val="en-US" w:eastAsia="zh-CN" w:bidi="ar-SA"/>
                    </w:rPr>
                    <w:t>3</w:t>
                  </w:r>
                  <w:r>
                    <w:rPr>
                      <w:rFonts w:hint="eastAsia" w:ascii="Times New Roman" w:hAnsi="Times New Roman" w:eastAsia="宋体" w:cs="Times New Roman"/>
                      <w:color w:val="auto"/>
                      <w:kern w:val="2"/>
                      <w:sz w:val="21"/>
                      <w:szCs w:val="21"/>
                      <w:highlight w:val="none"/>
                      <w:vertAlign w:val="baseline"/>
                      <w:lang w:val="en-US" w:eastAsia="zh-CN" w:bidi="ar-SA"/>
                    </w:rPr>
                    <w:t>/h，因此水源供水能力完全</w:t>
                  </w:r>
                  <w:r>
                    <w:rPr>
                      <w:rFonts w:hint="eastAsia" w:cs="Times New Roman"/>
                      <w:color w:val="auto"/>
                      <w:kern w:val="2"/>
                      <w:sz w:val="21"/>
                      <w:szCs w:val="21"/>
                      <w:highlight w:val="none"/>
                      <w:vertAlign w:val="baseline"/>
                      <w:lang w:val="en-US" w:eastAsia="zh-CN" w:bidi="ar-SA"/>
                    </w:rPr>
                    <w:t>可以</w:t>
                  </w:r>
                  <w:r>
                    <w:rPr>
                      <w:rFonts w:hint="eastAsia" w:ascii="Times New Roman" w:hAnsi="Times New Roman" w:eastAsia="宋体" w:cs="Times New Roman"/>
                      <w:color w:val="auto"/>
                      <w:kern w:val="2"/>
                      <w:sz w:val="21"/>
                      <w:szCs w:val="21"/>
                      <w:highlight w:val="none"/>
                      <w:vertAlign w:val="baseline"/>
                      <w:lang w:val="en-US" w:eastAsia="zh-CN" w:bidi="ar-SA"/>
                    </w:rPr>
                    <w:t>满足供应；</w:t>
                  </w:r>
                </w:p>
              </w:tc>
              <w:tc>
                <w:tcPr>
                  <w:tcW w:w="349"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24" w:type="pct"/>
                  <w:gridSpan w:val="2"/>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c>
                <w:tcPr>
                  <w:tcW w:w="718"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jc w:val="center"/>
                    <w:textAlignment w:val="auto"/>
                    <w:rPr>
                      <w:rFonts w:hint="default"/>
                      <w:highlight w:val="none"/>
                      <w:lang w:val="en-US" w:eastAsia="zh-CN"/>
                    </w:rPr>
                  </w:pPr>
                  <w:r>
                    <w:rPr>
                      <w:rFonts w:hint="eastAsia"/>
                      <w:highlight w:val="none"/>
                      <w:lang w:val="en-US" w:eastAsia="zh-CN"/>
                    </w:rPr>
                    <w:t>供暖</w:t>
                  </w:r>
                </w:p>
              </w:tc>
              <w:tc>
                <w:tcPr>
                  <w:tcW w:w="3408" w:type="pct"/>
                  <w:gridSpan w:val="2"/>
                  <w:noWrap w:val="0"/>
                  <w:vAlign w:val="center"/>
                </w:tcPr>
                <w:p>
                  <w:pPr>
                    <w:pStyle w:val="30"/>
                    <w:keepNext w:val="0"/>
                    <w:keepLines w:val="0"/>
                    <w:pageBreakBefore w:val="0"/>
                    <w:kinsoku/>
                    <w:wordWrap/>
                    <w:overflowPunct/>
                    <w:topLinePunct w:val="0"/>
                    <w:autoSpaceDE/>
                    <w:autoSpaceDN/>
                    <w:bidi w:val="0"/>
                    <w:adjustRightInd/>
                    <w:snapToGrid/>
                    <w:spacing w:line="240" w:lineRule="auto"/>
                    <w:jc w:val="center"/>
                    <w:textAlignment w:val="auto"/>
                    <w:rPr>
                      <w:rFonts w:hint="default"/>
                      <w:color w:val="FF0000"/>
                      <w:highlight w:val="none"/>
                      <w:lang w:val="en-US" w:eastAsia="zh-CN"/>
                    </w:rPr>
                  </w:pPr>
                  <w:r>
                    <w:rPr>
                      <w:rFonts w:hint="eastAsia"/>
                      <w:color w:val="auto"/>
                      <w:highlight w:val="none"/>
                      <w:lang w:val="en-US" w:eastAsia="zh-CN"/>
                    </w:rPr>
                    <w:t>本项目冬季不生产，值班人员供暖由电暖器供给；</w:t>
                  </w:r>
                </w:p>
              </w:tc>
              <w:tc>
                <w:tcPr>
                  <w:tcW w:w="349"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24" w:type="pct"/>
                  <w:gridSpan w:val="2"/>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c>
                <w:tcPr>
                  <w:tcW w:w="718"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jc w:val="center"/>
                    <w:textAlignment w:val="auto"/>
                    <w:rPr>
                      <w:rFonts w:hint="default"/>
                      <w:highlight w:val="none"/>
                      <w:lang w:val="en-US" w:eastAsia="zh-CN"/>
                    </w:rPr>
                  </w:pPr>
                  <w:r>
                    <w:rPr>
                      <w:rFonts w:hint="eastAsia"/>
                      <w:highlight w:val="none"/>
                      <w:lang w:val="en-US" w:eastAsia="zh-CN"/>
                    </w:rPr>
                    <w:t>供电</w:t>
                  </w:r>
                </w:p>
              </w:tc>
              <w:tc>
                <w:tcPr>
                  <w:tcW w:w="3408" w:type="pct"/>
                  <w:gridSpan w:val="2"/>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r>
                    <w:rPr>
                      <w:rFonts w:hint="eastAsia"/>
                      <w:color w:val="auto"/>
                      <w:highlight w:val="none"/>
                      <w:lang w:val="en-US" w:eastAsia="zh-CN"/>
                    </w:rPr>
                    <w:t>包括动力、照明、通讯等，按设计参数购置1台变压器自</w:t>
                  </w:r>
                </w:p>
                <w:p>
                  <w:pPr>
                    <w:pStyle w:val="30"/>
                    <w:keepNext w:val="0"/>
                    <w:keepLines w:val="0"/>
                    <w:pageBreakBefore w:val="0"/>
                    <w:kinsoku/>
                    <w:wordWrap/>
                    <w:overflowPunct/>
                    <w:topLinePunct w:val="0"/>
                    <w:autoSpaceDE/>
                    <w:autoSpaceDN/>
                    <w:bidi w:val="0"/>
                    <w:adjustRightInd/>
                    <w:snapToGrid/>
                    <w:spacing w:line="240" w:lineRule="auto"/>
                    <w:jc w:val="center"/>
                    <w:textAlignment w:val="auto"/>
                    <w:rPr>
                      <w:rFonts w:hint="eastAsia"/>
                      <w:highlight w:val="none"/>
                      <w:lang w:val="en-US" w:eastAsia="zh-CN"/>
                    </w:rPr>
                  </w:pPr>
                  <w:r>
                    <w:rPr>
                      <w:rFonts w:hint="eastAsia"/>
                      <w:color w:val="auto"/>
                      <w:highlight w:val="none"/>
                      <w:lang w:val="en-US" w:eastAsia="zh-CN"/>
                    </w:rPr>
                    <w:t>园区电网接引，各施工配</w:t>
                  </w:r>
                  <w:r>
                    <w:rPr>
                      <w:rFonts w:hint="eastAsia" w:ascii="Times New Roman" w:hAnsi="Times New Roman" w:eastAsia="宋体" w:cs="Times New Roman"/>
                      <w:color w:val="auto"/>
                      <w:highlight w:val="none"/>
                      <w:lang w:val="en-US" w:eastAsia="zh-CN"/>
                    </w:rPr>
                    <w:t>电点电源自变压器临时设置点处放射性接引，能够满足项目供电需求。</w:t>
                  </w:r>
                </w:p>
              </w:tc>
              <w:tc>
                <w:tcPr>
                  <w:tcW w:w="349"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trPr>
              <w:tc>
                <w:tcPr>
                  <w:tcW w:w="524" w:type="pct"/>
                  <w:gridSpan w:val="2"/>
                  <w:vMerge w:val="restar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r>
                    <w:rPr>
                      <w:rFonts w:hint="eastAsia"/>
                      <w:highlight w:val="none"/>
                      <w:lang w:val="en-US" w:eastAsia="zh-CN"/>
                    </w:rPr>
                    <w:t>环保工程</w:t>
                  </w:r>
                </w:p>
              </w:tc>
              <w:tc>
                <w:tcPr>
                  <w:tcW w:w="718" w:type="pct"/>
                  <w:vMerge w:val="restar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r>
                    <w:rPr>
                      <w:rFonts w:hint="eastAsia"/>
                      <w:highlight w:val="none"/>
                      <w:lang w:val="en-US" w:eastAsia="zh-CN"/>
                    </w:rPr>
                    <w:t>废气</w:t>
                  </w:r>
                </w:p>
              </w:tc>
              <w:tc>
                <w:tcPr>
                  <w:tcW w:w="563"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jc w:val="center"/>
                    <w:textAlignment w:val="auto"/>
                    <w:rPr>
                      <w:rFonts w:hint="eastAsia"/>
                      <w:highlight w:val="none"/>
                      <w:lang w:val="en-US" w:eastAsia="zh-CN"/>
                    </w:rPr>
                  </w:pPr>
                  <w:r>
                    <w:rPr>
                      <w:rFonts w:hint="eastAsia"/>
                      <w:highlight w:val="none"/>
                      <w:lang w:val="en-US" w:eastAsia="zh-CN"/>
                    </w:rPr>
                    <w:t>有组织</w:t>
                  </w:r>
                </w:p>
              </w:tc>
              <w:tc>
                <w:tcPr>
                  <w:tcW w:w="2844"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Times New Roman" w:hAnsi="Times New Roman" w:eastAsia="宋体" w:cs="Times New Roman"/>
                      <w:highlight w:val="none"/>
                      <w:lang w:val="en-US" w:eastAsia="zh-CN"/>
                    </w:rPr>
                    <w:t>搅拌楼配套安装1套袋式除尘器处理后经15米排气筒排放DA001；</w:t>
                  </w:r>
                </w:p>
              </w:tc>
              <w:tc>
                <w:tcPr>
                  <w:tcW w:w="349"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trPr>
              <w:tc>
                <w:tcPr>
                  <w:tcW w:w="524" w:type="pct"/>
                  <w:gridSpan w:val="2"/>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c>
                <w:tcPr>
                  <w:tcW w:w="718" w:type="pct"/>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c>
                <w:tcPr>
                  <w:tcW w:w="563" w:type="pct"/>
                  <w:vMerge w:val="restart"/>
                  <w:noWrap w:val="0"/>
                  <w:vAlign w:val="center"/>
                </w:tcPr>
                <w:p>
                  <w:pPr>
                    <w:pStyle w:val="30"/>
                    <w:keepNext w:val="0"/>
                    <w:keepLines w:val="0"/>
                    <w:pageBreakBefore w:val="0"/>
                    <w:kinsoku/>
                    <w:wordWrap/>
                    <w:overflowPunct/>
                    <w:topLinePunct w:val="0"/>
                    <w:autoSpaceDE/>
                    <w:autoSpaceDN/>
                    <w:bidi w:val="0"/>
                    <w:adjustRightInd/>
                    <w:snapToGrid/>
                    <w:spacing w:line="240" w:lineRule="auto"/>
                    <w:jc w:val="center"/>
                    <w:textAlignment w:val="auto"/>
                    <w:rPr>
                      <w:rFonts w:hint="default"/>
                      <w:highlight w:val="none"/>
                      <w:lang w:val="en-US" w:eastAsia="zh-CN"/>
                    </w:rPr>
                  </w:pPr>
                  <w:r>
                    <w:rPr>
                      <w:rFonts w:hint="eastAsia"/>
                      <w:highlight w:val="none"/>
                      <w:lang w:val="en-US" w:eastAsia="zh-CN"/>
                    </w:rPr>
                    <w:t>无组织</w:t>
                  </w:r>
                </w:p>
              </w:tc>
              <w:tc>
                <w:tcPr>
                  <w:tcW w:w="2844" w:type="pc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碎石、砂子在2个集料仓内封闭储存，仓顶分别设</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highlight w:val="none"/>
                      <w:lang w:val="en-US" w:eastAsia="zh-CN"/>
                    </w:rPr>
                  </w:pPr>
                  <w:r>
                    <w:rPr>
                      <w:rFonts w:hint="eastAsia" w:ascii="Times New Roman" w:hAnsi="Times New Roman" w:eastAsia="宋体" w:cs="Times New Roman"/>
                      <w:kern w:val="2"/>
                      <w:sz w:val="21"/>
                      <w:szCs w:val="21"/>
                      <w:highlight w:val="none"/>
                      <w:lang w:val="en-US" w:eastAsia="zh-CN" w:bidi="ar-SA"/>
                    </w:rPr>
                    <w:t>两台单机装式除尘器，净化产尘气体，净化后的气体无组织逸散。</w:t>
                  </w:r>
                </w:p>
              </w:tc>
              <w:tc>
                <w:tcPr>
                  <w:tcW w:w="349"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24" w:type="pct"/>
                  <w:gridSpan w:val="2"/>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r>
                    <w:rPr>
                      <w:rFonts w:hint="eastAsia"/>
                      <w:highlight w:val="none"/>
                      <w:lang w:val="en-US" w:eastAsia="zh-CN"/>
                    </w:rPr>
                    <w:t>、</w:t>
                  </w:r>
                </w:p>
              </w:tc>
              <w:tc>
                <w:tcPr>
                  <w:tcW w:w="718" w:type="pct"/>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c>
                <w:tcPr>
                  <w:tcW w:w="563" w:type="pct"/>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c>
                <w:tcPr>
                  <w:tcW w:w="2844"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水泥筒仓及粉煤灰仓粉尘均经过袋式除尘器处理后无组织逸散；</w:t>
                  </w:r>
                </w:p>
              </w:tc>
              <w:tc>
                <w:tcPr>
                  <w:tcW w:w="349"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24" w:type="pct"/>
                  <w:gridSpan w:val="2"/>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c>
                <w:tcPr>
                  <w:tcW w:w="718" w:type="pct"/>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c>
                <w:tcPr>
                  <w:tcW w:w="563" w:type="pct"/>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c>
                <w:tcPr>
                  <w:tcW w:w="2844"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21"/>
                      <w:szCs w:val="21"/>
                      <w:highlight w:val="none"/>
                      <w:lang w:val="en-US" w:eastAsia="zh-CN"/>
                    </w:rPr>
                  </w:pPr>
                  <w:r>
                    <w:rPr>
                      <w:rFonts w:hint="eastAsia" w:cs="Times New Roman"/>
                      <w:color w:val="auto"/>
                      <w:kern w:val="2"/>
                      <w:sz w:val="21"/>
                      <w:szCs w:val="21"/>
                      <w:highlight w:val="none"/>
                      <w:lang w:val="en-US" w:eastAsia="zh-CN" w:bidi="ar-SA"/>
                    </w:rPr>
                    <w:t>砂子、小石料场采用全封闭措施，大石堆料场采取半封闭+防风抑尘网并定期洒水降尘；</w:t>
                  </w:r>
                </w:p>
              </w:tc>
              <w:tc>
                <w:tcPr>
                  <w:tcW w:w="349"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24" w:type="pct"/>
                  <w:gridSpan w:val="2"/>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c>
                <w:tcPr>
                  <w:tcW w:w="718" w:type="pct"/>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c>
                <w:tcPr>
                  <w:tcW w:w="563" w:type="pct"/>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c>
                <w:tcPr>
                  <w:tcW w:w="2844"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搅拌楼逸散粉尘，封闭抑尘；</w:t>
                  </w:r>
                </w:p>
              </w:tc>
              <w:tc>
                <w:tcPr>
                  <w:tcW w:w="349"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24" w:type="pct"/>
                  <w:gridSpan w:val="2"/>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c>
                <w:tcPr>
                  <w:tcW w:w="718" w:type="pct"/>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c>
                <w:tcPr>
                  <w:tcW w:w="563" w:type="pct"/>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c>
                <w:tcPr>
                  <w:tcW w:w="2844"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sz w:val="21"/>
                      <w:szCs w:val="21"/>
                      <w:highlight w:val="none"/>
                      <w:lang w:val="en-US" w:eastAsia="zh-CN"/>
                    </w:rPr>
                  </w:pPr>
                  <w:r>
                    <w:rPr>
                      <w:rFonts w:hint="eastAsia"/>
                      <w:color w:val="auto"/>
                      <w:sz w:val="21"/>
                      <w:szCs w:val="21"/>
                      <w:highlight w:val="none"/>
                      <w:lang w:val="en-US" w:eastAsia="zh-CN"/>
                    </w:rPr>
                    <w:t>皮带输送全封闭；</w:t>
                  </w:r>
                </w:p>
              </w:tc>
              <w:tc>
                <w:tcPr>
                  <w:tcW w:w="349"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24" w:type="pct"/>
                  <w:gridSpan w:val="2"/>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c>
                <w:tcPr>
                  <w:tcW w:w="718" w:type="pct"/>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c>
                <w:tcPr>
                  <w:tcW w:w="563" w:type="pct"/>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c>
                <w:tcPr>
                  <w:tcW w:w="2844"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运输扬尘，洒水降尘；</w:t>
                  </w:r>
                </w:p>
              </w:tc>
              <w:tc>
                <w:tcPr>
                  <w:tcW w:w="349"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4" w:hRule="atLeast"/>
              </w:trPr>
              <w:tc>
                <w:tcPr>
                  <w:tcW w:w="524" w:type="pct"/>
                  <w:gridSpan w:val="2"/>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c>
                <w:tcPr>
                  <w:tcW w:w="718" w:type="pct"/>
                  <w:vMerge w:val="restar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r>
                    <w:rPr>
                      <w:rFonts w:hint="eastAsia"/>
                      <w:highlight w:val="none"/>
                      <w:lang w:val="en-US" w:eastAsia="zh-CN"/>
                    </w:rPr>
                    <w:t>废水</w:t>
                  </w:r>
                </w:p>
              </w:tc>
              <w:tc>
                <w:tcPr>
                  <w:tcW w:w="563"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highlight w:val="none"/>
                      <w:lang w:val="en-US" w:eastAsia="zh-CN"/>
                    </w:rPr>
                    <w:t>生活污水</w:t>
                  </w:r>
                </w:p>
              </w:tc>
              <w:tc>
                <w:tcPr>
                  <w:tcW w:w="2844"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经化粪池收集后</w:t>
                  </w:r>
                  <w:r>
                    <w:rPr>
                      <w:rFonts w:hint="eastAsia" w:cs="Times New Roman"/>
                      <w:color w:val="auto"/>
                      <w:kern w:val="2"/>
                      <w:sz w:val="21"/>
                      <w:szCs w:val="21"/>
                      <w:highlight w:val="none"/>
                      <w:lang w:val="en-US" w:eastAsia="zh-CN" w:bidi="ar-SA"/>
                    </w:rPr>
                    <w:t>定期清运</w:t>
                  </w:r>
                  <w:r>
                    <w:rPr>
                      <w:rFonts w:hint="eastAsia" w:asciiTheme="minorEastAsia" w:hAnsiTheme="minorEastAsia" w:eastAsiaTheme="minorEastAsia" w:cstheme="minorEastAsia"/>
                      <w:color w:val="auto"/>
                      <w:kern w:val="2"/>
                      <w:sz w:val="21"/>
                      <w:szCs w:val="21"/>
                      <w:highlight w:val="none"/>
                      <w:lang w:val="en-US" w:eastAsia="zh-CN" w:bidi="ar-SA"/>
                    </w:rPr>
                    <w:t>至伊拉湖镇污水</w:t>
                  </w:r>
                  <w:r>
                    <w:rPr>
                      <w:rFonts w:hint="eastAsia" w:asciiTheme="minorEastAsia" w:hAnsiTheme="minorEastAsia" w:eastAsiaTheme="minorEastAsia" w:cstheme="minorEastAsia"/>
                      <w:kern w:val="2"/>
                      <w:sz w:val="21"/>
                      <w:szCs w:val="21"/>
                      <w:highlight w:val="none"/>
                      <w:lang w:val="en-US" w:eastAsia="zh-CN" w:bidi="ar-SA"/>
                    </w:rPr>
                    <w:t>处理厂处理；</w:t>
                  </w:r>
                </w:p>
              </w:tc>
              <w:tc>
                <w:tcPr>
                  <w:tcW w:w="349"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6" w:hRule="atLeast"/>
              </w:trPr>
              <w:tc>
                <w:tcPr>
                  <w:tcW w:w="524" w:type="pct"/>
                  <w:gridSpan w:val="2"/>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c>
                <w:tcPr>
                  <w:tcW w:w="718" w:type="pct"/>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c>
                <w:tcPr>
                  <w:tcW w:w="563"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r>
                    <w:rPr>
                      <w:rFonts w:hint="eastAsia"/>
                      <w:highlight w:val="none"/>
                      <w:lang w:val="en-US" w:eastAsia="zh-CN"/>
                    </w:rPr>
                    <w:t>生产废水</w:t>
                  </w:r>
                </w:p>
              </w:tc>
              <w:tc>
                <w:tcPr>
                  <w:tcW w:w="2844"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r>
                    <w:rPr>
                      <w:rFonts w:hint="eastAsia"/>
                      <w:highlight w:val="none"/>
                      <w:lang w:val="en-US" w:eastAsia="zh-CN"/>
                    </w:rPr>
                    <w:t>生产废水主要为车辆、搅拌罐冲洗水、废水经沉淀池处理后回用；</w:t>
                  </w:r>
                </w:p>
              </w:tc>
              <w:tc>
                <w:tcPr>
                  <w:tcW w:w="349"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24" w:type="pct"/>
                  <w:gridSpan w:val="2"/>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c>
                <w:tcPr>
                  <w:tcW w:w="718"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r>
                    <w:rPr>
                      <w:rFonts w:hint="eastAsia"/>
                      <w:highlight w:val="none"/>
                      <w:lang w:val="en-US" w:eastAsia="zh-CN"/>
                    </w:rPr>
                    <w:t>噪声</w:t>
                  </w:r>
                </w:p>
              </w:tc>
              <w:tc>
                <w:tcPr>
                  <w:tcW w:w="3408" w:type="pct"/>
                  <w:gridSpan w:val="2"/>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r>
                    <w:rPr>
                      <w:rFonts w:hint="eastAsia"/>
                      <w:highlight w:val="none"/>
                      <w:lang w:val="en-US" w:eastAsia="zh-CN"/>
                    </w:rPr>
                    <w:t>设备产生的机械噪声，通过基础减震、隔声减震的措施降低噪声污染；</w:t>
                  </w:r>
                </w:p>
              </w:tc>
              <w:tc>
                <w:tcPr>
                  <w:tcW w:w="349"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3" w:hRule="atLeast"/>
              </w:trPr>
              <w:tc>
                <w:tcPr>
                  <w:tcW w:w="524" w:type="pct"/>
                  <w:gridSpan w:val="2"/>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c>
                <w:tcPr>
                  <w:tcW w:w="718" w:type="pct"/>
                  <w:vMerge w:val="restar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r>
                    <w:rPr>
                      <w:rFonts w:hint="eastAsia"/>
                      <w:highlight w:val="none"/>
                      <w:lang w:val="en-US" w:eastAsia="zh-CN"/>
                    </w:rPr>
                    <w:t>固废</w:t>
                  </w:r>
                </w:p>
              </w:tc>
              <w:tc>
                <w:tcPr>
                  <w:tcW w:w="563"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r>
                    <w:rPr>
                      <w:rFonts w:hint="eastAsia"/>
                      <w:highlight w:val="none"/>
                      <w:lang w:val="en-US" w:eastAsia="zh-CN"/>
                    </w:rPr>
                    <w:t>生活垃圾</w:t>
                  </w:r>
                </w:p>
              </w:tc>
              <w:tc>
                <w:tcPr>
                  <w:tcW w:w="2844"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r>
                    <w:rPr>
                      <w:rFonts w:hint="default"/>
                      <w:highlight w:val="none"/>
                    </w:rPr>
                    <w:t>生</w:t>
                  </w:r>
                  <w:r>
                    <w:rPr>
                      <w:rFonts w:hint="default"/>
                      <w:highlight w:val="none"/>
                      <w:lang w:val="en-US" w:eastAsia="zh-CN"/>
                    </w:rPr>
                    <w:t>活垃圾集中收集、定期</w:t>
                  </w:r>
                  <w:r>
                    <w:rPr>
                      <w:rFonts w:hint="eastAsia"/>
                      <w:highlight w:val="none"/>
                      <w:lang w:val="en-US" w:eastAsia="zh-CN"/>
                    </w:rPr>
                    <w:t>清运；</w:t>
                  </w:r>
                </w:p>
              </w:tc>
              <w:tc>
                <w:tcPr>
                  <w:tcW w:w="349" w:type="pct"/>
                  <w:vMerge w:val="restar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1" w:hRule="atLeast"/>
              </w:trPr>
              <w:tc>
                <w:tcPr>
                  <w:tcW w:w="524" w:type="pct"/>
                  <w:gridSpan w:val="2"/>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highlight w:val="none"/>
                    </w:rPr>
                  </w:pPr>
                </w:p>
              </w:tc>
              <w:tc>
                <w:tcPr>
                  <w:tcW w:w="718" w:type="pct"/>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highlight w:val="none"/>
                    </w:rPr>
                  </w:pPr>
                </w:p>
              </w:tc>
              <w:tc>
                <w:tcPr>
                  <w:tcW w:w="563"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eastAsia="宋体"/>
                      <w:color w:val="auto"/>
                      <w:highlight w:val="none"/>
                      <w:lang w:eastAsia="zh-CN"/>
                    </w:rPr>
                  </w:pPr>
                  <w:r>
                    <w:rPr>
                      <w:rFonts w:hint="eastAsia"/>
                      <w:color w:val="auto"/>
                      <w:highlight w:val="none"/>
                      <w:lang w:eastAsia="zh-CN"/>
                    </w:rPr>
                    <w:t>生产固废</w:t>
                  </w:r>
                </w:p>
              </w:tc>
              <w:tc>
                <w:tcPr>
                  <w:tcW w:w="2844"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jc w:val="center"/>
                    <w:textAlignment w:val="auto"/>
                    <w:rPr>
                      <w:rFonts w:hint="default"/>
                      <w:color w:val="auto"/>
                      <w:highlight w:val="none"/>
                      <w:lang w:val="en-US"/>
                    </w:rPr>
                  </w:pPr>
                  <w:r>
                    <w:rPr>
                      <w:rFonts w:hint="eastAsia"/>
                      <w:color w:val="auto"/>
                      <w:highlight w:val="none"/>
                      <w:lang w:val="en-US" w:eastAsia="zh-CN"/>
                    </w:rPr>
                    <w:t>粉尘、沉淀池产生沉渣回用于生产线，设备养护产生的废机油废润滑油、废含油劳保用品等属于危废，暂存于厂内危废暂存间，定期交由有资质的单位处置；</w:t>
                  </w:r>
                </w:p>
              </w:tc>
              <w:tc>
                <w:tcPr>
                  <w:tcW w:w="349" w:type="pct"/>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trPr>
              <w:tc>
                <w:tcPr>
                  <w:tcW w:w="524" w:type="pct"/>
                  <w:gridSpan w:val="2"/>
                  <w:vMerge w:val="continue"/>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eastAsia"/>
                      <w:highlight w:val="none"/>
                      <w:lang w:val="en-US" w:eastAsia="zh-CN"/>
                    </w:rPr>
                  </w:pPr>
                </w:p>
              </w:tc>
              <w:tc>
                <w:tcPr>
                  <w:tcW w:w="718"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jc w:val="center"/>
                    <w:textAlignment w:val="auto"/>
                    <w:rPr>
                      <w:rFonts w:hint="eastAsia"/>
                      <w:highlight w:val="none"/>
                      <w:lang w:val="en-US" w:eastAsia="zh-CN"/>
                    </w:rPr>
                  </w:pPr>
                  <w:r>
                    <w:rPr>
                      <w:rFonts w:hint="eastAsia"/>
                      <w:highlight w:val="none"/>
                      <w:lang w:val="en-US" w:eastAsia="zh-CN"/>
                    </w:rPr>
                    <w:t>防渗</w:t>
                  </w:r>
                </w:p>
              </w:tc>
              <w:tc>
                <w:tcPr>
                  <w:tcW w:w="3408" w:type="pct"/>
                  <w:gridSpan w:val="2"/>
                  <w:noWrap w:val="0"/>
                  <w:vAlign w:val="center"/>
                </w:tcPr>
                <w:p>
                  <w:pPr>
                    <w:pStyle w:val="30"/>
                    <w:keepNext w:val="0"/>
                    <w:keepLines w:val="0"/>
                    <w:pageBreakBefore w:val="0"/>
                    <w:kinsoku/>
                    <w:wordWrap/>
                    <w:overflowPunct/>
                    <w:topLinePunct w:val="0"/>
                    <w:autoSpaceDE/>
                    <w:autoSpaceDN/>
                    <w:bidi w:val="0"/>
                    <w:adjustRightInd/>
                    <w:snapToGrid/>
                    <w:spacing w:line="240" w:lineRule="auto"/>
                    <w:jc w:val="center"/>
                    <w:textAlignment w:val="auto"/>
                    <w:rPr>
                      <w:rFonts w:hint="default"/>
                      <w:highlight w:val="none"/>
                      <w:lang w:val="en-US" w:eastAsia="zh-CN"/>
                    </w:rPr>
                  </w:pPr>
                  <w:r>
                    <w:rPr>
                      <w:rFonts w:hint="eastAsia"/>
                      <w:highlight w:val="none"/>
                      <w:lang w:val="en-US" w:eastAsia="zh-CN"/>
                    </w:rPr>
                    <w:t>化粪池、危废暂存间重点防渗，沉淀池一般防渗、其余地方简单防渗；</w:t>
                  </w:r>
                </w:p>
              </w:tc>
              <w:tc>
                <w:tcPr>
                  <w:tcW w:w="349" w:type="pct"/>
                  <w:noWrap w:val="0"/>
                  <w:vAlign w:val="center"/>
                </w:tcPr>
                <w:p>
                  <w:pPr>
                    <w:pStyle w:val="30"/>
                    <w:keepNext w:val="0"/>
                    <w:keepLines w:val="0"/>
                    <w:pageBreakBefore w:val="0"/>
                    <w:kinsoku/>
                    <w:wordWrap/>
                    <w:overflowPunct/>
                    <w:topLinePunct w:val="0"/>
                    <w:autoSpaceDE/>
                    <w:autoSpaceDN/>
                    <w:bidi w:val="0"/>
                    <w:adjustRightInd/>
                    <w:snapToGrid/>
                    <w:spacing w:line="240" w:lineRule="auto"/>
                    <w:textAlignment w:val="auto"/>
                    <w:rPr>
                      <w:rFonts w:hint="default"/>
                      <w:highlight w:val="none"/>
                      <w:lang w:val="en-US" w:eastAsia="zh-CN"/>
                    </w:rPr>
                  </w:pPr>
                  <w:r>
                    <w:rPr>
                      <w:rFonts w:hint="eastAsia"/>
                      <w:highlight w:val="none"/>
                      <w:lang w:val="en-US" w:eastAsia="zh-CN"/>
                    </w:rPr>
                    <w:t>/</w:t>
                  </w:r>
                </w:p>
              </w:tc>
            </w:tr>
          </w:tbl>
          <w:p>
            <w:pPr>
              <w:bidi w:val="0"/>
              <w:ind w:left="0" w:leftChars="0" w:firstLine="0" w:firstLineChars="0"/>
              <w:rPr>
                <w:rFonts w:hint="eastAsia"/>
                <w:b/>
                <w:bCs/>
                <w:highlight w:val="none"/>
                <w:lang w:val="en-US" w:eastAsia="zh-CN"/>
              </w:rPr>
            </w:pPr>
            <w:r>
              <w:rPr>
                <w:rFonts w:hint="eastAsia"/>
                <w:b/>
                <w:bCs/>
                <w:highlight w:val="none"/>
                <w:lang w:val="en-US" w:eastAsia="zh-CN"/>
              </w:rPr>
              <w:t>3.2 主要生产设备</w:t>
            </w:r>
          </w:p>
          <w:p>
            <w:pPr>
              <w:bidi w:val="0"/>
              <w:rPr>
                <w:rFonts w:hint="eastAsia"/>
                <w:highlight w:val="none"/>
                <w:lang w:val="en-US" w:eastAsia="zh-CN"/>
              </w:rPr>
            </w:pPr>
            <w:r>
              <w:rPr>
                <w:rFonts w:hint="eastAsia"/>
                <w:highlight w:val="none"/>
                <w:lang w:val="en-US" w:eastAsia="zh-CN"/>
              </w:rPr>
              <w:t>根据项目实际使用情况，主要生产设备如下表2-2。</w:t>
            </w:r>
          </w:p>
          <w:p>
            <w:pPr>
              <w:pStyle w:val="30"/>
              <w:bidi w:val="0"/>
              <w:rPr>
                <w:rFonts w:hint="default"/>
                <w:b/>
                <w:bCs/>
                <w:highlight w:val="none"/>
                <w:lang w:val="en-US" w:eastAsia="zh-CN"/>
              </w:rPr>
            </w:pPr>
            <w:r>
              <w:rPr>
                <w:rFonts w:hint="eastAsia"/>
                <w:b/>
                <w:bCs/>
                <w:highlight w:val="none"/>
                <w:lang w:val="en-US" w:eastAsia="zh-CN"/>
              </w:rPr>
              <w:t>表2-2   生产设备一览表</w:t>
            </w:r>
          </w:p>
          <w:tbl>
            <w:tblPr>
              <w:tblStyle w:val="24"/>
              <w:tblW w:w="52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65"/>
              <w:gridCol w:w="1829"/>
              <w:gridCol w:w="150"/>
              <w:gridCol w:w="1626"/>
              <w:gridCol w:w="228"/>
              <w:gridCol w:w="1211"/>
              <w:gridCol w:w="292"/>
              <w:gridCol w:w="1143"/>
              <w:gridCol w:w="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1" w:type="pct"/>
                <w:trHeight w:val="415" w:hRule="atLeast"/>
              </w:trPr>
              <w:tc>
                <w:tcPr>
                  <w:tcW w:w="855" w:type="pct"/>
                  <w:vAlign w:val="center"/>
                </w:tcPr>
                <w:p>
                  <w:pPr>
                    <w:numPr>
                      <w:ilvl w:val="0"/>
                      <w:numId w:val="0"/>
                    </w:numPr>
                    <w:jc w:val="center"/>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序号</w:t>
                  </w:r>
                </w:p>
              </w:tc>
              <w:tc>
                <w:tcPr>
                  <w:tcW w:w="1138" w:type="pct"/>
                  <w:gridSpan w:val="2"/>
                  <w:vAlign w:val="center"/>
                </w:tcPr>
                <w:p>
                  <w:pPr>
                    <w:numPr>
                      <w:ilvl w:val="0"/>
                      <w:numId w:val="0"/>
                    </w:numPr>
                    <w:jc w:val="center"/>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名称</w:t>
                  </w:r>
                </w:p>
              </w:tc>
              <w:tc>
                <w:tcPr>
                  <w:tcW w:w="1067" w:type="pct"/>
                  <w:gridSpan w:val="2"/>
                  <w:vAlign w:val="center"/>
                </w:tcPr>
                <w:p>
                  <w:pPr>
                    <w:numPr>
                      <w:ilvl w:val="0"/>
                      <w:numId w:val="0"/>
                    </w:numPr>
                    <w:jc w:val="center"/>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规格、参数</w:t>
                  </w:r>
                </w:p>
              </w:tc>
              <w:tc>
                <w:tcPr>
                  <w:tcW w:w="865" w:type="pct"/>
                  <w:gridSpan w:val="2"/>
                  <w:vAlign w:val="center"/>
                </w:tcPr>
                <w:p>
                  <w:pPr>
                    <w:numPr>
                      <w:ilvl w:val="0"/>
                      <w:numId w:val="0"/>
                    </w:numPr>
                    <w:jc w:val="center"/>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单位</w:t>
                  </w:r>
                </w:p>
              </w:tc>
              <w:tc>
                <w:tcPr>
                  <w:tcW w:w="862" w:type="pct"/>
                  <w:gridSpan w:val="2"/>
                  <w:vAlign w:val="center"/>
                </w:tcPr>
                <w:p>
                  <w:pPr>
                    <w:numPr>
                      <w:ilvl w:val="0"/>
                      <w:numId w:val="0"/>
                    </w:numPr>
                    <w:jc w:val="center"/>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000" w:type="pct"/>
                  <w:gridSpan w:val="10"/>
                  <w:vAlign w:val="center"/>
                </w:tcPr>
                <w:p>
                  <w:pPr>
                    <w:numPr>
                      <w:ilvl w:val="0"/>
                      <w:numId w:val="0"/>
                    </w:numPr>
                    <w:jc w:val="center"/>
                    <w:rPr>
                      <w:rFonts w:hint="default"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混凝土搅拌站主要生产设备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94" w:type="pct"/>
                  <w:gridSpan w:val="2"/>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1189"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搅拌设备</w:t>
                  </w:r>
                </w:p>
              </w:tc>
              <w:tc>
                <w:tcPr>
                  <w:tcW w:w="1114" w:type="pct"/>
                  <w:gridSpan w:val="2"/>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sz w:val="21"/>
                      <w:szCs w:val="21"/>
                      <w:vertAlign w:val="baseline"/>
                      <w:lang w:val="en-US" w:eastAsia="zh-CN"/>
                    </w:rPr>
                  </w:pPr>
                  <w:r>
                    <w:rPr>
                      <w:rFonts w:hint="eastAsia"/>
                      <w:lang w:val="en-US" w:eastAsia="zh-CN"/>
                    </w:rPr>
                    <w:t>HZS180</w:t>
                  </w:r>
                </w:p>
              </w:tc>
              <w:tc>
                <w:tcPr>
                  <w:tcW w:w="903"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套</w:t>
                  </w:r>
                </w:p>
              </w:tc>
              <w:tc>
                <w:tcPr>
                  <w:tcW w:w="897"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94" w:type="pct"/>
                  <w:gridSpan w:val="2"/>
                  <w:vAlign w:val="center"/>
                </w:tcPr>
                <w:p>
                  <w:pPr>
                    <w:numPr>
                      <w:ilvl w:val="0"/>
                      <w:numId w:val="0"/>
                    </w:numPr>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w:t>
                  </w:r>
                </w:p>
              </w:tc>
              <w:tc>
                <w:tcPr>
                  <w:tcW w:w="1189"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混凝土泵车</w:t>
                  </w:r>
                </w:p>
              </w:tc>
              <w:tc>
                <w:tcPr>
                  <w:tcW w:w="1114" w:type="pct"/>
                  <w:gridSpan w:val="2"/>
                  <w:vAlign w:val="center"/>
                </w:tcPr>
                <w:p>
                  <w:pPr>
                    <w:numPr>
                      <w:ilvl w:val="0"/>
                      <w:numId w:val="0"/>
                    </w:num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w:t>
                  </w:r>
                </w:p>
              </w:tc>
              <w:tc>
                <w:tcPr>
                  <w:tcW w:w="903"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台</w:t>
                  </w:r>
                </w:p>
              </w:tc>
              <w:tc>
                <w:tcPr>
                  <w:tcW w:w="897" w:type="pct"/>
                  <w:gridSpan w:val="2"/>
                  <w:vAlign w:val="center"/>
                </w:tcPr>
                <w:p>
                  <w:pPr>
                    <w:topLinePunct/>
                    <w:ind w:left="0" w:leftChars="0" w:firstLine="0" w:firstLineChars="0"/>
                    <w:jc w:val="center"/>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94" w:type="pct"/>
                  <w:gridSpan w:val="2"/>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3</w:t>
                  </w:r>
                </w:p>
              </w:tc>
              <w:tc>
                <w:tcPr>
                  <w:tcW w:w="1189"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混凝土罐车</w:t>
                  </w:r>
                </w:p>
              </w:tc>
              <w:tc>
                <w:tcPr>
                  <w:tcW w:w="1114" w:type="pct"/>
                  <w:gridSpan w:val="2"/>
                  <w:vAlign w:val="center"/>
                </w:tcPr>
                <w:p>
                  <w:pPr>
                    <w:numPr>
                      <w:ilvl w:val="0"/>
                      <w:numId w:val="0"/>
                    </w:numPr>
                    <w:ind w:left="0" w:leftChars="0" w:firstLine="0" w:firstLineChars="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w:t>
                  </w:r>
                </w:p>
              </w:tc>
              <w:tc>
                <w:tcPr>
                  <w:tcW w:w="903"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台</w:t>
                  </w:r>
                </w:p>
              </w:tc>
              <w:tc>
                <w:tcPr>
                  <w:tcW w:w="897" w:type="pct"/>
                  <w:gridSpan w:val="2"/>
                  <w:vAlign w:val="center"/>
                </w:tcPr>
                <w:p>
                  <w:pPr>
                    <w:topLinePunct/>
                    <w:ind w:left="0" w:leftChars="0" w:firstLine="0" w:firstLineChars="0"/>
                    <w:jc w:val="center"/>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94" w:type="pct"/>
                  <w:gridSpan w:val="2"/>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4</w:t>
                  </w:r>
                </w:p>
              </w:tc>
              <w:tc>
                <w:tcPr>
                  <w:tcW w:w="1189"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装载机</w:t>
                  </w:r>
                </w:p>
              </w:tc>
              <w:tc>
                <w:tcPr>
                  <w:tcW w:w="1114" w:type="pct"/>
                  <w:gridSpan w:val="2"/>
                  <w:vAlign w:val="center"/>
                </w:tcPr>
                <w:p>
                  <w:pPr>
                    <w:numPr>
                      <w:ilvl w:val="0"/>
                      <w:numId w:val="0"/>
                    </w:numPr>
                    <w:ind w:left="0" w:leftChars="0" w:firstLine="0" w:firstLineChars="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w:t>
                  </w:r>
                </w:p>
              </w:tc>
              <w:tc>
                <w:tcPr>
                  <w:tcW w:w="903"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台</w:t>
                  </w:r>
                </w:p>
              </w:tc>
              <w:tc>
                <w:tcPr>
                  <w:tcW w:w="897"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94" w:type="pct"/>
                  <w:gridSpan w:val="2"/>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5</w:t>
                  </w:r>
                </w:p>
              </w:tc>
              <w:tc>
                <w:tcPr>
                  <w:tcW w:w="1189"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实验设备</w:t>
                  </w:r>
                </w:p>
              </w:tc>
              <w:tc>
                <w:tcPr>
                  <w:tcW w:w="1114" w:type="pct"/>
                  <w:gridSpan w:val="2"/>
                  <w:vAlign w:val="center"/>
                </w:tcPr>
                <w:p>
                  <w:pPr>
                    <w:numPr>
                      <w:ilvl w:val="0"/>
                      <w:numId w:val="0"/>
                    </w:numPr>
                    <w:ind w:left="0" w:leftChars="0" w:firstLine="0" w:firstLineChars="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w:t>
                  </w:r>
                </w:p>
              </w:tc>
              <w:tc>
                <w:tcPr>
                  <w:tcW w:w="903"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套</w:t>
                  </w:r>
                </w:p>
              </w:tc>
              <w:tc>
                <w:tcPr>
                  <w:tcW w:w="897"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94" w:type="pct"/>
                  <w:gridSpan w:val="2"/>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6</w:t>
                  </w:r>
                </w:p>
              </w:tc>
              <w:tc>
                <w:tcPr>
                  <w:tcW w:w="1189"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水泥罐车</w:t>
                  </w:r>
                </w:p>
              </w:tc>
              <w:tc>
                <w:tcPr>
                  <w:tcW w:w="1114" w:type="pct"/>
                  <w:gridSpan w:val="2"/>
                  <w:vAlign w:val="center"/>
                </w:tcPr>
                <w:p>
                  <w:pPr>
                    <w:numPr>
                      <w:ilvl w:val="0"/>
                      <w:numId w:val="0"/>
                    </w:numPr>
                    <w:ind w:left="0" w:leftChars="0" w:firstLine="0" w:firstLineChars="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w:t>
                  </w:r>
                </w:p>
              </w:tc>
              <w:tc>
                <w:tcPr>
                  <w:tcW w:w="903"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台</w:t>
                  </w:r>
                </w:p>
              </w:tc>
              <w:tc>
                <w:tcPr>
                  <w:tcW w:w="897"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4" w:type="pct"/>
                  <w:gridSpan w:val="2"/>
                  <w:vAlign w:val="center"/>
                </w:tcPr>
                <w:p>
                  <w:pPr>
                    <w:numPr>
                      <w:ilvl w:val="0"/>
                      <w:numId w:val="0"/>
                    </w:numPr>
                    <w:ind w:left="0" w:leftChars="0" w:firstLine="0" w:firstLineChars="0"/>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7</w:t>
                  </w:r>
                </w:p>
              </w:tc>
              <w:tc>
                <w:tcPr>
                  <w:tcW w:w="1189"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砂石料运输车</w:t>
                  </w:r>
                </w:p>
              </w:tc>
              <w:tc>
                <w:tcPr>
                  <w:tcW w:w="1114" w:type="pct"/>
                  <w:gridSpan w:val="2"/>
                  <w:vAlign w:val="center"/>
                </w:tcPr>
                <w:p>
                  <w:pPr>
                    <w:numPr>
                      <w:ilvl w:val="0"/>
                      <w:numId w:val="0"/>
                    </w:numPr>
                    <w:ind w:left="0" w:leftChars="0" w:firstLine="0" w:firstLineChars="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w:t>
                  </w:r>
                </w:p>
              </w:tc>
              <w:tc>
                <w:tcPr>
                  <w:tcW w:w="903"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台</w:t>
                  </w:r>
                </w:p>
              </w:tc>
              <w:tc>
                <w:tcPr>
                  <w:tcW w:w="897" w:type="pct"/>
                  <w:gridSpan w:val="2"/>
                  <w:vAlign w:val="center"/>
                </w:tcPr>
                <w:p>
                  <w:pPr>
                    <w:topLinePunct/>
                    <w:ind w:left="0" w:leftChars="0" w:firstLine="0" w:firstLineChars="0"/>
                    <w:jc w:val="center"/>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4" w:type="pct"/>
                  <w:gridSpan w:val="2"/>
                  <w:vAlign w:val="center"/>
                </w:tcPr>
                <w:p>
                  <w:pPr>
                    <w:numPr>
                      <w:ilvl w:val="0"/>
                      <w:numId w:val="0"/>
                    </w:numPr>
                    <w:ind w:left="0" w:leftChars="0" w:firstLine="0" w:firstLineChars="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8</w:t>
                  </w:r>
                </w:p>
              </w:tc>
              <w:tc>
                <w:tcPr>
                  <w:tcW w:w="1189"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集料仓</w:t>
                  </w:r>
                </w:p>
              </w:tc>
              <w:tc>
                <w:tcPr>
                  <w:tcW w:w="1114" w:type="pct"/>
                  <w:gridSpan w:val="2"/>
                  <w:vAlign w:val="center"/>
                </w:tcPr>
                <w:p>
                  <w:pPr>
                    <w:numPr>
                      <w:ilvl w:val="0"/>
                      <w:numId w:val="0"/>
                    </w:numPr>
                    <w:ind w:left="0" w:leftChars="0" w:firstLine="0" w:firstLineChars="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10t</w:t>
                  </w:r>
                </w:p>
              </w:tc>
              <w:tc>
                <w:tcPr>
                  <w:tcW w:w="903"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台</w:t>
                  </w:r>
                </w:p>
              </w:tc>
              <w:tc>
                <w:tcPr>
                  <w:tcW w:w="897" w:type="pct"/>
                  <w:gridSpan w:val="2"/>
                  <w:vAlign w:val="center"/>
                </w:tcPr>
                <w:p>
                  <w:pPr>
                    <w:topLinePunct/>
                    <w:ind w:left="0" w:leftChars="0" w:firstLine="0" w:firstLineChars="0"/>
                    <w:jc w:val="center"/>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4" w:type="pct"/>
                  <w:gridSpan w:val="2"/>
                  <w:vAlign w:val="center"/>
                </w:tcPr>
                <w:p>
                  <w:pPr>
                    <w:numPr>
                      <w:ilvl w:val="0"/>
                      <w:numId w:val="0"/>
                    </w:numPr>
                    <w:ind w:left="0" w:leftChars="0" w:firstLine="0" w:firstLineChars="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9</w:t>
                  </w:r>
                </w:p>
              </w:tc>
              <w:tc>
                <w:tcPr>
                  <w:tcW w:w="1189"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水泥筒仓</w:t>
                  </w:r>
                </w:p>
              </w:tc>
              <w:tc>
                <w:tcPr>
                  <w:tcW w:w="1114" w:type="pct"/>
                  <w:gridSpan w:val="2"/>
                  <w:vAlign w:val="center"/>
                </w:tcPr>
                <w:p>
                  <w:pPr>
                    <w:numPr>
                      <w:ilvl w:val="0"/>
                      <w:numId w:val="0"/>
                    </w:numPr>
                    <w:ind w:left="0" w:leftChars="0" w:firstLine="0" w:firstLineChars="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200t</w:t>
                  </w:r>
                </w:p>
              </w:tc>
              <w:tc>
                <w:tcPr>
                  <w:tcW w:w="903" w:type="pct"/>
                  <w:gridSpan w:val="2"/>
                  <w:vAlign w:val="center"/>
                </w:tcPr>
                <w:p>
                  <w:pPr>
                    <w:topLinePunct/>
                    <w:ind w:left="0" w:leftChars="0" w:firstLine="0" w:firstLine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台</w:t>
                  </w:r>
                </w:p>
              </w:tc>
              <w:tc>
                <w:tcPr>
                  <w:tcW w:w="897" w:type="pct"/>
                  <w:gridSpan w:val="2"/>
                  <w:vAlign w:val="center"/>
                </w:tcPr>
                <w:p>
                  <w:pPr>
                    <w:topLinePunct/>
                    <w:ind w:left="0" w:leftChars="0" w:firstLine="0" w:firstLineChars="0"/>
                    <w:jc w:val="center"/>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4" w:type="pct"/>
                  <w:gridSpan w:val="2"/>
                  <w:vAlign w:val="center"/>
                </w:tcPr>
                <w:p>
                  <w:pPr>
                    <w:numPr>
                      <w:ilvl w:val="0"/>
                      <w:numId w:val="0"/>
                    </w:numPr>
                    <w:ind w:left="0" w:leftChars="0" w:firstLine="0" w:firstLineChars="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10</w:t>
                  </w:r>
                </w:p>
              </w:tc>
              <w:tc>
                <w:tcPr>
                  <w:tcW w:w="1189"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粉煤灰仓</w:t>
                  </w:r>
                </w:p>
              </w:tc>
              <w:tc>
                <w:tcPr>
                  <w:tcW w:w="1114" w:type="pct"/>
                  <w:gridSpan w:val="2"/>
                  <w:vAlign w:val="center"/>
                </w:tcPr>
                <w:p>
                  <w:pPr>
                    <w:numPr>
                      <w:ilvl w:val="0"/>
                      <w:numId w:val="0"/>
                    </w:numPr>
                    <w:ind w:left="0" w:leftChars="0" w:firstLine="0" w:firstLineChars="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200t</w:t>
                  </w:r>
                </w:p>
              </w:tc>
              <w:tc>
                <w:tcPr>
                  <w:tcW w:w="903"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台</w:t>
                  </w:r>
                </w:p>
              </w:tc>
              <w:tc>
                <w:tcPr>
                  <w:tcW w:w="897" w:type="pct"/>
                  <w:gridSpan w:val="2"/>
                  <w:vAlign w:val="center"/>
                </w:tcPr>
                <w:p>
                  <w:pPr>
                    <w:topLinePunct/>
                    <w:ind w:left="0" w:leftChars="0" w:firstLine="0" w:firstLineChars="0"/>
                    <w:jc w:val="center"/>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4" w:type="pct"/>
                  <w:gridSpan w:val="2"/>
                  <w:vAlign w:val="center"/>
                </w:tcPr>
                <w:p>
                  <w:pPr>
                    <w:numPr>
                      <w:ilvl w:val="0"/>
                      <w:numId w:val="0"/>
                    </w:numPr>
                    <w:ind w:left="0" w:leftChars="0" w:firstLine="0" w:firstLineChars="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11</w:t>
                  </w:r>
                </w:p>
              </w:tc>
              <w:tc>
                <w:tcPr>
                  <w:tcW w:w="1189"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除尘器</w:t>
                  </w:r>
                </w:p>
              </w:tc>
              <w:tc>
                <w:tcPr>
                  <w:tcW w:w="1114" w:type="pct"/>
                  <w:gridSpan w:val="2"/>
                  <w:vAlign w:val="center"/>
                </w:tcPr>
                <w:p>
                  <w:pPr>
                    <w:numPr>
                      <w:ilvl w:val="0"/>
                      <w:numId w:val="0"/>
                    </w:numPr>
                    <w:ind w:left="0" w:leftChars="0" w:firstLine="0" w:firstLineChars="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w:t>
                  </w:r>
                </w:p>
              </w:tc>
              <w:tc>
                <w:tcPr>
                  <w:tcW w:w="903"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台</w:t>
                  </w:r>
                </w:p>
              </w:tc>
              <w:tc>
                <w:tcPr>
                  <w:tcW w:w="897" w:type="pct"/>
                  <w:gridSpan w:val="2"/>
                  <w:vAlign w:val="center"/>
                </w:tcPr>
                <w:p>
                  <w:pPr>
                    <w:topLinePunct/>
                    <w:ind w:left="0" w:leftChars="0" w:firstLine="0" w:firstLineChars="0"/>
                    <w:jc w:val="center"/>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00" w:type="pct"/>
                  <w:gridSpan w:val="10"/>
                  <w:vAlign w:val="center"/>
                </w:tcPr>
                <w:p>
                  <w:pPr>
                    <w:topLinePunct/>
                    <w:ind w:left="0" w:leftChars="0" w:firstLine="0" w:firstLineChars="0"/>
                    <w:jc w:val="center"/>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b/>
                      <w:bCs/>
                      <w:color w:val="auto"/>
                      <w:sz w:val="21"/>
                      <w:szCs w:val="21"/>
                      <w:vertAlign w:val="baseline"/>
                      <w:lang w:val="en-US" w:eastAsia="zh-CN"/>
                    </w:rPr>
                    <w:t>水稳站主要生产设备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4" w:type="pct"/>
                  <w:gridSpan w:val="2"/>
                  <w:vAlign w:val="center"/>
                </w:tcPr>
                <w:p>
                  <w:pPr>
                    <w:numPr>
                      <w:ilvl w:val="0"/>
                      <w:numId w:val="0"/>
                    </w:numPr>
                    <w:ind w:left="0" w:leftChars="0" w:firstLine="0" w:firstLineChars="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1189"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搅拌机</w:t>
                  </w:r>
                </w:p>
              </w:tc>
              <w:tc>
                <w:tcPr>
                  <w:tcW w:w="1114" w:type="pct"/>
                  <w:gridSpan w:val="2"/>
                  <w:vAlign w:val="center"/>
                </w:tcPr>
                <w:p>
                  <w:pPr>
                    <w:numPr>
                      <w:ilvl w:val="0"/>
                      <w:numId w:val="0"/>
                    </w:numPr>
                    <w:ind w:left="0" w:leftChars="0" w:firstLine="0" w:firstLineChars="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w:t>
                  </w:r>
                </w:p>
              </w:tc>
              <w:tc>
                <w:tcPr>
                  <w:tcW w:w="903"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台</w:t>
                  </w:r>
                </w:p>
              </w:tc>
              <w:tc>
                <w:tcPr>
                  <w:tcW w:w="897" w:type="pct"/>
                  <w:gridSpan w:val="2"/>
                  <w:vAlign w:val="center"/>
                </w:tcPr>
                <w:p>
                  <w:pPr>
                    <w:topLinePunct/>
                    <w:ind w:left="0" w:leftChars="0" w:firstLine="0" w:firstLineChars="0"/>
                    <w:jc w:val="center"/>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4" w:type="pct"/>
                  <w:gridSpan w:val="2"/>
                  <w:vAlign w:val="center"/>
                </w:tcPr>
                <w:p>
                  <w:pPr>
                    <w:numPr>
                      <w:ilvl w:val="0"/>
                      <w:numId w:val="0"/>
                    </w:numPr>
                    <w:ind w:left="0" w:leftChars="0" w:firstLine="0" w:firstLineChars="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w:t>
                  </w:r>
                </w:p>
              </w:tc>
              <w:tc>
                <w:tcPr>
                  <w:tcW w:w="1189"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皮带</w:t>
                  </w:r>
                </w:p>
              </w:tc>
              <w:tc>
                <w:tcPr>
                  <w:tcW w:w="1114" w:type="pct"/>
                  <w:gridSpan w:val="2"/>
                  <w:vAlign w:val="center"/>
                </w:tcPr>
                <w:p>
                  <w:pPr>
                    <w:numPr>
                      <w:ilvl w:val="0"/>
                      <w:numId w:val="0"/>
                    </w:numPr>
                    <w:ind w:left="0" w:leftChars="0" w:firstLine="0" w:firstLineChars="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w:t>
                  </w:r>
                </w:p>
              </w:tc>
              <w:tc>
                <w:tcPr>
                  <w:tcW w:w="903"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条</w:t>
                  </w:r>
                </w:p>
              </w:tc>
              <w:tc>
                <w:tcPr>
                  <w:tcW w:w="897" w:type="pct"/>
                  <w:gridSpan w:val="2"/>
                  <w:vAlign w:val="center"/>
                </w:tcPr>
                <w:p>
                  <w:pPr>
                    <w:topLinePunct/>
                    <w:ind w:left="0" w:leftChars="0" w:firstLine="0" w:firstLineChars="0"/>
                    <w:jc w:val="center"/>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4" w:type="pct"/>
                  <w:gridSpan w:val="2"/>
                  <w:vAlign w:val="center"/>
                </w:tcPr>
                <w:p>
                  <w:pPr>
                    <w:numPr>
                      <w:ilvl w:val="0"/>
                      <w:numId w:val="0"/>
                    </w:numPr>
                    <w:ind w:left="0" w:leftChars="0" w:firstLine="0" w:firstLineChars="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3</w:t>
                  </w:r>
                </w:p>
              </w:tc>
              <w:tc>
                <w:tcPr>
                  <w:tcW w:w="1189"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水泥筒仓</w:t>
                  </w:r>
                </w:p>
              </w:tc>
              <w:tc>
                <w:tcPr>
                  <w:tcW w:w="1114" w:type="pct"/>
                  <w:gridSpan w:val="2"/>
                  <w:vAlign w:val="center"/>
                </w:tcPr>
                <w:p>
                  <w:pPr>
                    <w:numPr>
                      <w:ilvl w:val="0"/>
                      <w:numId w:val="0"/>
                    </w:numPr>
                    <w:ind w:left="0" w:leftChars="0" w:firstLine="0" w:firstLineChars="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w:t>
                  </w:r>
                </w:p>
              </w:tc>
              <w:tc>
                <w:tcPr>
                  <w:tcW w:w="903"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座</w:t>
                  </w:r>
                </w:p>
              </w:tc>
              <w:tc>
                <w:tcPr>
                  <w:tcW w:w="897" w:type="pct"/>
                  <w:gridSpan w:val="2"/>
                  <w:vAlign w:val="center"/>
                </w:tcPr>
                <w:p>
                  <w:pPr>
                    <w:topLinePunct/>
                    <w:ind w:left="0" w:leftChars="0" w:firstLine="0" w:firstLineChars="0"/>
                    <w:jc w:val="center"/>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4" w:type="pct"/>
                  <w:gridSpan w:val="2"/>
                  <w:vAlign w:val="center"/>
                </w:tcPr>
                <w:p>
                  <w:pPr>
                    <w:numPr>
                      <w:ilvl w:val="0"/>
                      <w:numId w:val="0"/>
                    </w:numPr>
                    <w:ind w:left="0" w:leftChars="0" w:firstLine="0" w:firstLineChars="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4</w:t>
                  </w:r>
                </w:p>
              </w:tc>
              <w:tc>
                <w:tcPr>
                  <w:tcW w:w="1189" w:type="pct"/>
                  <w:gridSpan w:val="2"/>
                  <w:vAlign w:val="center"/>
                </w:tcPr>
                <w:p>
                  <w:pPr>
                    <w:topLinePunct/>
                    <w:ind w:left="0" w:leftChars="0" w:firstLine="0" w:firstLineChars="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料仓</w:t>
                  </w:r>
                </w:p>
              </w:tc>
              <w:tc>
                <w:tcPr>
                  <w:tcW w:w="1114" w:type="pct"/>
                  <w:gridSpan w:val="2"/>
                  <w:vAlign w:val="center"/>
                </w:tcPr>
                <w:p>
                  <w:pPr>
                    <w:numPr>
                      <w:ilvl w:val="0"/>
                      <w:numId w:val="0"/>
                    </w:numPr>
                    <w:ind w:left="0" w:leftChars="0" w:firstLine="0" w:firstLineChars="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w:t>
                  </w:r>
                </w:p>
              </w:tc>
              <w:tc>
                <w:tcPr>
                  <w:tcW w:w="903"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座</w:t>
                  </w:r>
                </w:p>
              </w:tc>
              <w:tc>
                <w:tcPr>
                  <w:tcW w:w="897" w:type="pct"/>
                  <w:gridSpan w:val="2"/>
                  <w:vAlign w:val="center"/>
                </w:tcPr>
                <w:p>
                  <w:pPr>
                    <w:topLinePunct/>
                    <w:ind w:left="0" w:leftChars="0" w:firstLine="0" w:firstLineChars="0"/>
                    <w:jc w:val="center"/>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4" w:type="pct"/>
                  <w:gridSpan w:val="2"/>
                  <w:vAlign w:val="center"/>
                </w:tcPr>
                <w:p>
                  <w:pPr>
                    <w:numPr>
                      <w:ilvl w:val="0"/>
                      <w:numId w:val="0"/>
                    </w:numPr>
                    <w:ind w:left="0" w:leftChars="0" w:firstLine="0" w:firstLineChars="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5</w:t>
                  </w:r>
                </w:p>
              </w:tc>
              <w:tc>
                <w:tcPr>
                  <w:tcW w:w="1189"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铲车</w:t>
                  </w:r>
                </w:p>
              </w:tc>
              <w:tc>
                <w:tcPr>
                  <w:tcW w:w="1114" w:type="pct"/>
                  <w:gridSpan w:val="2"/>
                  <w:vAlign w:val="center"/>
                </w:tcPr>
                <w:p>
                  <w:pPr>
                    <w:numPr>
                      <w:ilvl w:val="0"/>
                      <w:numId w:val="0"/>
                    </w:numPr>
                    <w:ind w:left="0" w:leftChars="0" w:firstLine="0" w:firstLineChars="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w:t>
                  </w:r>
                </w:p>
              </w:tc>
              <w:tc>
                <w:tcPr>
                  <w:tcW w:w="903"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辆</w:t>
                  </w:r>
                </w:p>
              </w:tc>
              <w:tc>
                <w:tcPr>
                  <w:tcW w:w="897" w:type="pct"/>
                  <w:gridSpan w:val="2"/>
                  <w:vAlign w:val="center"/>
                </w:tcPr>
                <w:p>
                  <w:pPr>
                    <w:topLinePunct/>
                    <w:ind w:left="0" w:leftChars="0" w:firstLine="0" w:firstLineChars="0"/>
                    <w:jc w:val="center"/>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94" w:type="pct"/>
                  <w:gridSpan w:val="2"/>
                  <w:vAlign w:val="center"/>
                </w:tcPr>
                <w:p>
                  <w:pPr>
                    <w:numPr>
                      <w:ilvl w:val="0"/>
                      <w:numId w:val="0"/>
                    </w:numPr>
                    <w:ind w:left="0" w:leftChars="0" w:firstLine="0" w:firstLineChars="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6</w:t>
                  </w:r>
                </w:p>
              </w:tc>
              <w:tc>
                <w:tcPr>
                  <w:tcW w:w="1189"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袋式除尘器</w:t>
                  </w:r>
                </w:p>
              </w:tc>
              <w:tc>
                <w:tcPr>
                  <w:tcW w:w="1114" w:type="pct"/>
                  <w:gridSpan w:val="2"/>
                  <w:vAlign w:val="center"/>
                </w:tcPr>
                <w:p>
                  <w:pPr>
                    <w:numPr>
                      <w:ilvl w:val="0"/>
                      <w:numId w:val="0"/>
                    </w:numPr>
                    <w:ind w:left="0" w:leftChars="0" w:firstLine="0" w:firstLineChars="0"/>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w:t>
                  </w:r>
                </w:p>
              </w:tc>
              <w:tc>
                <w:tcPr>
                  <w:tcW w:w="903" w:type="pct"/>
                  <w:gridSpan w:val="2"/>
                  <w:vAlign w:val="center"/>
                </w:tcPr>
                <w:p>
                  <w:pPr>
                    <w:topLinePunct/>
                    <w:ind w:left="0" w:leftChars="0" w:firstLine="0" w:firstLineChars="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台</w:t>
                  </w:r>
                </w:p>
              </w:tc>
              <w:tc>
                <w:tcPr>
                  <w:tcW w:w="897" w:type="pct"/>
                  <w:gridSpan w:val="2"/>
                  <w:vAlign w:val="center"/>
                </w:tcPr>
                <w:p>
                  <w:pPr>
                    <w:topLinePunct/>
                    <w:ind w:left="0" w:leftChars="0" w:firstLine="0" w:firstLineChars="0"/>
                    <w:jc w:val="center"/>
                    <w:rPr>
                      <w:rFonts w:hint="default"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w:t>
                  </w:r>
                </w:p>
              </w:tc>
            </w:tr>
          </w:tbl>
          <w:p>
            <w:pPr>
              <w:bidi w:val="0"/>
              <w:ind w:left="0" w:leftChars="0" w:firstLine="0" w:firstLineChars="0"/>
              <w:rPr>
                <w:rFonts w:hint="default"/>
                <w:b/>
                <w:bCs/>
                <w:highlight w:val="none"/>
                <w:lang w:val="en-US" w:eastAsia="zh-CN"/>
              </w:rPr>
            </w:pPr>
            <w:r>
              <w:rPr>
                <w:rFonts w:hint="eastAsia"/>
                <w:b/>
                <w:bCs/>
                <w:highlight w:val="none"/>
                <w:lang w:val="en-US" w:eastAsia="zh-CN"/>
              </w:rPr>
              <w:t>4.产品方案及主要原辅材料</w:t>
            </w:r>
          </w:p>
          <w:p>
            <w:pPr>
              <w:bidi w:val="0"/>
              <w:ind w:left="0" w:leftChars="0" w:firstLine="0" w:firstLineChars="0"/>
              <w:rPr>
                <w:rFonts w:hint="eastAsia" w:eastAsia="宋体"/>
                <w:b/>
                <w:bCs/>
                <w:highlight w:val="none"/>
                <w:lang w:val="en-US" w:eastAsia="zh-CN"/>
              </w:rPr>
            </w:pPr>
            <w:r>
              <w:rPr>
                <w:rFonts w:hint="eastAsia"/>
                <w:b/>
                <w:bCs/>
                <w:highlight w:val="none"/>
                <w:lang w:val="en-US" w:eastAsia="zh-CN"/>
              </w:rPr>
              <w:t>4.1</w:t>
            </w:r>
            <w:r>
              <w:rPr>
                <w:rFonts w:hint="default"/>
                <w:b/>
                <w:bCs/>
                <w:highlight w:val="none"/>
              </w:rPr>
              <w:t>原辅材料</w:t>
            </w:r>
          </w:p>
          <w:p>
            <w:pPr>
              <w:bidi w:val="0"/>
              <w:rPr>
                <w:rFonts w:hint="default"/>
                <w:highlight w:val="none"/>
              </w:rPr>
            </w:pPr>
            <w:r>
              <w:rPr>
                <w:rFonts w:hint="default"/>
                <w:highlight w:val="none"/>
              </w:rPr>
              <w:t>年产</w:t>
            </w:r>
            <w:r>
              <w:rPr>
                <w:rFonts w:hint="eastAsia"/>
                <w:highlight w:val="none"/>
                <w:lang w:val="en-US" w:eastAsia="zh-CN"/>
              </w:rPr>
              <w:t>20</w:t>
            </w:r>
            <w:r>
              <w:rPr>
                <w:rFonts w:hint="default"/>
                <w:highlight w:val="none"/>
              </w:rPr>
              <w:t>万</w:t>
            </w:r>
            <w:r>
              <w:rPr>
                <w:rFonts w:hint="eastAsia"/>
                <w:highlight w:val="none"/>
                <w:lang w:eastAsia="zh-CN"/>
              </w:rPr>
              <w:t>m³</w:t>
            </w:r>
            <w:r>
              <w:rPr>
                <w:rFonts w:hint="default"/>
                <w:highlight w:val="none"/>
              </w:rPr>
              <w:t>混凝土</w:t>
            </w:r>
            <w:r>
              <w:rPr>
                <w:rFonts w:hint="eastAsia"/>
                <w:highlight w:val="none"/>
                <w:lang w:val="en-US" w:eastAsia="zh-CN"/>
              </w:rPr>
              <w:t>，5万</w:t>
            </w:r>
            <w:r>
              <w:rPr>
                <w:rFonts w:hint="eastAsia"/>
                <w:highlight w:val="none"/>
                <w:lang w:eastAsia="zh-CN"/>
              </w:rPr>
              <w:t>m³</w:t>
            </w:r>
            <w:r>
              <w:rPr>
                <w:rFonts w:hint="eastAsia"/>
                <w:highlight w:val="none"/>
                <w:lang w:val="en-US" w:eastAsia="zh-CN"/>
              </w:rPr>
              <w:t>水稳料。</w:t>
            </w:r>
            <w:r>
              <w:rPr>
                <w:rFonts w:hint="default"/>
                <w:highlight w:val="none"/>
              </w:rPr>
              <w:t>主要原辅材料为水泥、砂、石子</w:t>
            </w:r>
            <w:r>
              <w:rPr>
                <w:rFonts w:hint="eastAsia"/>
                <w:highlight w:val="none"/>
                <w:lang w:eastAsia="zh-CN"/>
              </w:rPr>
              <w:t>粉煤灰</w:t>
            </w:r>
            <w:r>
              <w:rPr>
                <w:rFonts w:hint="default"/>
                <w:highlight w:val="none"/>
              </w:rPr>
              <w:t>等，具体用量见下表</w:t>
            </w:r>
            <w:r>
              <w:rPr>
                <w:rFonts w:hint="eastAsia"/>
                <w:highlight w:val="none"/>
                <w:lang w:val="en-US" w:eastAsia="zh-CN"/>
              </w:rPr>
              <w:t>2-3</w:t>
            </w:r>
            <w:r>
              <w:rPr>
                <w:rFonts w:hint="default"/>
                <w:highlight w:val="none"/>
              </w:rPr>
              <w:t>。</w:t>
            </w:r>
          </w:p>
          <w:p>
            <w:pPr>
              <w:pStyle w:val="30"/>
              <w:bidi w:val="0"/>
              <w:ind w:firstLine="2741" w:firstLineChars="1300"/>
              <w:jc w:val="both"/>
              <w:rPr>
                <w:rFonts w:hint="default"/>
                <w:b/>
                <w:bCs/>
                <w:color w:val="auto"/>
                <w:highlight w:val="none"/>
              </w:rPr>
            </w:pPr>
            <w:r>
              <w:rPr>
                <w:rFonts w:hint="default"/>
                <w:b/>
                <w:bCs/>
                <w:color w:val="auto"/>
                <w:highlight w:val="none"/>
              </w:rPr>
              <w:t>表</w:t>
            </w:r>
            <w:r>
              <w:rPr>
                <w:rFonts w:hint="eastAsia"/>
                <w:b/>
                <w:bCs/>
                <w:color w:val="auto"/>
                <w:highlight w:val="none"/>
                <w:lang w:val="en-US" w:eastAsia="zh-CN"/>
              </w:rPr>
              <w:t>2-3</w:t>
            </w:r>
            <w:r>
              <w:rPr>
                <w:rFonts w:hint="default"/>
                <w:b/>
                <w:bCs/>
                <w:color w:val="auto"/>
                <w:highlight w:val="none"/>
              </w:rPr>
              <w:t xml:space="preserve">   原辅材料一览表</w:t>
            </w:r>
          </w:p>
          <w:tbl>
            <w:tblPr>
              <w:tblStyle w:val="24"/>
              <w:tblW w:w="8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3241"/>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268" w:type="pct"/>
                  <w:vAlign w:val="center"/>
                </w:tcPr>
                <w:p>
                  <w:pPr>
                    <w:numPr>
                      <w:ilvl w:val="0"/>
                      <w:numId w:val="0"/>
                    </w:numPr>
                    <w:spacing w:line="240" w:lineRule="auto"/>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材料名称</w:t>
                  </w:r>
                </w:p>
              </w:tc>
              <w:tc>
                <w:tcPr>
                  <w:tcW w:w="2011" w:type="pct"/>
                  <w:vAlign w:val="center"/>
                </w:tcPr>
                <w:p>
                  <w:pPr>
                    <w:numPr>
                      <w:ilvl w:val="0"/>
                      <w:numId w:val="0"/>
                    </w:numPr>
                    <w:spacing w:line="240" w:lineRule="auto"/>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年消耗量万t</w:t>
                  </w:r>
                </w:p>
              </w:tc>
              <w:tc>
                <w:tcPr>
                  <w:tcW w:w="1720" w:type="pct"/>
                  <w:vAlign w:val="center"/>
                </w:tcPr>
                <w:p>
                  <w:pPr>
                    <w:numPr>
                      <w:ilvl w:val="0"/>
                      <w:numId w:val="0"/>
                    </w:numPr>
                    <w:spacing w:line="240" w:lineRule="auto"/>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5000" w:type="pct"/>
                  <w:gridSpan w:val="3"/>
                  <w:vAlign w:val="center"/>
                </w:tcPr>
                <w:p>
                  <w:pPr>
                    <w:numPr>
                      <w:ilvl w:val="0"/>
                      <w:numId w:val="0"/>
                    </w:numPr>
                    <w:spacing w:line="240" w:lineRule="auto"/>
                    <w:jc w:val="center"/>
                    <w:rPr>
                      <w:rFonts w:hint="eastAsia"/>
                      <w:b/>
                      <w:bCs/>
                      <w:color w:val="auto"/>
                      <w:sz w:val="21"/>
                      <w:szCs w:val="21"/>
                      <w:vertAlign w:val="baseline"/>
                      <w:lang w:val="en-US" w:eastAsia="zh-CN"/>
                    </w:rPr>
                  </w:pPr>
                  <w:r>
                    <w:rPr>
                      <w:rFonts w:hint="eastAsia"/>
                      <w:b/>
                      <w:bCs/>
                      <w:color w:val="auto"/>
                      <w:sz w:val="21"/>
                      <w:szCs w:val="21"/>
                      <w:vertAlign w:val="baseline"/>
                      <w:lang w:val="en-US" w:eastAsia="zh-CN"/>
                    </w:rPr>
                    <w:t>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268" w:type="pct"/>
                  <w:vMerge w:val="restart"/>
                  <w:vAlign w:val="center"/>
                </w:tcPr>
                <w:p>
                  <w:pPr>
                    <w:numPr>
                      <w:ilvl w:val="0"/>
                      <w:numId w:val="0"/>
                    </w:numPr>
                    <w:spacing w:line="240" w:lineRule="auto"/>
                    <w:jc w:val="center"/>
                    <w:rPr>
                      <w:rFonts w:hint="default"/>
                      <w:color w:val="auto"/>
                      <w:sz w:val="21"/>
                      <w:szCs w:val="21"/>
                      <w:vertAlign w:val="baseline"/>
                      <w:lang w:val="en-US" w:eastAsia="zh-CN"/>
                    </w:rPr>
                  </w:pPr>
                  <w:r>
                    <w:rPr>
                      <w:rFonts w:hint="eastAsia"/>
                      <w:color w:val="auto"/>
                      <w:sz w:val="21"/>
                      <w:szCs w:val="21"/>
                      <w:vertAlign w:val="baseline"/>
                      <w:lang w:val="en-US" w:eastAsia="zh-CN"/>
                    </w:rPr>
                    <w:t>碎石</w:t>
                  </w:r>
                </w:p>
              </w:tc>
              <w:tc>
                <w:tcPr>
                  <w:tcW w:w="2011" w:type="pct"/>
                  <w:vAlign w:val="center"/>
                </w:tcPr>
                <w:p>
                  <w:pPr>
                    <w:numPr>
                      <w:ilvl w:val="0"/>
                      <w:numId w:val="0"/>
                    </w:numPr>
                    <w:spacing w:line="240" w:lineRule="auto"/>
                    <w:jc w:val="center"/>
                    <w:rPr>
                      <w:rFonts w:hint="default"/>
                      <w:color w:val="auto"/>
                      <w:sz w:val="21"/>
                      <w:szCs w:val="21"/>
                      <w:vertAlign w:val="baseline"/>
                      <w:lang w:val="en-US" w:eastAsia="zh-CN"/>
                    </w:rPr>
                  </w:pPr>
                  <w:r>
                    <w:rPr>
                      <w:rFonts w:hint="eastAsia"/>
                      <w:color w:val="auto"/>
                      <w:sz w:val="21"/>
                      <w:szCs w:val="21"/>
                      <w:vertAlign w:val="baseline"/>
                      <w:lang w:val="en-US" w:eastAsia="zh-CN"/>
                    </w:rPr>
                    <w:t>8</w:t>
                  </w:r>
                </w:p>
              </w:tc>
              <w:tc>
                <w:tcPr>
                  <w:tcW w:w="1720" w:type="pct"/>
                  <w:vAlign w:val="center"/>
                </w:tcPr>
                <w:p>
                  <w:pPr>
                    <w:numPr>
                      <w:ilvl w:val="0"/>
                      <w:numId w:val="0"/>
                    </w:numPr>
                    <w:spacing w:line="240" w:lineRule="auto"/>
                    <w:jc w:val="center"/>
                    <w:rPr>
                      <w:rFonts w:hint="default"/>
                      <w:color w:val="auto"/>
                      <w:sz w:val="21"/>
                      <w:szCs w:val="21"/>
                      <w:vertAlign w:val="baseline"/>
                      <w:lang w:val="en-US" w:eastAsia="zh-CN"/>
                    </w:rPr>
                  </w:pPr>
                  <w:r>
                    <w:rPr>
                      <w:rFonts w:hint="eastAsia"/>
                      <w:color w:val="auto"/>
                      <w:sz w:val="21"/>
                      <w:szCs w:val="21"/>
                      <w:vertAlign w:val="baseline"/>
                      <w:lang w:val="en-US" w:eastAsia="zh-CN"/>
                    </w:rPr>
                    <w:t>小石，外购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268" w:type="pct"/>
                  <w:vMerge w:val="continue"/>
                  <w:vAlign w:val="center"/>
                </w:tcPr>
                <w:p>
                  <w:pPr>
                    <w:spacing w:line="240" w:lineRule="auto"/>
                    <w:jc w:val="center"/>
                    <w:rPr>
                      <w:color w:val="auto"/>
                    </w:rPr>
                  </w:pPr>
                </w:p>
              </w:tc>
              <w:tc>
                <w:tcPr>
                  <w:tcW w:w="2011" w:type="pct"/>
                  <w:vAlign w:val="center"/>
                </w:tcPr>
                <w:p>
                  <w:pPr>
                    <w:numPr>
                      <w:ilvl w:val="0"/>
                      <w:numId w:val="0"/>
                    </w:numPr>
                    <w:spacing w:line="240" w:lineRule="auto"/>
                    <w:jc w:val="center"/>
                    <w:rPr>
                      <w:rFonts w:hint="default"/>
                      <w:color w:val="auto"/>
                      <w:sz w:val="21"/>
                      <w:szCs w:val="21"/>
                      <w:vertAlign w:val="baseline"/>
                      <w:lang w:val="en-US" w:eastAsia="zh-CN"/>
                    </w:rPr>
                  </w:pPr>
                  <w:r>
                    <w:rPr>
                      <w:rFonts w:hint="eastAsia"/>
                      <w:color w:val="auto"/>
                      <w:sz w:val="21"/>
                      <w:szCs w:val="21"/>
                      <w:vertAlign w:val="baseline"/>
                      <w:lang w:val="en-US" w:eastAsia="zh-CN"/>
                    </w:rPr>
                    <w:t>11</w:t>
                  </w:r>
                </w:p>
              </w:tc>
              <w:tc>
                <w:tcPr>
                  <w:tcW w:w="1720" w:type="pct"/>
                  <w:vAlign w:val="center"/>
                </w:tcPr>
                <w:p>
                  <w:pPr>
                    <w:spacing w:line="240" w:lineRule="auto"/>
                    <w:ind w:left="0" w:leftChars="0" w:firstLine="0" w:firstLineChars="0"/>
                    <w:jc w:val="center"/>
                    <w:rPr>
                      <w:rFonts w:hint="eastAsia"/>
                      <w:color w:val="auto"/>
                      <w:sz w:val="21"/>
                      <w:szCs w:val="21"/>
                      <w:vertAlign w:val="baseline"/>
                      <w:lang w:val="en-US" w:eastAsia="zh-CN"/>
                    </w:rPr>
                  </w:pPr>
                  <w:r>
                    <w:rPr>
                      <w:rFonts w:hint="eastAsia"/>
                      <w:color w:val="auto"/>
                      <w:sz w:val="21"/>
                      <w:szCs w:val="21"/>
                      <w:vertAlign w:val="baseline"/>
                      <w:lang w:val="en-US" w:eastAsia="zh-CN"/>
                    </w:rPr>
                    <w:t>大石，外购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268" w:type="pct"/>
                  <w:vAlign w:val="center"/>
                </w:tcPr>
                <w:p>
                  <w:pPr>
                    <w:numPr>
                      <w:ilvl w:val="0"/>
                      <w:numId w:val="0"/>
                    </w:numPr>
                    <w:spacing w:line="240" w:lineRule="auto"/>
                    <w:jc w:val="center"/>
                    <w:rPr>
                      <w:rFonts w:hint="default"/>
                      <w:color w:val="auto"/>
                      <w:sz w:val="21"/>
                      <w:szCs w:val="21"/>
                      <w:vertAlign w:val="baseline"/>
                      <w:lang w:val="en-US" w:eastAsia="zh-CN"/>
                    </w:rPr>
                  </w:pPr>
                  <w:r>
                    <w:rPr>
                      <w:rFonts w:hint="eastAsia"/>
                      <w:color w:val="auto"/>
                      <w:sz w:val="21"/>
                      <w:szCs w:val="21"/>
                      <w:vertAlign w:val="baseline"/>
                      <w:lang w:val="en-US" w:eastAsia="zh-CN"/>
                    </w:rPr>
                    <w:t>砂</w:t>
                  </w:r>
                </w:p>
              </w:tc>
              <w:tc>
                <w:tcPr>
                  <w:tcW w:w="2011" w:type="pct"/>
                  <w:vAlign w:val="center"/>
                </w:tcPr>
                <w:p>
                  <w:pPr>
                    <w:numPr>
                      <w:ilvl w:val="0"/>
                      <w:numId w:val="0"/>
                    </w:numPr>
                    <w:spacing w:line="240" w:lineRule="auto"/>
                    <w:jc w:val="center"/>
                    <w:rPr>
                      <w:rFonts w:hint="default"/>
                      <w:color w:val="auto"/>
                      <w:sz w:val="21"/>
                      <w:szCs w:val="21"/>
                      <w:vertAlign w:val="baseline"/>
                      <w:lang w:val="en-US" w:eastAsia="zh-CN"/>
                    </w:rPr>
                  </w:pPr>
                  <w:r>
                    <w:rPr>
                      <w:rFonts w:hint="eastAsia"/>
                      <w:color w:val="auto"/>
                      <w:sz w:val="21"/>
                      <w:szCs w:val="21"/>
                      <w:vertAlign w:val="baseline"/>
                      <w:lang w:val="en-US" w:eastAsia="zh-CN"/>
                    </w:rPr>
                    <w:t>19.4</w:t>
                  </w:r>
                </w:p>
              </w:tc>
              <w:tc>
                <w:tcPr>
                  <w:tcW w:w="1720" w:type="pct"/>
                  <w:vAlign w:val="center"/>
                </w:tcPr>
                <w:p>
                  <w:pPr>
                    <w:numPr>
                      <w:ilvl w:val="0"/>
                      <w:numId w:val="0"/>
                    </w:numPr>
                    <w:spacing w:line="240" w:lineRule="auto"/>
                    <w:jc w:val="center"/>
                    <w:rPr>
                      <w:rFonts w:hint="default"/>
                      <w:color w:val="auto"/>
                      <w:sz w:val="21"/>
                      <w:szCs w:val="21"/>
                      <w:vertAlign w:val="baseline"/>
                      <w:lang w:val="en-US" w:eastAsia="zh-CN"/>
                    </w:rPr>
                  </w:pPr>
                  <w:r>
                    <w:rPr>
                      <w:rFonts w:hint="eastAsia"/>
                      <w:color w:val="auto"/>
                      <w:sz w:val="21"/>
                      <w:szCs w:val="21"/>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268" w:type="pct"/>
                  <w:vAlign w:val="center"/>
                </w:tcPr>
                <w:p>
                  <w:pPr>
                    <w:numPr>
                      <w:ilvl w:val="0"/>
                      <w:numId w:val="0"/>
                    </w:numPr>
                    <w:spacing w:line="240" w:lineRule="auto"/>
                    <w:ind w:left="0" w:leftChars="0" w:firstLine="0" w:firstLineChars="0"/>
                    <w:jc w:val="center"/>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粉煤灰</w:t>
                  </w:r>
                </w:p>
              </w:tc>
              <w:tc>
                <w:tcPr>
                  <w:tcW w:w="2011" w:type="pct"/>
                  <w:vAlign w:val="center"/>
                </w:tcPr>
                <w:p>
                  <w:pPr>
                    <w:numPr>
                      <w:ilvl w:val="0"/>
                      <w:numId w:val="0"/>
                    </w:numPr>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kern w:val="2"/>
                      <w:sz w:val="21"/>
                      <w:szCs w:val="21"/>
                      <w:vertAlign w:val="baseline"/>
                      <w:lang w:val="en-US" w:eastAsia="zh-CN" w:bidi="ar-SA"/>
                    </w:rPr>
                    <w:t>2.3</w:t>
                  </w:r>
                </w:p>
              </w:tc>
              <w:tc>
                <w:tcPr>
                  <w:tcW w:w="1720" w:type="pct"/>
                  <w:vAlign w:val="center"/>
                </w:tcPr>
                <w:p>
                  <w:pPr>
                    <w:numPr>
                      <w:ilvl w:val="0"/>
                      <w:numId w:val="0"/>
                    </w:numPr>
                    <w:spacing w:line="240" w:lineRule="auto"/>
                    <w:ind w:left="0" w:leftChars="0" w:firstLine="0" w:firstLineChars="0"/>
                    <w:jc w:val="center"/>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268" w:type="pct"/>
                  <w:vAlign w:val="center"/>
                </w:tcPr>
                <w:p>
                  <w:pPr>
                    <w:numPr>
                      <w:ilvl w:val="0"/>
                      <w:numId w:val="0"/>
                    </w:numPr>
                    <w:spacing w:line="240" w:lineRule="auto"/>
                    <w:jc w:val="center"/>
                    <w:rPr>
                      <w:rFonts w:hint="default"/>
                      <w:color w:val="auto"/>
                      <w:sz w:val="21"/>
                      <w:szCs w:val="21"/>
                      <w:vertAlign w:val="baseline"/>
                      <w:lang w:val="en-US" w:eastAsia="zh-CN"/>
                    </w:rPr>
                  </w:pPr>
                  <w:r>
                    <w:rPr>
                      <w:rFonts w:hint="eastAsia"/>
                      <w:color w:val="auto"/>
                      <w:sz w:val="21"/>
                      <w:szCs w:val="21"/>
                      <w:vertAlign w:val="baseline"/>
                      <w:lang w:val="en-US" w:eastAsia="zh-CN"/>
                    </w:rPr>
                    <w:t>水泥</w:t>
                  </w:r>
                </w:p>
              </w:tc>
              <w:tc>
                <w:tcPr>
                  <w:tcW w:w="2011" w:type="pct"/>
                  <w:vAlign w:val="center"/>
                </w:tcPr>
                <w:p>
                  <w:pPr>
                    <w:numPr>
                      <w:ilvl w:val="0"/>
                      <w:numId w:val="0"/>
                    </w:numPr>
                    <w:spacing w:line="240" w:lineRule="auto"/>
                    <w:jc w:val="center"/>
                    <w:rPr>
                      <w:rFonts w:hint="default"/>
                      <w:color w:val="auto"/>
                      <w:sz w:val="21"/>
                      <w:szCs w:val="21"/>
                      <w:vertAlign w:val="baseline"/>
                      <w:lang w:val="en-US" w:eastAsia="zh-CN"/>
                    </w:rPr>
                  </w:pPr>
                  <w:r>
                    <w:rPr>
                      <w:rFonts w:hint="eastAsia"/>
                      <w:color w:val="auto"/>
                      <w:sz w:val="21"/>
                      <w:szCs w:val="21"/>
                      <w:vertAlign w:val="baseline"/>
                      <w:lang w:val="en-US" w:eastAsia="zh-CN"/>
                    </w:rPr>
                    <w:t>4.9</w:t>
                  </w:r>
                </w:p>
              </w:tc>
              <w:tc>
                <w:tcPr>
                  <w:tcW w:w="1720" w:type="pct"/>
                  <w:vAlign w:val="center"/>
                </w:tcPr>
                <w:p>
                  <w:pPr>
                    <w:numPr>
                      <w:ilvl w:val="0"/>
                      <w:numId w:val="0"/>
                    </w:numPr>
                    <w:spacing w:line="240" w:lineRule="auto"/>
                    <w:jc w:val="center"/>
                    <w:rPr>
                      <w:rFonts w:hint="default"/>
                      <w:color w:val="auto"/>
                      <w:sz w:val="21"/>
                      <w:szCs w:val="21"/>
                      <w:vertAlign w:val="baseline"/>
                      <w:lang w:val="en-US" w:eastAsia="zh-CN"/>
                    </w:rPr>
                  </w:pPr>
                  <w:r>
                    <w:rPr>
                      <w:rFonts w:hint="eastAsia"/>
                      <w:color w:val="auto"/>
                      <w:sz w:val="21"/>
                      <w:szCs w:val="21"/>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68" w:type="pct"/>
                  <w:vAlign w:val="center"/>
                </w:tcPr>
                <w:p>
                  <w:pPr>
                    <w:numPr>
                      <w:ilvl w:val="0"/>
                      <w:numId w:val="0"/>
                    </w:numPr>
                    <w:spacing w:line="240" w:lineRule="auto"/>
                    <w:jc w:val="center"/>
                    <w:rPr>
                      <w:rFonts w:hint="default"/>
                      <w:color w:val="auto"/>
                      <w:sz w:val="21"/>
                      <w:szCs w:val="21"/>
                      <w:vertAlign w:val="baseline"/>
                      <w:lang w:val="en-US" w:eastAsia="zh-CN"/>
                    </w:rPr>
                  </w:pPr>
                  <w:r>
                    <w:rPr>
                      <w:rFonts w:hint="eastAsia"/>
                      <w:color w:val="auto"/>
                      <w:sz w:val="21"/>
                      <w:szCs w:val="21"/>
                      <w:vertAlign w:val="baseline"/>
                      <w:lang w:val="en-US" w:eastAsia="zh-CN"/>
                    </w:rPr>
                    <w:t>外加剂（减水剂）</w:t>
                  </w:r>
                </w:p>
              </w:tc>
              <w:tc>
                <w:tcPr>
                  <w:tcW w:w="2011" w:type="pct"/>
                  <w:vAlign w:val="center"/>
                </w:tcPr>
                <w:p>
                  <w:pPr>
                    <w:numPr>
                      <w:ilvl w:val="0"/>
                      <w:numId w:val="0"/>
                    </w:numPr>
                    <w:spacing w:line="240" w:lineRule="auto"/>
                    <w:jc w:val="center"/>
                    <w:rPr>
                      <w:rFonts w:hint="default"/>
                      <w:color w:val="auto"/>
                      <w:sz w:val="21"/>
                      <w:szCs w:val="21"/>
                      <w:vertAlign w:val="baseline"/>
                      <w:lang w:val="en-US" w:eastAsia="zh-CN"/>
                    </w:rPr>
                  </w:pPr>
                  <w:r>
                    <w:rPr>
                      <w:rFonts w:hint="eastAsia"/>
                      <w:color w:val="auto"/>
                      <w:sz w:val="21"/>
                      <w:szCs w:val="21"/>
                      <w:vertAlign w:val="baseline"/>
                      <w:lang w:val="en-US" w:eastAsia="zh-CN"/>
                    </w:rPr>
                    <w:t>0.15</w:t>
                  </w:r>
                </w:p>
              </w:tc>
              <w:tc>
                <w:tcPr>
                  <w:tcW w:w="1720" w:type="pct"/>
                  <w:vAlign w:val="center"/>
                </w:tcPr>
                <w:p>
                  <w:pPr>
                    <w:numPr>
                      <w:ilvl w:val="0"/>
                      <w:numId w:val="0"/>
                    </w:numPr>
                    <w:spacing w:line="240" w:lineRule="auto"/>
                    <w:jc w:val="center"/>
                    <w:rPr>
                      <w:rFonts w:hint="default"/>
                      <w:color w:val="auto"/>
                      <w:sz w:val="21"/>
                      <w:szCs w:val="21"/>
                      <w:vertAlign w:val="baseline"/>
                      <w:lang w:val="en-US" w:eastAsia="zh-CN"/>
                    </w:rPr>
                  </w:pPr>
                  <w:r>
                    <w:rPr>
                      <w:rFonts w:hint="eastAsia"/>
                      <w:color w:val="auto"/>
                      <w:sz w:val="21"/>
                      <w:szCs w:val="21"/>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68" w:type="pct"/>
                  <w:vAlign w:val="center"/>
                </w:tcPr>
                <w:p>
                  <w:pPr>
                    <w:numPr>
                      <w:ilvl w:val="0"/>
                      <w:numId w:val="0"/>
                    </w:numPr>
                    <w:spacing w:line="24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水</w:t>
                  </w:r>
                </w:p>
              </w:tc>
              <w:tc>
                <w:tcPr>
                  <w:tcW w:w="2011" w:type="pct"/>
                  <w:vAlign w:val="center"/>
                </w:tcPr>
                <w:p>
                  <w:pPr>
                    <w:numPr>
                      <w:ilvl w:val="0"/>
                      <w:numId w:val="0"/>
                    </w:numPr>
                    <w:spacing w:line="240" w:lineRule="auto"/>
                    <w:jc w:val="center"/>
                    <w:rPr>
                      <w:rFonts w:hint="default"/>
                      <w:color w:val="auto"/>
                      <w:sz w:val="21"/>
                      <w:szCs w:val="21"/>
                      <w:vertAlign w:val="baseline"/>
                      <w:lang w:val="en-US" w:eastAsia="zh-CN"/>
                    </w:rPr>
                  </w:pPr>
                  <w:r>
                    <w:rPr>
                      <w:rFonts w:hint="eastAsia"/>
                      <w:color w:val="auto"/>
                      <w:sz w:val="21"/>
                      <w:szCs w:val="21"/>
                      <w:vertAlign w:val="baseline"/>
                      <w:lang w:val="en-US" w:eastAsia="zh-CN"/>
                    </w:rPr>
                    <w:t>3</w:t>
                  </w:r>
                </w:p>
              </w:tc>
              <w:tc>
                <w:tcPr>
                  <w:tcW w:w="1720" w:type="pct"/>
                  <w:vAlign w:val="center"/>
                </w:tcPr>
                <w:p>
                  <w:pPr>
                    <w:numPr>
                      <w:ilvl w:val="0"/>
                      <w:numId w:val="0"/>
                    </w:numPr>
                    <w:spacing w:line="240" w:lineRule="auto"/>
                    <w:jc w:val="center"/>
                    <w:rPr>
                      <w:rFonts w:hint="default"/>
                      <w:color w:val="auto"/>
                      <w:sz w:val="21"/>
                      <w:szCs w:val="21"/>
                      <w:vertAlign w:val="baseline"/>
                      <w:lang w:val="en-US" w:eastAsia="zh-CN"/>
                    </w:rPr>
                  </w:pPr>
                  <w:r>
                    <w:rPr>
                      <w:rFonts w:hint="eastAsia"/>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5000" w:type="pct"/>
                  <w:gridSpan w:val="3"/>
                  <w:vAlign w:val="center"/>
                </w:tcPr>
                <w:p>
                  <w:pPr>
                    <w:numPr>
                      <w:ilvl w:val="0"/>
                      <w:numId w:val="0"/>
                    </w:numPr>
                    <w:spacing w:line="240" w:lineRule="auto"/>
                    <w:jc w:val="center"/>
                    <w:rPr>
                      <w:rFonts w:hint="eastAsia"/>
                      <w:color w:val="auto"/>
                      <w:sz w:val="21"/>
                      <w:szCs w:val="21"/>
                      <w:vertAlign w:val="baseline"/>
                      <w:lang w:val="en-US" w:eastAsia="zh-CN"/>
                    </w:rPr>
                  </w:pPr>
                  <w:r>
                    <w:rPr>
                      <w:rFonts w:hint="eastAsia"/>
                      <w:b/>
                      <w:bCs/>
                      <w:color w:val="auto"/>
                      <w:sz w:val="21"/>
                      <w:szCs w:val="21"/>
                      <w:vertAlign w:val="baseline"/>
                      <w:lang w:val="en-US" w:eastAsia="zh-CN"/>
                    </w:rPr>
                    <w:t>水稳料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68" w:type="pct"/>
                  <w:vAlign w:val="center"/>
                </w:tcPr>
                <w:p>
                  <w:pPr>
                    <w:numPr>
                      <w:ilvl w:val="0"/>
                      <w:numId w:val="0"/>
                    </w:numPr>
                    <w:spacing w:line="240" w:lineRule="auto"/>
                    <w:ind w:left="0" w:leftChars="0" w:firstLine="0" w:firstLineChars="0"/>
                    <w:jc w:val="center"/>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碎石</w:t>
                  </w:r>
                </w:p>
              </w:tc>
              <w:tc>
                <w:tcPr>
                  <w:tcW w:w="2011" w:type="pct"/>
                  <w:vAlign w:val="center"/>
                </w:tcPr>
                <w:p>
                  <w:pPr>
                    <w:numPr>
                      <w:ilvl w:val="0"/>
                      <w:numId w:val="0"/>
                    </w:numPr>
                    <w:spacing w:line="240" w:lineRule="auto"/>
                    <w:jc w:val="center"/>
                    <w:rPr>
                      <w:rFonts w:hint="default"/>
                      <w:color w:val="auto"/>
                      <w:sz w:val="21"/>
                      <w:szCs w:val="21"/>
                      <w:vertAlign w:val="baseline"/>
                      <w:lang w:val="en-US" w:eastAsia="zh-CN"/>
                    </w:rPr>
                  </w:pPr>
                  <w:r>
                    <w:rPr>
                      <w:rFonts w:hint="eastAsia"/>
                      <w:color w:val="auto"/>
                      <w:sz w:val="21"/>
                      <w:szCs w:val="21"/>
                      <w:vertAlign w:val="baseline"/>
                      <w:lang w:val="en-US" w:eastAsia="zh-CN"/>
                    </w:rPr>
                    <w:t>5.9</w:t>
                  </w:r>
                </w:p>
              </w:tc>
              <w:tc>
                <w:tcPr>
                  <w:tcW w:w="1720" w:type="pct"/>
                  <w:vAlign w:val="center"/>
                </w:tcPr>
                <w:p>
                  <w:pPr>
                    <w:numPr>
                      <w:ilvl w:val="0"/>
                      <w:numId w:val="0"/>
                    </w:numPr>
                    <w:spacing w:line="240" w:lineRule="auto"/>
                    <w:ind w:firstLine="420" w:firstLineChars="200"/>
                    <w:jc w:val="center"/>
                    <w:rPr>
                      <w:rFonts w:hint="eastAsia"/>
                      <w:color w:val="auto"/>
                      <w:sz w:val="21"/>
                      <w:szCs w:val="21"/>
                      <w:vertAlign w:val="baseline"/>
                      <w:lang w:val="en-US" w:eastAsia="zh-CN"/>
                    </w:rPr>
                  </w:pPr>
                  <w:r>
                    <w:rPr>
                      <w:rFonts w:hint="eastAsia"/>
                      <w:color w:val="auto"/>
                      <w:sz w:val="21"/>
                      <w:szCs w:val="21"/>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68" w:type="pct"/>
                  <w:vAlign w:val="center"/>
                </w:tcPr>
                <w:p>
                  <w:pPr>
                    <w:numPr>
                      <w:ilvl w:val="0"/>
                      <w:numId w:val="0"/>
                    </w:numPr>
                    <w:spacing w:line="24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砂</w:t>
                  </w:r>
                </w:p>
              </w:tc>
              <w:tc>
                <w:tcPr>
                  <w:tcW w:w="2011" w:type="pct"/>
                  <w:vAlign w:val="center"/>
                </w:tcPr>
                <w:p>
                  <w:pPr>
                    <w:numPr>
                      <w:ilvl w:val="0"/>
                      <w:numId w:val="0"/>
                    </w:numPr>
                    <w:spacing w:line="240" w:lineRule="auto"/>
                    <w:jc w:val="center"/>
                    <w:rPr>
                      <w:rFonts w:hint="default"/>
                      <w:color w:val="auto"/>
                      <w:sz w:val="21"/>
                      <w:szCs w:val="21"/>
                      <w:vertAlign w:val="baseline"/>
                      <w:lang w:val="en-US" w:eastAsia="zh-CN"/>
                    </w:rPr>
                  </w:pPr>
                  <w:r>
                    <w:rPr>
                      <w:rFonts w:hint="eastAsia"/>
                      <w:color w:val="auto"/>
                      <w:sz w:val="21"/>
                      <w:szCs w:val="21"/>
                      <w:vertAlign w:val="baseline"/>
                      <w:lang w:val="en-US" w:eastAsia="zh-CN"/>
                    </w:rPr>
                    <w:t>3.8</w:t>
                  </w:r>
                </w:p>
              </w:tc>
              <w:tc>
                <w:tcPr>
                  <w:tcW w:w="1720" w:type="pct"/>
                  <w:vAlign w:val="center"/>
                </w:tcPr>
                <w:p>
                  <w:pPr>
                    <w:numPr>
                      <w:ilvl w:val="0"/>
                      <w:numId w:val="0"/>
                    </w:numPr>
                    <w:spacing w:line="240" w:lineRule="auto"/>
                    <w:ind w:firstLine="420" w:firstLineChars="200"/>
                    <w:jc w:val="center"/>
                    <w:rPr>
                      <w:rFonts w:hint="eastAsia"/>
                      <w:color w:val="auto"/>
                      <w:sz w:val="21"/>
                      <w:szCs w:val="21"/>
                      <w:vertAlign w:val="baseline"/>
                      <w:lang w:val="en-US" w:eastAsia="zh-CN"/>
                    </w:rPr>
                  </w:pPr>
                  <w:r>
                    <w:rPr>
                      <w:rFonts w:hint="eastAsia"/>
                      <w:color w:val="auto"/>
                      <w:sz w:val="21"/>
                      <w:szCs w:val="21"/>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268" w:type="pct"/>
                  <w:vAlign w:val="center"/>
                </w:tcPr>
                <w:p>
                  <w:pPr>
                    <w:numPr>
                      <w:ilvl w:val="0"/>
                      <w:numId w:val="0"/>
                    </w:numPr>
                    <w:spacing w:line="240" w:lineRule="auto"/>
                    <w:ind w:left="0" w:leftChars="0" w:firstLine="0" w:firstLineChars="0"/>
                    <w:jc w:val="center"/>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水泥</w:t>
                  </w:r>
                </w:p>
              </w:tc>
              <w:tc>
                <w:tcPr>
                  <w:tcW w:w="2011" w:type="pct"/>
                  <w:vAlign w:val="center"/>
                </w:tcPr>
                <w:p>
                  <w:pPr>
                    <w:numPr>
                      <w:ilvl w:val="0"/>
                      <w:numId w:val="0"/>
                    </w:numPr>
                    <w:spacing w:line="240" w:lineRule="auto"/>
                    <w:jc w:val="center"/>
                    <w:rPr>
                      <w:rFonts w:hint="default"/>
                      <w:color w:val="auto"/>
                      <w:sz w:val="21"/>
                      <w:szCs w:val="21"/>
                      <w:vertAlign w:val="baseline"/>
                      <w:lang w:val="en-US" w:eastAsia="zh-CN"/>
                    </w:rPr>
                  </w:pPr>
                  <w:r>
                    <w:rPr>
                      <w:rFonts w:hint="eastAsia"/>
                      <w:color w:val="auto"/>
                      <w:sz w:val="21"/>
                      <w:szCs w:val="21"/>
                      <w:vertAlign w:val="baseline"/>
                      <w:lang w:val="en-US" w:eastAsia="zh-CN"/>
                    </w:rPr>
                    <w:t>0.5</w:t>
                  </w:r>
                </w:p>
              </w:tc>
              <w:tc>
                <w:tcPr>
                  <w:tcW w:w="1720" w:type="pct"/>
                  <w:vAlign w:val="center"/>
                </w:tcPr>
                <w:p>
                  <w:pPr>
                    <w:numPr>
                      <w:ilvl w:val="0"/>
                      <w:numId w:val="0"/>
                    </w:numPr>
                    <w:spacing w:line="240" w:lineRule="auto"/>
                    <w:ind w:firstLine="420" w:firstLineChars="200"/>
                    <w:jc w:val="center"/>
                    <w:rPr>
                      <w:rFonts w:hint="eastAsia"/>
                      <w:color w:val="auto"/>
                      <w:sz w:val="21"/>
                      <w:szCs w:val="21"/>
                      <w:vertAlign w:val="baseline"/>
                      <w:lang w:val="en-US" w:eastAsia="zh-CN"/>
                    </w:rPr>
                  </w:pPr>
                  <w:r>
                    <w:rPr>
                      <w:rFonts w:hint="eastAsia"/>
                      <w:color w:val="auto"/>
                      <w:sz w:val="21"/>
                      <w:szCs w:val="21"/>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268" w:type="pct"/>
                  <w:vAlign w:val="center"/>
                </w:tcPr>
                <w:p>
                  <w:pPr>
                    <w:numPr>
                      <w:ilvl w:val="0"/>
                      <w:numId w:val="0"/>
                    </w:numPr>
                    <w:spacing w:line="240" w:lineRule="auto"/>
                    <w:ind w:left="0" w:leftChars="0" w:firstLine="0" w:firstLineChars="0"/>
                    <w:jc w:val="center"/>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水</w:t>
                  </w:r>
                </w:p>
              </w:tc>
              <w:tc>
                <w:tcPr>
                  <w:tcW w:w="2011" w:type="pct"/>
                  <w:vAlign w:val="center"/>
                </w:tcPr>
                <w:p>
                  <w:pPr>
                    <w:numPr>
                      <w:ilvl w:val="0"/>
                      <w:numId w:val="0"/>
                    </w:numPr>
                    <w:spacing w:line="240" w:lineRule="auto"/>
                    <w:jc w:val="center"/>
                    <w:rPr>
                      <w:rFonts w:hint="default"/>
                      <w:color w:val="auto"/>
                      <w:sz w:val="21"/>
                      <w:szCs w:val="21"/>
                      <w:vertAlign w:val="baseline"/>
                      <w:lang w:val="en-US" w:eastAsia="zh-CN"/>
                    </w:rPr>
                  </w:pPr>
                  <w:r>
                    <w:rPr>
                      <w:rFonts w:hint="eastAsia"/>
                      <w:color w:val="auto"/>
                      <w:sz w:val="21"/>
                      <w:szCs w:val="21"/>
                      <w:vertAlign w:val="baseline"/>
                      <w:lang w:val="en-US" w:eastAsia="zh-CN"/>
                    </w:rPr>
                    <w:t>0.66</w:t>
                  </w:r>
                </w:p>
              </w:tc>
              <w:tc>
                <w:tcPr>
                  <w:tcW w:w="1720" w:type="pct"/>
                  <w:vAlign w:val="center"/>
                </w:tcPr>
                <w:p>
                  <w:pPr>
                    <w:numPr>
                      <w:ilvl w:val="0"/>
                      <w:numId w:val="0"/>
                    </w:numPr>
                    <w:spacing w:line="240" w:lineRule="auto"/>
                    <w:jc w:val="center"/>
                    <w:rPr>
                      <w:rFonts w:hint="default"/>
                      <w:color w:val="auto"/>
                      <w:sz w:val="21"/>
                      <w:szCs w:val="21"/>
                      <w:vertAlign w:val="baseline"/>
                      <w:lang w:val="en-US" w:eastAsia="zh-CN"/>
                    </w:rPr>
                  </w:pPr>
                  <w:r>
                    <w:rPr>
                      <w:rFonts w:hint="eastAsia"/>
                      <w:color w:val="auto"/>
                      <w:sz w:val="21"/>
                      <w:szCs w:val="21"/>
                      <w:vertAlign w:val="baseline"/>
                      <w:lang w:val="en-US" w:eastAsia="zh-CN"/>
                    </w:rPr>
                    <w:t>/</w:t>
                  </w:r>
                </w:p>
              </w:tc>
            </w:tr>
          </w:tbl>
          <w:p>
            <w:pPr>
              <w:bidi w:val="0"/>
              <w:rPr>
                <w:rFonts w:hint="default"/>
                <w:b/>
                <w:bCs/>
                <w:highlight w:val="none"/>
              </w:rPr>
            </w:pPr>
            <w:r>
              <w:rPr>
                <w:rFonts w:hint="default"/>
                <w:b/>
                <w:bCs/>
                <w:highlight w:val="none"/>
              </w:rPr>
              <w:t>外加剂：</w:t>
            </w:r>
          </w:p>
          <w:p>
            <w:pPr>
              <w:bidi w:val="0"/>
              <w:rPr>
                <w:rFonts w:hint="default"/>
                <w:highlight w:val="none"/>
              </w:rPr>
            </w:pPr>
            <w:r>
              <w:rPr>
                <w:rFonts w:hint="default"/>
                <w:highlight w:val="none"/>
              </w:rPr>
              <w:t>混凝土外加剂，又叫减水剂，是一种在维持混凝土坍落度基本不变的条件下，能减少</w:t>
            </w:r>
            <w:r>
              <w:rPr>
                <w:rFonts w:hint="eastAsia"/>
                <w:highlight w:val="none"/>
                <w:lang w:eastAsia="zh-CN"/>
              </w:rPr>
              <w:t>搅拌</w:t>
            </w:r>
            <w:r>
              <w:rPr>
                <w:rFonts w:hint="default"/>
                <w:highlight w:val="none"/>
              </w:rPr>
              <w:t>用水量的混凝土外加剂。有木质素磺酸盐、禁磺酸盐甲醛聚合物等。加入混凝土</w:t>
            </w:r>
            <w:r>
              <w:rPr>
                <w:rFonts w:hint="eastAsia"/>
                <w:highlight w:val="none"/>
                <w:lang w:eastAsia="zh-CN"/>
              </w:rPr>
              <w:t>搅拌</w:t>
            </w:r>
            <w:r>
              <w:rPr>
                <w:rFonts w:hint="default"/>
                <w:highlight w:val="none"/>
              </w:rPr>
              <w:t>物后对水泥颗粒有分散作用，能改善其工作性，减少单位用水量，改善混凝土</w:t>
            </w:r>
            <w:r>
              <w:rPr>
                <w:rFonts w:hint="eastAsia"/>
                <w:highlight w:val="none"/>
                <w:lang w:eastAsia="zh-CN"/>
              </w:rPr>
              <w:t>搅拌</w:t>
            </w:r>
            <w:r>
              <w:rPr>
                <w:rFonts w:hint="default"/>
                <w:highlight w:val="none"/>
              </w:rPr>
              <w:t>物的流动性</w:t>
            </w:r>
            <w:r>
              <w:rPr>
                <w:rFonts w:hint="eastAsia"/>
                <w:highlight w:val="none"/>
                <w:lang w:eastAsia="zh-CN"/>
              </w:rPr>
              <w:t>、</w:t>
            </w:r>
            <w:r>
              <w:rPr>
                <w:rFonts w:hint="default"/>
                <w:highlight w:val="none"/>
              </w:rPr>
              <w:t>或减少单位水泥用量，节约水泥。</w:t>
            </w:r>
          </w:p>
          <w:p>
            <w:pPr>
              <w:bidi w:val="0"/>
              <w:rPr>
                <w:rFonts w:hint="default"/>
                <w:highlight w:val="none"/>
              </w:rPr>
            </w:pPr>
            <w:r>
              <w:rPr>
                <w:rFonts w:hint="default"/>
                <w:highlight w:val="none"/>
              </w:rPr>
              <w:t>水泥加水</w:t>
            </w:r>
            <w:r>
              <w:rPr>
                <w:rFonts w:hint="eastAsia"/>
                <w:highlight w:val="none"/>
                <w:lang w:eastAsia="zh-CN"/>
              </w:rPr>
              <w:t>搅拌</w:t>
            </w:r>
            <w:r>
              <w:rPr>
                <w:rFonts w:hint="default"/>
                <w:highlight w:val="none"/>
              </w:rPr>
              <w:t>后，由于水泥颗粒的水化作用，水泥颗粒表明形成双电层结构，使之形成溶剂化水膜，且水泥颗粒表面带有异性电荷使水泥颗粒间产生缔合作用，使水泥浆形成絮凝结构，使10%</w:t>
            </w:r>
            <w:r>
              <w:rPr>
                <w:rFonts w:hint="eastAsia"/>
                <w:highlight w:val="none"/>
                <w:lang w:eastAsia="zh-CN"/>
              </w:rPr>
              <w:t>～</w:t>
            </w:r>
            <w:r>
              <w:rPr>
                <w:rFonts w:hint="default"/>
                <w:highlight w:val="none"/>
              </w:rPr>
              <w:t>30%的</w:t>
            </w:r>
            <w:r>
              <w:rPr>
                <w:rFonts w:hint="eastAsia"/>
                <w:highlight w:val="none"/>
                <w:lang w:eastAsia="zh-CN"/>
              </w:rPr>
              <w:t>搅拌</w:t>
            </w:r>
            <w:r>
              <w:rPr>
                <w:rFonts w:hint="default"/>
                <w:highlight w:val="none"/>
              </w:rPr>
              <w:t>水被包裹在水泥颗粒之中，不能参与自由流动和润滑作用，从而影响了混凝土</w:t>
            </w:r>
            <w:r>
              <w:rPr>
                <w:rFonts w:hint="eastAsia"/>
                <w:highlight w:val="none"/>
                <w:lang w:eastAsia="zh-CN"/>
              </w:rPr>
              <w:t>搅拌</w:t>
            </w:r>
            <w:r>
              <w:rPr>
                <w:rFonts w:hint="default"/>
                <w:highlight w:val="none"/>
              </w:rPr>
              <w:t>物的流动性。当加入减水剂后，由于减水剂分子能定向吸附于水泥颗粒表面，使水泥颗粒表面带有同一种电荷</w:t>
            </w:r>
            <w:r>
              <w:rPr>
                <w:rFonts w:hint="eastAsia"/>
                <w:highlight w:val="none"/>
                <w:lang w:eastAsia="zh-CN"/>
              </w:rPr>
              <w:t>（</w:t>
            </w:r>
            <w:r>
              <w:rPr>
                <w:rFonts w:hint="default"/>
                <w:highlight w:val="none"/>
              </w:rPr>
              <w:t>通常为负电荷</w:t>
            </w:r>
            <w:r>
              <w:rPr>
                <w:rFonts w:hint="eastAsia"/>
                <w:highlight w:val="none"/>
                <w:lang w:eastAsia="zh-CN"/>
              </w:rPr>
              <w:t>）</w:t>
            </w:r>
            <w:r>
              <w:rPr>
                <w:rFonts w:hint="default"/>
                <w:highlight w:val="none"/>
              </w:rPr>
              <w:t>，形成静电排斥作用，促使水泥颗粒相互分散絮凝结构解体，释放出被包裹部分水，参与流动，从而有效地增加混凝土</w:t>
            </w:r>
            <w:r>
              <w:rPr>
                <w:rFonts w:hint="eastAsia"/>
                <w:highlight w:val="none"/>
                <w:lang w:eastAsia="zh-CN"/>
              </w:rPr>
              <w:t>搅拌</w:t>
            </w:r>
            <w:r>
              <w:rPr>
                <w:rFonts w:hint="default"/>
                <w:highlight w:val="none"/>
              </w:rPr>
              <w:t>物的流动性</w:t>
            </w:r>
            <w:r>
              <w:rPr>
                <w:rFonts w:hint="eastAsia"/>
                <w:highlight w:val="none"/>
                <w:lang w:eastAsia="zh-CN"/>
              </w:rPr>
              <w:t>、</w:t>
            </w:r>
            <w:r>
              <w:rPr>
                <w:rFonts w:hint="default"/>
                <w:highlight w:val="none"/>
              </w:rPr>
              <w:t>减水剂中的亲水基极性很强，因此水泥颗粒表面的减水剂吸附膜能与水分子形成一层稳定的溶剂化水膜，这层水膜具有很好的润滑作用，</w:t>
            </w:r>
            <w:r>
              <w:rPr>
                <w:rFonts w:hint="eastAsia"/>
                <w:highlight w:val="none"/>
                <w:lang w:eastAsia="zh-CN"/>
              </w:rPr>
              <w:t>有效</w:t>
            </w:r>
            <w:r>
              <w:rPr>
                <w:rFonts w:hint="default"/>
                <w:highlight w:val="none"/>
              </w:rPr>
              <w:t>降低水泥颗粒间的滑动阻力，从而使混凝土流动性进一步提高:减水剂结中具有亲水性的支链，伸展于水溶液中，从而在所吸附的水泥颗粒表面形成有一定厚度的亲水性立体吸附层。当水泥颗粒靠近时，吸附层开始重叠，即在水泥颗粒间产生空间位阻作用，重叠越多，空间位阻斥力越大，对水泥颗粒间聚作用的阻碍也越大，使得混凝土的坍落度保持良好:在水泥水化的高碱度</w:t>
            </w:r>
            <w:r>
              <w:rPr>
                <w:rFonts w:hint="eastAsia"/>
                <w:highlight w:val="none"/>
                <w:lang w:eastAsia="zh-CN"/>
              </w:rPr>
              <w:t>环境</w:t>
            </w:r>
            <w:r>
              <w:rPr>
                <w:rFonts w:hint="default"/>
                <w:highlight w:val="none"/>
              </w:rPr>
              <w:t>中，该支链还可慢慢被切断，从而释放出具有分散作用的多羚酸，这样就可提高水泥粒子的分散效果，并控制坍落度损失。</w:t>
            </w:r>
          </w:p>
          <w:p>
            <w:pPr>
              <w:pStyle w:val="22"/>
              <w:spacing w:line="360" w:lineRule="auto"/>
              <w:ind w:left="0" w:leftChars="0" w:firstLine="0" w:firstLineChars="0"/>
              <w:rPr>
                <w:rFonts w:hint="eastAsia"/>
                <w:b/>
                <w:bCs/>
                <w:sz w:val="24"/>
                <w:szCs w:val="22"/>
                <w:highlight w:val="none"/>
                <w:lang w:val="en-US" w:eastAsia="zh-CN"/>
              </w:rPr>
            </w:pPr>
            <w:r>
              <w:rPr>
                <w:rFonts w:hint="eastAsia"/>
                <w:b/>
                <w:bCs/>
                <w:sz w:val="24"/>
                <w:szCs w:val="22"/>
                <w:highlight w:val="none"/>
                <w:lang w:val="en-US" w:eastAsia="zh-CN"/>
              </w:rPr>
              <w:t>4.2物料平衡</w:t>
            </w:r>
          </w:p>
          <w:p>
            <w:pPr>
              <w:spacing w:line="360" w:lineRule="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项目物料平衡见下表2-4.</w:t>
            </w:r>
          </w:p>
          <w:p>
            <w:pPr>
              <w:pStyle w:val="30"/>
              <w:bidi w:val="0"/>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 xml:space="preserve">表2-4  </w:t>
            </w:r>
            <w:r>
              <w:rPr>
                <w:rFonts w:hint="eastAsia" w:cs="Times New Roman"/>
                <w:b/>
                <w:bCs/>
                <w:color w:val="auto"/>
                <w:highlight w:val="none"/>
                <w:lang w:val="en-US" w:eastAsia="zh-CN"/>
              </w:rPr>
              <w:t xml:space="preserve"> </w:t>
            </w:r>
            <w:r>
              <w:rPr>
                <w:rFonts w:hint="default" w:ascii="Times New Roman" w:hAnsi="Times New Roman" w:eastAsia="宋体" w:cs="Times New Roman"/>
                <w:b/>
                <w:bCs/>
                <w:color w:val="auto"/>
                <w:highlight w:val="none"/>
                <w:lang w:val="en-US" w:eastAsia="zh-CN"/>
              </w:rPr>
              <w:t>项目物料平衡表</w:t>
            </w:r>
          </w:p>
          <w:tbl>
            <w:tblPr>
              <w:tblStyle w:val="24"/>
              <w:tblW w:w="8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647"/>
              <w:gridCol w:w="1591"/>
              <w:gridCol w:w="1944"/>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5" w:type="pct"/>
                  <w:gridSpan w:val="3"/>
                  <w:vAlign w:val="center"/>
                </w:tcPr>
                <w:p>
                  <w:pPr>
                    <w:pStyle w:val="30"/>
                    <w:bidi w:val="0"/>
                    <w:spacing w:line="240" w:lineRule="auto"/>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原料投入量</w:t>
                  </w:r>
                </w:p>
              </w:tc>
              <w:tc>
                <w:tcPr>
                  <w:tcW w:w="2584" w:type="pct"/>
                  <w:gridSpan w:val="2"/>
                  <w:vAlign w:val="center"/>
                </w:tcPr>
                <w:p>
                  <w:pPr>
                    <w:pStyle w:val="30"/>
                    <w:bidi w:val="0"/>
                    <w:spacing w:line="240" w:lineRule="auto"/>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产出物料量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8" w:type="pct"/>
                  <w:gridSpan w:val="2"/>
                  <w:vAlign w:val="center"/>
                </w:tcPr>
                <w:p>
                  <w:pPr>
                    <w:pStyle w:val="30"/>
                    <w:bidi w:val="0"/>
                    <w:spacing w:line="240" w:lineRule="auto"/>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物料名称</w:t>
                  </w:r>
                </w:p>
              </w:tc>
              <w:tc>
                <w:tcPr>
                  <w:tcW w:w="987" w:type="pct"/>
                  <w:vAlign w:val="center"/>
                </w:tcPr>
                <w:p>
                  <w:pPr>
                    <w:pStyle w:val="30"/>
                    <w:bidi w:val="0"/>
                    <w:spacing w:line="240" w:lineRule="auto"/>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数量</w:t>
                  </w:r>
                  <w:r>
                    <w:rPr>
                      <w:rFonts w:hint="eastAsia" w:cs="Times New Roman"/>
                      <w:b w:val="0"/>
                      <w:bCs w:val="0"/>
                      <w:color w:val="auto"/>
                      <w:lang w:val="en-US" w:eastAsia="zh-CN"/>
                    </w:rPr>
                    <w:t>万</w:t>
                  </w:r>
                  <w:r>
                    <w:rPr>
                      <w:rFonts w:hint="default" w:ascii="Times New Roman" w:hAnsi="Times New Roman" w:cs="Times New Roman"/>
                      <w:b w:val="0"/>
                      <w:bCs w:val="0"/>
                      <w:color w:val="auto"/>
                      <w:lang w:val="en-US" w:eastAsia="zh-CN"/>
                    </w:rPr>
                    <w:t>t</w:t>
                  </w:r>
                </w:p>
              </w:tc>
              <w:tc>
                <w:tcPr>
                  <w:tcW w:w="1206" w:type="pct"/>
                  <w:vAlign w:val="center"/>
                </w:tcPr>
                <w:p>
                  <w:pPr>
                    <w:pStyle w:val="30"/>
                    <w:bidi w:val="0"/>
                    <w:spacing w:line="240" w:lineRule="auto"/>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物料名称</w:t>
                  </w:r>
                </w:p>
              </w:tc>
              <w:tc>
                <w:tcPr>
                  <w:tcW w:w="1377" w:type="pct"/>
                  <w:vAlign w:val="center"/>
                </w:tcPr>
                <w:p>
                  <w:pPr>
                    <w:pStyle w:val="30"/>
                    <w:bidi w:val="0"/>
                    <w:spacing w:line="240" w:lineRule="auto"/>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数量</w:t>
                  </w:r>
                  <w:r>
                    <w:rPr>
                      <w:rFonts w:hint="eastAsia" w:cs="Times New Roman"/>
                      <w:b w:val="0"/>
                      <w:bCs w:val="0"/>
                      <w:color w:val="auto"/>
                      <w:lang w:val="en-US" w:eastAsia="zh-CN"/>
                    </w:rPr>
                    <w:t>万</w:t>
                  </w:r>
                  <w:r>
                    <w:rPr>
                      <w:rFonts w:hint="default" w:ascii="Times New Roman" w:hAnsi="Times New Roman" w:cs="Times New Roman"/>
                      <w:b w:val="0"/>
                      <w:bCs w:val="0"/>
                      <w:color w:val="auto"/>
                      <w:lang w:val="en-US"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6" w:type="pct"/>
                  <w:vMerge w:val="restart"/>
                  <w:vAlign w:val="center"/>
                </w:tcPr>
                <w:p>
                  <w:pPr>
                    <w:pStyle w:val="30"/>
                    <w:bidi w:val="0"/>
                    <w:spacing w:line="240" w:lineRule="auto"/>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碎石</w:t>
                  </w:r>
                </w:p>
              </w:tc>
              <w:tc>
                <w:tcPr>
                  <w:tcW w:w="1022" w:type="pct"/>
                  <w:vAlign w:val="center"/>
                </w:tcPr>
                <w:p>
                  <w:pPr>
                    <w:pStyle w:val="30"/>
                    <w:bidi w:val="0"/>
                    <w:spacing w:line="240" w:lineRule="auto"/>
                    <w:rPr>
                      <w:rFonts w:hint="default" w:ascii="Times New Roman" w:hAnsi="Times New Roman" w:eastAsia="宋体" w:cs="Times New Roman"/>
                      <w:b w:val="0"/>
                      <w:bCs w:val="0"/>
                      <w:color w:val="auto"/>
                      <w:lang w:val="en-US" w:eastAsia="zh-CN"/>
                    </w:rPr>
                  </w:pPr>
                  <w:r>
                    <w:rPr>
                      <w:rFonts w:hint="default" w:ascii="Times New Roman" w:hAnsi="Times New Roman" w:cs="Times New Roman"/>
                      <w:b w:val="0"/>
                      <w:bCs w:val="0"/>
                      <w:color w:val="auto"/>
                      <w:lang w:val="en-US" w:eastAsia="zh-CN"/>
                    </w:rPr>
                    <w:t>大石</w:t>
                  </w:r>
                </w:p>
              </w:tc>
              <w:tc>
                <w:tcPr>
                  <w:tcW w:w="987" w:type="pct"/>
                  <w:vAlign w:val="center"/>
                </w:tcPr>
                <w:p>
                  <w:pPr>
                    <w:pStyle w:val="30"/>
                    <w:bidi w:val="0"/>
                    <w:spacing w:line="240" w:lineRule="auto"/>
                    <w:rPr>
                      <w:rFonts w:hint="default" w:ascii="Times New Roman" w:hAnsi="Times New Roman" w:eastAsia="宋体" w:cs="Times New Roman"/>
                      <w:b w:val="0"/>
                      <w:bCs w:val="0"/>
                      <w:color w:val="auto"/>
                      <w:lang w:val="en-US" w:eastAsia="zh-CN"/>
                    </w:rPr>
                  </w:pPr>
                  <w:r>
                    <w:rPr>
                      <w:rFonts w:hint="default" w:ascii="Times New Roman" w:hAnsi="Times New Roman" w:cs="Times New Roman"/>
                      <w:b w:val="0"/>
                      <w:bCs w:val="0"/>
                      <w:color w:val="auto"/>
                      <w:lang w:val="en-US" w:eastAsia="zh-CN"/>
                    </w:rPr>
                    <w:t>11</w:t>
                  </w:r>
                </w:p>
              </w:tc>
              <w:tc>
                <w:tcPr>
                  <w:tcW w:w="1206" w:type="pct"/>
                  <w:vAlign w:val="center"/>
                </w:tcPr>
                <w:p>
                  <w:pPr>
                    <w:pStyle w:val="30"/>
                    <w:bidi w:val="0"/>
                    <w:spacing w:line="240" w:lineRule="auto"/>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混凝土</w:t>
                  </w:r>
                </w:p>
              </w:tc>
              <w:tc>
                <w:tcPr>
                  <w:tcW w:w="1377" w:type="pct"/>
                  <w:vAlign w:val="center"/>
                </w:tcPr>
                <w:p>
                  <w:pPr>
                    <w:pStyle w:val="30"/>
                    <w:bidi w:val="0"/>
                    <w:spacing w:line="240" w:lineRule="auto"/>
                    <w:rPr>
                      <w:rFonts w:hint="default" w:ascii="Times New Roman" w:hAnsi="Times New Roman" w:eastAsia="宋体" w:cs="Times New Roman"/>
                      <w:b w:val="0"/>
                      <w:bCs w:val="0"/>
                      <w:color w:val="auto"/>
                      <w:lang w:val="en-US" w:eastAsia="zh-CN"/>
                    </w:rPr>
                  </w:pPr>
                  <w:r>
                    <w:rPr>
                      <w:rFonts w:hint="default" w:ascii="Times New Roman" w:hAnsi="Times New Roman" w:cs="Times New Roman"/>
                      <w:b w:val="0"/>
                      <w:bCs w:val="0"/>
                      <w:color w:val="auto"/>
                      <w:lang w:val="en-US" w:eastAsia="zh-CN"/>
                    </w:rPr>
                    <w:t>48</w:t>
                  </w:r>
                  <w:r>
                    <w:rPr>
                      <w:rFonts w:hint="default" w:ascii="Times New Roman" w:hAnsi="Times New Roman" w:eastAsia="宋体" w:cs="Times New Roman"/>
                      <w:b w:val="0"/>
                      <w:bCs w:val="0"/>
                      <w:color w:val="auto"/>
                      <w:lang w:val="en-US" w:eastAsia="zh-CN"/>
                    </w:rPr>
                    <w:t>（</w:t>
                  </w:r>
                  <w:r>
                    <w:rPr>
                      <w:rFonts w:hint="default" w:ascii="Times New Roman" w:hAnsi="Times New Roman" w:cs="Times New Roman"/>
                      <w:b w:val="0"/>
                      <w:bCs w:val="0"/>
                      <w:color w:val="auto"/>
                      <w:lang w:val="en-US" w:eastAsia="zh-CN"/>
                    </w:rPr>
                    <w:t>20</w:t>
                  </w:r>
                  <w:r>
                    <w:rPr>
                      <w:rFonts w:hint="eastAsia" w:cs="Times New Roman"/>
                      <w:b w:val="0"/>
                      <w:bCs w:val="0"/>
                      <w:color w:val="auto"/>
                      <w:lang w:val="en-US" w:eastAsia="zh-CN"/>
                    </w:rPr>
                    <w:t>万</w:t>
                  </w:r>
                  <w:r>
                    <w:rPr>
                      <w:rFonts w:hint="default" w:ascii="Times New Roman" w:hAnsi="Times New Roman" w:eastAsia="宋体" w:cs="Times New Roman"/>
                      <w:b w:val="0"/>
                      <w:bCs w:val="0"/>
                      <w:color w:val="auto"/>
                      <w:lang w:val="en-US" w:eastAsia="zh-CN"/>
                    </w:rPr>
                    <w:t>m</w:t>
                  </w:r>
                  <w:r>
                    <w:rPr>
                      <w:rFonts w:hint="default" w:ascii="Times New Roman" w:hAnsi="Times New Roman" w:eastAsia="宋体" w:cs="Times New Roman"/>
                      <w:b w:val="0"/>
                      <w:bCs w:val="0"/>
                      <w:color w:val="auto"/>
                      <w:vertAlign w:val="superscript"/>
                      <w:lang w:val="en-US" w:eastAsia="zh-CN"/>
                    </w:rPr>
                    <w:t>3</w:t>
                  </w:r>
                  <w:r>
                    <w:rPr>
                      <w:rFonts w:hint="default" w:ascii="Times New Roman" w:hAnsi="Times New Roman" w:eastAsia="宋体" w:cs="Times New Roman"/>
                      <w:b w:val="0"/>
                      <w:bCs w:val="0"/>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6" w:type="pct"/>
                  <w:vMerge w:val="continue"/>
                  <w:vAlign w:val="center"/>
                </w:tcPr>
                <w:p>
                  <w:pPr>
                    <w:pStyle w:val="30"/>
                    <w:bidi w:val="0"/>
                    <w:spacing w:line="240" w:lineRule="auto"/>
                    <w:rPr>
                      <w:rFonts w:hint="default" w:ascii="Times New Roman" w:hAnsi="Times New Roman" w:eastAsia="宋体" w:cs="Times New Roman"/>
                      <w:b w:val="0"/>
                      <w:bCs w:val="0"/>
                      <w:color w:val="auto"/>
                      <w:lang w:val="en-US" w:eastAsia="zh-CN"/>
                    </w:rPr>
                  </w:pPr>
                </w:p>
              </w:tc>
              <w:tc>
                <w:tcPr>
                  <w:tcW w:w="1022" w:type="pct"/>
                  <w:vAlign w:val="center"/>
                </w:tcPr>
                <w:p>
                  <w:pPr>
                    <w:pStyle w:val="30"/>
                    <w:bidi w:val="0"/>
                    <w:spacing w:line="240" w:lineRule="auto"/>
                    <w:rPr>
                      <w:rFonts w:hint="default" w:ascii="Times New Roman" w:hAnsi="Times New Roman" w:eastAsia="宋体" w:cs="Times New Roman"/>
                      <w:b w:val="0"/>
                      <w:bCs w:val="0"/>
                      <w:color w:val="auto"/>
                      <w:lang w:val="en-US" w:eastAsia="zh-CN"/>
                    </w:rPr>
                  </w:pPr>
                  <w:r>
                    <w:rPr>
                      <w:rFonts w:hint="default" w:ascii="Times New Roman" w:hAnsi="Times New Roman" w:cs="Times New Roman"/>
                      <w:b w:val="0"/>
                      <w:bCs w:val="0"/>
                      <w:color w:val="auto"/>
                      <w:lang w:val="en-US" w:eastAsia="zh-CN"/>
                    </w:rPr>
                    <w:t>小石</w:t>
                  </w:r>
                </w:p>
              </w:tc>
              <w:tc>
                <w:tcPr>
                  <w:tcW w:w="987" w:type="pct"/>
                  <w:vAlign w:val="center"/>
                </w:tcPr>
                <w:p>
                  <w:pPr>
                    <w:pStyle w:val="30"/>
                    <w:bidi w:val="0"/>
                    <w:spacing w:line="240" w:lineRule="auto"/>
                    <w:rPr>
                      <w:rFonts w:hint="default" w:ascii="Times New Roman" w:hAnsi="Times New Roman" w:eastAsia="宋体" w:cs="Times New Roman"/>
                      <w:b w:val="0"/>
                      <w:bCs w:val="0"/>
                      <w:color w:val="auto"/>
                      <w:lang w:val="en-US" w:eastAsia="zh-CN"/>
                    </w:rPr>
                  </w:pPr>
                  <w:r>
                    <w:rPr>
                      <w:rFonts w:hint="default" w:ascii="Times New Roman" w:hAnsi="Times New Roman" w:cs="Times New Roman"/>
                      <w:b w:val="0"/>
                      <w:bCs w:val="0"/>
                      <w:color w:val="auto"/>
                      <w:lang w:val="en-US" w:eastAsia="zh-CN"/>
                    </w:rPr>
                    <w:t>8</w:t>
                  </w:r>
                </w:p>
              </w:tc>
              <w:tc>
                <w:tcPr>
                  <w:tcW w:w="1206" w:type="pct"/>
                  <w:vMerge w:val="restart"/>
                  <w:vAlign w:val="center"/>
                </w:tcPr>
                <w:p>
                  <w:pPr>
                    <w:pStyle w:val="30"/>
                    <w:bidi w:val="0"/>
                    <w:spacing w:line="240" w:lineRule="auto"/>
                    <w:rPr>
                      <w:rFonts w:hint="default" w:ascii="Times New Roman" w:hAnsi="Times New Roman" w:eastAsia="宋体" w:cs="Times New Roman"/>
                      <w:b w:val="0"/>
                      <w:bCs w:val="0"/>
                      <w:color w:val="auto"/>
                      <w:lang w:val="en-US" w:eastAsia="zh-CN"/>
                    </w:rPr>
                  </w:pPr>
                  <w:r>
                    <w:rPr>
                      <w:rFonts w:hint="default" w:ascii="Times New Roman" w:hAnsi="Times New Roman" w:cs="Times New Roman"/>
                      <w:b w:val="0"/>
                      <w:bCs w:val="0"/>
                      <w:color w:val="auto"/>
                      <w:lang w:val="en-US" w:eastAsia="zh-CN"/>
                    </w:rPr>
                    <w:t>损耗</w:t>
                  </w:r>
                </w:p>
              </w:tc>
              <w:tc>
                <w:tcPr>
                  <w:tcW w:w="1377" w:type="pct"/>
                  <w:vMerge w:val="restart"/>
                  <w:vAlign w:val="center"/>
                </w:tcPr>
                <w:p>
                  <w:pPr>
                    <w:pStyle w:val="30"/>
                    <w:bidi w:val="0"/>
                    <w:spacing w:line="240" w:lineRule="auto"/>
                    <w:rPr>
                      <w:rFonts w:hint="default" w:ascii="Times New Roman" w:hAnsi="Times New Roman" w:eastAsia="宋体" w:cs="Times New Roman"/>
                      <w:b w:val="0"/>
                      <w:bCs w:val="0"/>
                      <w:color w:val="auto"/>
                      <w:lang w:val="en-US" w:eastAsia="zh-CN"/>
                    </w:rPr>
                  </w:pPr>
                  <w:r>
                    <w:rPr>
                      <w:rFonts w:hint="eastAsia" w:cs="Times New Roman"/>
                      <w:b w:val="0"/>
                      <w:bCs w:val="0"/>
                      <w:color w:val="auto"/>
                      <w:lang w:val="en-US" w:eastAsia="zh-CN"/>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428" w:type="pct"/>
                  <w:gridSpan w:val="2"/>
                  <w:vAlign w:val="center"/>
                </w:tcPr>
                <w:p>
                  <w:pPr>
                    <w:pStyle w:val="30"/>
                    <w:bidi w:val="0"/>
                    <w:spacing w:line="240" w:lineRule="auto"/>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粉煤灰</w:t>
                  </w:r>
                </w:p>
              </w:tc>
              <w:tc>
                <w:tcPr>
                  <w:tcW w:w="987" w:type="pct"/>
                  <w:vAlign w:val="center"/>
                </w:tcPr>
                <w:p>
                  <w:pPr>
                    <w:pStyle w:val="30"/>
                    <w:bidi w:val="0"/>
                    <w:spacing w:line="240" w:lineRule="auto"/>
                    <w:rPr>
                      <w:rFonts w:hint="default" w:ascii="Times New Roman" w:hAnsi="Times New Roman" w:eastAsia="宋体" w:cs="Times New Roman"/>
                      <w:b w:val="0"/>
                      <w:bCs w:val="0"/>
                      <w:color w:val="auto"/>
                      <w:lang w:val="en-US" w:eastAsia="zh-CN"/>
                    </w:rPr>
                  </w:pPr>
                  <w:r>
                    <w:rPr>
                      <w:rFonts w:hint="default" w:ascii="Times New Roman" w:hAnsi="Times New Roman" w:cs="Times New Roman"/>
                      <w:b w:val="0"/>
                      <w:bCs w:val="0"/>
                      <w:color w:val="auto"/>
                      <w:lang w:val="en-US" w:eastAsia="zh-CN"/>
                    </w:rPr>
                    <w:t>2</w:t>
                  </w:r>
                  <w:r>
                    <w:rPr>
                      <w:rFonts w:hint="eastAsia" w:cs="Times New Roman"/>
                      <w:b w:val="0"/>
                      <w:bCs w:val="0"/>
                      <w:color w:val="auto"/>
                      <w:lang w:val="en-US" w:eastAsia="zh-CN"/>
                    </w:rPr>
                    <w:t>.</w:t>
                  </w:r>
                  <w:r>
                    <w:rPr>
                      <w:rFonts w:hint="default" w:ascii="Times New Roman" w:hAnsi="Times New Roman" w:cs="Times New Roman"/>
                      <w:b w:val="0"/>
                      <w:bCs w:val="0"/>
                      <w:color w:val="auto"/>
                      <w:lang w:val="en-US" w:eastAsia="zh-CN"/>
                    </w:rPr>
                    <w:t>3</w:t>
                  </w:r>
                </w:p>
              </w:tc>
              <w:tc>
                <w:tcPr>
                  <w:tcW w:w="1206" w:type="pct"/>
                  <w:vMerge w:val="continue"/>
                  <w:vAlign w:val="center"/>
                </w:tcPr>
                <w:p>
                  <w:pPr>
                    <w:pStyle w:val="30"/>
                    <w:bidi w:val="0"/>
                    <w:spacing w:line="240" w:lineRule="auto"/>
                    <w:rPr>
                      <w:rFonts w:hint="default" w:ascii="Times New Roman" w:hAnsi="Times New Roman" w:eastAsia="宋体" w:cs="Times New Roman"/>
                      <w:b w:val="0"/>
                      <w:bCs w:val="0"/>
                      <w:color w:val="auto"/>
                      <w:lang w:val="en-US" w:eastAsia="zh-CN"/>
                    </w:rPr>
                  </w:pPr>
                </w:p>
              </w:tc>
              <w:tc>
                <w:tcPr>
                  <w:tcW w:w="1377" w:type="pct"/>
                  <w:vMerge w:val="continue"/>
                  <w:vAlign w:val="center"/>
                </w:tcPr>
                <w:p>
                  <w:pPr>
                    <w:pStyle w:val="30"/>
                    <w:bidi w:val="0"/>
                    <w:spacing w:line="240" w:lineRule="auto"/>
                    <w:rPr>
                      <w:rFonts w:hint="default" w:ascii="Times New Roman" w:hAnsi="Times New Roman" w:eastAsia="宋体" w:cs="Times New Roman"/>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8" w:type="pct"/>
                  <w:gridSpan w:val="2"/>
                  <w:vAlign w:val="center"/>
                </w:tcPr>
                <w:p>
                  <w:pPr>
                    <w:pStyle w:val="30"/>
                    <w:bidi w:val="0"/>
                    <w:spacing w:line="240" w:lineRule="auto"/>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砂</w:t>
                  </w:r>
                </w:p>
              </w:tc>
              <w:tc>
                <w:tcPr>
                  <w:tcW w:w="987" w:type="pct"/>
                  <w:vAlign w:val="center"/>
                </w:tcPr>
                <w:p>
                  <w:pPr>
                    <w:pStyle w:val="30"/>
                    <w:bidi w:val="0"/>
                    <w:spacing w:line="240" w:lineRule="auto"/>
                    <w:rPr>
                      <w:rFonts w:hint="default" w:ascii="Times New Roman" w:hAnsi="Times New Roman" w:eastAsia="宋体" w:cs="Times New Roman"/>
                      <w:b w:val="0"/>
                      <w:bCs w:val="0"/>
                      <w:color w:val="auto"/>
                      <w:lang w:val="en-US" w:eastAsia="zh-CN"/>
                    </w:rPr>
                  </w:pPr>
                  <w:r>
                    <w:rPr>
                      <w:rFonts w:hint="default" w:ascii="Times New Roman" w:hAnsi="Times New Roman" w:cs="Times New Roman"/>
                      <w:b w:val="0"/>
                      <w:bCs w:val="0"/>
                      <w:color w:val="auto"/>
                      <w:lang w:val="en-US" w:eastAsia="zh-CN"/>
                    </w:rPr>
                    <w:t>19</w:t>
                  </w:r>
                  <w:r>
                    <w:rPr>
                      <w:rFonts w:hint="eastAsia" w:cs="Times New Roman"/>
                      <w:b w:val="0"/>
                      <w:bCs w:val="0"/>
                      <w:color w:val="auto"/>
                      <w:lang w:val="en-US" w:eastAsia="zh-CN"/>
                    </w:rPr>
                    <w:t>.</w:t>
                  </w:r>
                  <w:r>
                    <w:rPr>
                      <w:rFonts w:hint="default" w:ascii="Times New Roman" w:hAnsi="Times New Roman" w:cs="Times New Roman"/>
                      <w:b w:val="0"/>
                      <w:bCs w:val="0"/>
                      <w:color w:val="auto"/>
                      <w:lang w:val="en-US" w:eastAsia="zh-CN"/>
                    </w:rPr>
                    <w:t>4</w:t>
                  </w:r>
                </w:p>
              </w:tc>
              <w:tc>
                <w:tcPr>
                  <w:tcW w:w="1206" w:type="pct"/>
                  <w:vMerge w:val="continue"/>
                  <w:vAlign w:val="center"/>
                </w:tcPr>
                <w:p>
                  <w:pPr>
                    <w:pStyle w:val="30"/>
                    <w:bidi w:val="0"/>
                    <w:spacing w:line="240" w:lineRule="auto"/>
                    <w:rPr>
                      <w:rFonts w:hint="default" w:ascii="Times New Roman" w:hAnsi="Times New Roman" w:eastAsia="宋体" w:cs="Times New Roman"/>
                      <w:b w:val="0"/>
                      <w:bCs w:val="0"/>
                      <w:color w:val="auto"/>
                      <w:lang w:val="en-US" w:eastAsia="zh-CN"/>
                    </w:rPr>
                  </w:pPr>
                </w:p>
              </w:tc>
              <w:tc>
                <w:tcPr>
                  <w:tcW w:w="1377" w:type="pct"/>
                  <w:vMerge w:val="continue"/>
                  <w:vAlign w:val="center"/>
                </w:tcPr>
                <w:p>
                  <w:pPr>
                    <w:pStyle w:val="30"/>
                    <w:bidi w:val="0"/>
                    <w:spacing w:line="240" w:lineRule="auto"/>
                    <w:rPr>
                      <w:rFonts w:hint="default" w:ascii="Times New Roman" w:hAnsi="Times New Roman" w:eastAsia="宋体" w:cs="Times New Roman"/>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8" w:type="pct"/>
                  <w:gridSpan w:val="2"/>
                  <w:vAlign w:val="center"/>
                </w:tcPr>
                <w:p>
                  <w:pPr>
                    <w:pStyle w:val="30"/>
                    <w:bidi w:val="0"/>
                    <w:spacing w:line="240" w:lineRule="auto"/>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水泥</w:t>
                  </w:r>
                </w:p>
              </w:tc>
              <w:tc>
                <w:tcPr>
                  <w:tcW w:w="987" w:type="pct"/>
                  <w:vAlign w:val="center"/>
                </w:tcPr>
                <w:p>
                  <w:pPr>
                    <w:pStyle w:val="30"/>
                    <w:bidi w:val="0"/>
                    <w:spacing w:line="240" w:lineRule="auto"/>
                    <w:rPr>
                      <w:rFonts w:hint="default" w:ascii="Times New Roman" w:hAnsi="Times New Roman" w:eastAsia="宋体" w:cs="Times New Roman"/>
                      <w:b w:val="0"/>
                      <w:bCs w:val="0"/>
                      <w:color w:val="auto"/>
                      <w:lang w:val="en-US" w:eastAsia="zh-CN"/>
                    </w:rPr>
                  </w:pPr>
                  <w:r>
                    <w:rPr>
                      <w:rFonts w:hint="default" w:ascii="Times New Roman" w:hAnsi="Times New Roman" w:cs="Times New Roman"/>
                      <w:b w:val="0"/>
                      <w:bCs w:val="0"/>
                      <w:color w:val="auto"/>
                      <w:lang w:val="en-US" w:eastAsia="zh-CN"/>
                    </w:rPr>
                    <w:t>4</w:t>
                  </w:r>
                  <w:r>
                    <w:rPr>
                      <w:rFonts w:hint="eastAsia" w:cs="Times New Roman"/>
                      <w:b w:val="0"/>
                      <w:bCs w:val="0"/>
                      <w:color w:val="auto"/>
                      <w:lang w:val="en-US" w:eastAsia="zh-CN"/>
                    </w:rPr>
                    <w:t>.</w:t>
                  </w:r>
                  <w:r>
                    <w:rPr>
                      <w:rFonts w:hint="default" w:ascii="Times New Roman" w:hAnsi="Times New Roman" w:cs="Times New Roman"/>
                      <w:b w:val="0"/>
                      <w:bCs w:val="0"/>
                      <w:color w:val="auto"/>
                      <w:lang w:val="en-US" w:eastAsia="zh-CN"/>
                    </w:rPr>
                    <w:t>9</w:t>
                  </w:r>
                </w:p>
              </w:tc>
              <w:tc>
                <w:tcPr>
                  <w:tcW w:w="1206" w:type="pct"/>
                  <w:vMerge w:val="continue"/>
                  <w:vAlign w:val="center"/>
                </w:tcPr>
                <w:p>
                  <w:pPr>
                    <w:pStyle w:val="30"/>
                    <w:bidi w:val="0"/>
                    <w:spacing w:line="240" w:lineRule="auto"/>
                    <w:rPr>
                      <w:rFonts w:hint="default" w:ascii="Times New Roman" w:hAnsi="Times New Roman" w:eastAsia="宋体" w:cs="Times New Roman"/>
                      <w:b w:val="0"/>
                      <w:bCs w:val="0"/>
                      <w:color w:val="auto"/>
                      <w:lang w:val="en-US" w:eastAsia="zh-CN"/>
                    </w:rPr>
                  </w:pPr>
                </w:p>
              </w:tc>
              <w:tc>
                <w:tcPr>
                  <w:tcW w:w="1377" w:type="pct"/>
                  <w:vMerge w:val="continue"/>
                  <w:vAlign w:val="center"/>
                </w:tcPr>
                <w:p>
                  <w:pPr>
                    <w:pStyle w:val="30"/>
                    <w:bidi w:val="0"/>
                    <w:spacing w:line="240" w:lineRule="auto"/>
                    <w:rPr>
                      <w:rFonts w:hint="default" w:ascii="Times New Roman" w:hAnsi="Times New Roman" w:eastAsia="宋体" w:cs="Times New Roman"/>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428" w:type="pct"/>
                  <w:gridSpan w:val="2"/>
                  <w:vAlign w:val="center"/>
                </w:tcPr>
                <w:p>
                  <w:pPr>
                    <w:pStyle w:val="30"/>
                    <w:bidi w:val="0"/>
                    <w:spacing w:line="240" w:lineRule="auto"/>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外加剂</w:t>
                  </w:r>
                </w:p>
                <w:p>
                  <w:pPr>
                    <w:pStyle w:val="30"/>
                    <w:bidi w:val="0"/>
                    <w:spacing w:line="240" w:lineRule="auto"/>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（减水剂）</w:t>
                  </w:r>
                </w:p>
              </w:tc>
              <w:tc>
                <w:tcPr>
                  <w:tcW w:w="987" w:type="pct"/>
                  <w:vAlign w:val="center"/>
                </w:tcPr>
                <w:p>
                  <w:pPr>
                    <w:pStyle w:val="30"/>
                    <w:bidi w:val="0"/>
                    <w:spacing w:line="240" w:lineRule="auto"/>
                    <w:rPr>
                      <w:rFonts w:hint="default" w:ascii="Times New Roman" w:hAnsi="Times New Roman" w:eastAsia="宋体" w:cs="Times New Roman"/>
                      <w:b w:val="0"/>
                      <w:bCs w:val="0"/>
                      <w:color w:val="auto"/>
                      <w:lang w:val="en-US" w:eastAsia="zh-CN"/>
                    </w:rPr>
                  </w:pPr>
                  <w:r>
                    <w:rPr>
                      <w:rFonts w:hint="eastAsia" w:cs="Times New Roman"/>
                      <w:b w:val="0"/>
                      <w:bCs w:val="0"/>
                      <w:color w:val="auto"/>
                      <w:lang w:val="en-US" w:eastAsia="zh-CN"/>
                    </w:rPr>
                    <w:t>0.</w:t>
                  </w:r>
                  <w:r>
                    <w:rPr>
                      <w:rFonts w:hint="default" w:ascii="Times New Roman" w:hAnsi="Times New Roman" w:cs="Times New Roman"/>
                      <w:b w:val="0"/>
                      <w:bCs w:val="0"/>
                      <w:color w:val="auto"/>
                      <w:lang w:val="en-US" w:eastAsia="zh-CN"/>
                    </w:rPr>
                    <w:t>15</w:t>
                  </w:r>
                </w:p>
              </w:tc>
              <w:tc>
                <w:tcPr>
                  <w:tcW w:w="1206" w:type="pct"/>
                  <w:vMerge w:val="continue"/>
                  <w:vAlign w:val="center"/>
                </w:tcPr>
                <w:p>
                  <w:pPr>
                    <w:pStyle w:val="30"/>
                    <w:bidi w:val="0"/>
                    <w:spacing w:line="240" w:lineRule="auto"/>
                    <w:rPr>
                      <w:rFonts w:hint="default" w:ascii="Times New Roman" w:hAnsi="Times New Roman" w:eastAsia="宋体" w:cs="Times New Roman"/>
                      <w:b w:val="0"/>
                      <w:bCs w:val="0"/>
                      <w:color w:val="auto"/>
                      <w:lang w:val="en-US" w:eastAsia="zh-CN"/>
                    </w:rPr>
                  </w:pPr>
                </w:p>
              </w:tc>
              <w:tc>
                <w:tcPr>
                  <w:tcW w:w="1377" w:type="pct"/>
                  <w:vMerge w:val="continue"/>
                  <w:vAlign w:val="center"/>
                </w:tcPr>
                <w:p>
                  <w:pPr>
                    <w:pStyle w:val="30"/>
                    <w:bidi w:val="0"/>
                    <w:spacing w:line="240" w:lineRule="auto"/>
                    <w:rPr>
                      <w:rFonts w:hint="default" w:ascii="Times New Roman" w:hAnsi="Times New Roman" w:eastAsia="宋体" w:cs="Times New Roman"/>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8" w:type="pct"/>
                  <w:gridSpan w:val="2"/>
                  <w:vAlign w:val="center"/>
                </w:tcPr>
                <w:p>
                  <w:pPr>
                    <w:pStyle w:val="30"/>
                    <w:bidi w:val="0"/>
                    <w:spacing w:line="240" w:lineRule="auto"/>
                    <w:rPr>
                      <w:rFonts w:hint="default" w:ascii="Times New Roman" w:hAnsi="Times New Roman" w:eastAsia="宋体" w:cs="Times New Roman"/>
                      <w:b w:val="0"/>
                      <w:bCs w:val="0"/>
                      <w:color w:val="auto"/>
                      <w:lang w:val="en-US" w:eastAsia="zh-CN"/>
                    </w:rPr>
                  </w:pPr>
                  <w:r>
                    <w:rPr>
                      <w:rFonts w:hint="default" w:ascii="Times New Roman" w:hAnsi="Times New Roman" w:cs="Times New Roman"/>
                      <w:b w:val="0"/>
                      <w:bCs w:val="0"/>
                      <w:color w:val="auto"/>
                      <w:lang w:val="en-US" w:eastAsia="zh-CN"/>
                    </w:rPr>
                    <w:t>水</w:t>
                  </w:r>
                </w:p>
              </w:tc>
              <w:tc>
                <w:tcPr>
                  <w:tcW w:w="987" w:type="pct"/>
                  <w:vAlign w:val="center"/>
                </w:tcPr>
                <w:p>
                  <w:pPr>
                    <w:pStyle w:val="30"/>
                    <w:bidi w:val="0"/>
                    <w:spacing w:line="240" w:lineRule="auto"/>
                    <w:rPr>
                      <w:rFonts w:hint="default" w:ascii="Times New Roman" w:hAnsi="Times New Roman" w:eastAsia="宋体" w:cs="Times New Roman"/>
                      <w:b w:val="0"/>
                      <w:bCs w:val="0"/>
                      <w:color w:val="auto"/>
                      <w:lang w:val="en-US" w:eastAsia="zh-CN"/>
                    </w:rPr>
                  </w:pPr>
                  <w:r>
                    <w:rPr>
                      <w:rFonts w:hint="eastAsia" w:ascii="Times New Roman" w:hAnsi="Times New Roman" w:cs="Times New Roman"/>
                      <w:b w:val="0"/>
                      <w:bCs w:val="0"/>
                      <w:color w:val="auto"/>
                      <w:lang w:val="en-US" w:eastAsia="zh-CN"/>
                    </w:rPr>
                    <w:t>3</w:t>
                  </w:r>
                </w:p>
              </w:tc>
              <w:tc>
                <w:tcPr>
                  <w:tcW w:w="1206" w:type="pct"/>
                  <w:vMerge w:val="continue"/>
                  <w:vAlign w:val="center"/>
                </w:tcPr>
                <w:p>
                  <w:pPr>
                    <w:pStyle w:val="30"/>
                    <w:bidi w:val="0"/>
                    <w:spacing w:line="240" w:lineRule="auto"/>
                    <w:rPr>
                      <w:rFonts w:hint="default" w:ascii="Times New Roman" w:hAnsi="Times New Roman" w:eastAsia="宋体" w:cs="Times New Roman"/>
                      <w:b w:val="0"/>
                      <w:bCs w:val="0"/>
                      <w:color w:val="auto"/>
                      <w:lang w:val="en-US" w:eastAsia="zh-CN"/>
                    </w:rPr>
                  </w:pPr>
                </w:p>
              </w:tc>
              <w:tc>
                <w:tcPr>
                  <w:tcW w:w="1377" w:type="pct"/>
                  <w:vMerge w:val="continue"/>
                  <w:vAlign w:val="center"/>
                </w:tcPr>
                <w:p>
                  <w:pPr>
                    <w:pStyle w:val="30"/>
                    <w:bidi w:val="0"/>
                    <w:spacing w:line="240" w:lineRule="auto"/>
                    <w:rPr>
                      <w:rFonts w:hint="default" w:ascii="Times New Roman" w:hAnsi="Times New Roman" w:eastAsia="宋体" w:cs="Times New Roman"/>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8" w:type="pct"/>
                  <w:gridSpan w:val="2"/>
                  <w:vAlign w:val="center"/>
                </w:tcPr>
                <w:p>
                  <w:pPr>
                    <w:pStyle w:val="30"/>
                    <w:bidi w:val="0"/>
                    <w:spacing w:line="240" w:lineRule="auto"/>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合计</w:t>
                  </w:r>
                </w:p>
              </w:tc>
              <w:tc>
                <w:tcPr>
                  <w:tcW w:w="987" w:type="pct"/>
                  <w:vAlign w:val="center"/>
                </w:tcPr>
                <w:p>
                  <w:pPr>
                    <w:pStyle w:val="30"/>
                    <w:bidi w:val="0"/>
                    <w:spacing w:line="240" w:lineRule="auto"/>
                    <w:rPr>
                      <w:rFonts w:hint="default" w:ascii="Times New Roman" w:hAnsi="Times New Roman" w:eastAsia="宋体" w:cs="Times New Roman"/>
                      <w:b w:val="0"/>
                      <w:bCs w:val="0"/>
                      <w:color w:val="auto"/>
                      <w:lang w:val="en-US" w:eastAsia="zh-CN"/>
                    </w:rPr>
                  </w:pPr>
                  <w:r>
                    <w:rPr>
                      <w:rFonts w:hint="default" w:ascii="Times New Roman" w:hAnsi="Times New Roman" w:cs="Times New Roman"/>
                      <w:b w:val="0"/>
                      <w:bCs w:val="0"/>
                      <w:color w:val="auto"/>
                      <w:lang w:val="en-US" w:eastAsia="zh-CN"/>
                    </w:rPr>
                    <w:t>48</w:t>
                  </w:r>
                  <w:r>
                    <w:rPr>
                      <w:rFonts w:hint="eastAsia" w:cs="Times New Roman"/>
                      <w:b w:val="0"/>
                      <w:bCs w:val="0"/>
                      <w:color w:val="auto"/>
                      <w:lang w:val="en-US" w:eastAsia="zh-CN"/>
                    </w:rPr>
                    <w:t>.</w:t>
                  </w:r>
                  <w:r>
                    <w:rPr>
                      <w:rFonts w:hint="eastAsia" w:ascii="Times New Roman" w:hAnsi="Times New Roman" w:cs="Times New Roman"/>
                      <w:b w:val="0"/>
                      <w:bCs w:val="0"/>
                      <w:color w:val="auto"/>
                      <w:lang w:val="en-US" w:eastAsia="zh-CN"/>
                    </w:rPr>
                    <w:t>7</w:t>
                  </w:r>
                  <w:r>
                    <w:rPr>
                      <w:rFonts w:hint="default" w:ascii="Times New Roman" w:hAnsi="Times New Roman" w:cs="Times New Roman"/>
                      <w:b w:val="0"/>
                      <w:bCs w:val="0"/>
                      <w:color w:val="auto"/>
                      <w:lang w:val="en-US" w:eastAsia="zh-CN"/>
                    </w:rPr>
                    <w:t>5</w:t>
                  </w:r>
                </w:p>
              </w:tc>
              <w:tc>
                <w:tcPr>
                  <w:tcW w:w="1206" w:type="pct"/>
                  <w:vAlign w:val="center"/>
                </w:tcPr>
                <w:p>
                  <w:pPr>
                    <w:pStyle w:val="30"/>
                    <w:bidi w:val="0"/>
                    <w:spacing w:line="240" w:lineRule="auto"/>
                    <w:rPr>
                      <w:rFonts w:hint="default" w:ascii="Times New Roman" w:hAnsi="Times New Roman" w:eastAsia="宋体" w:cs="Times New Roman"/>
                      <w:b w:val="0"/>
                      <w:bCs w:val="0"/>
                      <w:color w:val="auto"/>
                      <w:lang w:val="en-US" w:eastAsia="zh-CN"/>
                    </w:rPr>
                  </w:pPr>
                  <w:r>
                    <w:rPr>
                      <w:rFonts w:hint="default" w:ascii="Times New Roman" w:hAnsi="Times New Roman" w:eastAsia="宋体" w:cs="Times New Roman"/>
                      <w:b w:val="0"/>
                      <w:bCs w:val="0"/>
                      <w:color w:val="auto"/>
                      <w:lang w:val="en-US" w:eastAsia="zh-CN"/>
                    </w:rPr>
                    <w:t>合计</w:t>
                  </w:r>
                </w:p>
              </w:tc>
              <w:tc>
                <w:tcPr>
                  <w:tcW w:w="1377" w:type="pct"/>
                  <w:vAlign w:val="center"/>
                </w:tcPr>
                <w:p>
                  <w:pPr>
                    <w:pStyle w:val="30"/>
                    <w:bidi w:val="0"/>
                    <w:spacing w:line="240" w:lineRule="auto"/>
                    <w:rPr>
                      <w:rFonts w:hint="default" w:ascii="Times New Roman" w:hAnsi="Times New Roman" w:eastAsia="宋体" w:cs="Times New Roman"/>
                      <w:b w:val="0"/>
                      <w:bCs w:val="0"/>
                      <w:color w:val="auto"/>
                      <w:lang w:val="en-US" w:eastAsia="zh-CN"/>
                    </w:rPr>
                  </w:pPr>
                  <w:r>
                    <w:rPr>
                      <w:rFonts w:hint="default" w:ascii="Times New Roman" w:hAnsi="Times New Roman" w:cs="Times New Roman"/>
                      <w:b w:val="0"/>
                      <w:bCs w:val="0"/>
                      <w:color w:val="auto"/>
                      <w:lang w:val="en-US" w:eastAsia="zh-CN"/>
                    </w:rPr>
                    <w:t>48</w:t>
                  </w:r>
                  <w:r>
                    <w:rPr>
                      <w:rFonts w:hint="eastAsia" w:cs="Times New Roman"/>
                      <w:b w:val="0"/>
                      <w:bCs w:val="0"/>
                      <w:color w:val="auto"/>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5"/>
                  <w:vAlign w:val="center"/>
                </w:tcPr>
                <w:p>
                  <w:pPr>
                    <w:pStyle w:val="30"/>
                    <w:bidi w:val="0"/>
                    <w:spacing w:line="240" w:lineRule="auto"/>
                    <w:jc w:val="left"/>
                    <w:rPr>
                      <w:rFonts w:hint="default" w:ascii="Times New Roman" w:hAnsi="Times New Roman" w:eastAsia="宋体" w:cs="Times New Roman"/>
                      <w:b w:val="0"/>
                      <w:bCs w:val="0"/>
                      <w:color w:val="auto"/>
                      <w:lang w:val="en-US" w:eastAsia="zh-CN"/>
                    </w:rPr>
                  </w:pPr>
                  <w:r>
                    <w:rPr>
                      <w:rFonts w:hint="default" w:ascii="Times New Roman" w:hAnsi="Times New Roman" w:cs="Times New Roman"/>
                      <w:b w:val="0"/>
                      <w:bCs w:val="0"/>
                      <w:color w:val="auto"/>
                      <w:lang w:val="en-US" w:eastAsia="zh-CN"/>
                    </w:rPr>
                    <w:t>备注：系数2.4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8" w:type="pct"/>
                  <w:gridSpan w:val="2"/>
                  <w:vAlign w:val="center"/>
                </w:tcPr>
                <w:p>
                  <w:pPr>
                    <w:pStyle w:val="30"/>
                    <w:bidi w:val="0"/>
                    <w:spacing w:line="240" w:lineRule="auto"/>
                    <w:jc w:val="center"/>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碎石</w:t>
                  </w:r>
                </w:p>
              </w:tc>
              <w:tc>
                <w:tcPr>
                  <w:tcW w:w="987" w:type="pct"/>
                  <w:vAlign w:val="center"/>
                </w:tcPr>
                <w:p>
                  <w:pPr>
                    <w:pStyle w:val="30"/>
                    <w:bidi w:val="0"/>
                    <w:spacing w:line="240" w:lineRule="auto"/>
                    <w:jc w:val="center"/>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5</w:t>
                  </w:r>
                  <w:r>
                    <w:rPr>
                      <w:rFonts w:hint="eastAsia" w:cs="Times New Roman"/>
                      <w:b w:val="0"/>
                      <w:bCs w:val="0"/>
                      <w:color w:val="auto"/>
                      <w:lang w:val="en-US" w:eastAsia="zh-CN"/>
                    </w:rPr>
                    <w:t>.</w:t>
                  </w:r>
                  <w:r>
                    <w:rPr>
                      <w:rFonts w:hint="default" w:ascii="Times New Roman" w:hAnsi="Times New Roman" w:cs="Times New Roman"/>
                      <w:b w:val="0"/>
                      <w:bCs w:val="0"/>
                      <w:color w:val="auto"/>
                      <w:lang w:val="en-US" w:eastAsia="zh-CN"/>
                    </w:rPr>
                    <w:t>9</w:t>
                  </w:r>
                </w:p>
              </w:tc>
              <w:tc>
                <w:tcPr>
                  <w:tcW w:w="1206" w:type="pct"/>
                  <w:vAlign w:val="center"/>
                </w:tcPr>
                <w:p>
                  <w:pPr>
                    <w:pStyle w:val="30"/>
                    <w:bidi w:val="0"/>
                    <w:spacing w:line="240" w:lineRule="auto"/>
                    <w:jc w:val="center"/>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水稳料</w:t>
                  </w:r>
                </w:p>
              </w:tc>
              <w:tc>
                <w:tcPr>
                  <w:tcW w:w="1377" w:type="pct"/>
                  <w:vAlign w:val="center"/>
                </w:tcPr>
                <w:p>
                  <w:pPr>
                    <w:pStyle w:val="30"/>
                    <w:bidi w:val="0"/>
                    <w:spacing w:line="240" w:lineRule="auto"/>
                    <w:jc w:val="center"/>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10</w:t>
                  </w:r>
                  <w:r>
                    <w:rPr>
                      <w:rFonts w:hint="eastAsia" w:cs="Times New Roman"/>
                      <w:b w:val="0"/>
                      <w:bCs w:val="0"/>
                      <w:color w:val="auto"/>
                      <w:lang w:val="en-US" w:eastAsia="zh-CN"/>
                    </w:rPr>
                    <w:t>.</w:t>
                  </w:r>
                  <w:r>
                    <w:rPr>
                      <w:rFonts w:hint="default" w:ascii="Times New Roman" w:hAnsi="Times New Roman" w:cs="Times New Roman"/>
                      <w:b w:val="0"/>
                      <w:bCs w:val="0"/>
                      <w:color w:val="auto"/>
                      <w:lang w:val="en-US" w:eastAsia="zh-CN"/>
                    </w:rPr>
                    <w:t>5（5</w:t>
                  </w:r>
                  <w:r>
                    <w:rPr>
                      <w:rFonts w:hint="eastAsia" w:cs="Times New Roman"/>
                      <w:b w:val="0"/>
                      <w:bCs w:val="0"/>
                      <w:color w:val="auto"/>
                      <w:lang w:val="en-US" w:eastAsia="zh-CN"/>
                    </w:rPr>
                    <w:t>万</w:t>
                  </w:r>
                  <w:r>
                    <w:rPr>
                      <w:rFonts w:hint="default" w:ascii="Times New Roman" w:hAnsi="Times New Roman" w:cs="Times New Roman"/>
                      <w:b w:val="0"/>
                      <w:bCs w:val="0"/>
                      <w:color w:val="auto"/>
                      <w:lang w:val="en-US" w:eastAsia="zh-CN"/>
                    </w:rPr>
                    <w:t>m</w:t>
                  </w:r>
                  <w:r>
                    <w:rPr>
                      <w:rFonts w:hint="default" w:ascii="Times New Roman" w:hAnsi="Times New Roman" w:cs="Times New Roman"/>
                      <w:b w:val="0"/>
                      <w:bCs w:val="0"/>
                      <w:color w:val="auto"/>
                      <w:vertAlign w:val="superscript"/>
                      <w:lang w:val="en-US" w:eastAsia="zh-CN"/>
                    </w:rPr>
                    <w:t>3</w:t>
                  </w:r>
                  <w:r>
                    <w:rPr>
                      <w:rFonts w:hint="default" w:ascii="Times New Roman" w:hAnsi="Times New Roman" w:cs="Times New Roman"/>
                      <w:b w:val="0"/>
                      <w:bCs w:val="0"/>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8" w:type="pct"/>
                  <w:gridSpan w:val="2"/>
                  <w:vAlign w:val="center"/>
                </w:tcPr>
                <w:p>
                  <w:pPr>
                    <w:pStyle w:val="30"/>
                    <w:bidi w:val="0"/>
                    <w:spacing w:line="240" w:lineRule="auto"/>
                    <w:jc w:val="center"/>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砂子</w:t>
                  </w:r>
                </w:p>
              </w:tc>
              <w:tc>
                <w:tcPr>
                  <w:tcW w:w="987" w:type="pct"/>
                  <w:vAlign w:val="center"/>
                </w:tcPr>
                <w:p>
                  <w:pPr>
                    <w:pStyle w:val="30"/>
                    <w:bidi w:val="0"/>
                    <w:spacing w:line="240" w:lineRule="auto"/>
                    <w:jc w:val="center"/>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3</w:t>
                  </w:r>
                  <w:r>
                    <w:rPr>
                      <w:rFonts w:hint="eastAsia" w:cs="Times New Roman"/>
                      <w:b w:val="0"/>
                      <w:bCs w:val="0"/>
                      <w:color w:val="auto"/>
                      <w:lang w:val="en-US" w:eastAsia="zh-CN"/>
                    </w:rPr>
                    <w:t>.</w:t>
                  </w:r>
                  <w:r>
                    <w:rPr>
                      <w:rFonts w:hint="default" w:ascii="Times New Roman" w:hAnsi="Times New Roman" w:cs="Times New Roman"/>
                      <w:b w:val="0"/>
                      <w:bCs w:val="0"/>
                      <w:color w:val="auto"/>
                      <w:lang w:val="en-US" w:eastAsia="zh-CN"/>
                    </w:rPr>
                    <w:t>8</w:t>
                  </w:r>
                </w:p>
              </w:tc>
              <w:tc>
                <w:tcPr>
                  <w:tcW w:w="1206" w:type="pct"/>
                  <w:vMerge w:val="restart"/>
                  <w:vAlign w:val="center"/>
                </w:tcPr>
                <w:p>
                  <w:pPr>
                    <w:pStyle w:val="30"/>
                    <w:bidi w:val="0"/>
                    <w:spacing w:line="240" w:lineRule="auto"/>
                    <w:jc w:val="center"/>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损耗</w:t>
                  </w:r>
                </w:p>
              </w:tc>
              <w:tc>
                <w:tcPr>
                  <w:tcW w:w="1377" w:type="pct"/>
                  <w:vMerge w:val="restart"/>
                  <w:vAlign w:val="center"/>
                </w:tcPr>
                <w:p>
                  <w:pPr>
                    <w:pStyle w:val="30"/>
                    <w:bidi w:val="0"/>
                    <w:spacing w:line="240" w:lineRule="auto"/>
                    <w:jc w:val="center"/>
                    <w:rPr>
                      <w:rFonts w:hint="default" w:ascii="Times New Roman" w:hAnsi="Times New Roman" w:cs="Times New Roman"/>
                      <w:b w:val="0"/>
                      <w:bCs w:val="0"/>
                      <w:color w:val="auto"/>
                      <w:lang w:val="en-US" w:eastAsia="zh-CN"/>
                    </w:rPr>
                  </w:pPr>
                  <w:r>
                    <w:rPr>
                      <w:rFonts w:hint="eastAsia" w:cs="Times New Roman"/>
                      <w:b w:val="0"/>
                      <w:bCs w:val="0"/>
                      <w:color w:val="auto"/>
                      <w:lang w:val="en-US" w:eastAsia="zh-CN"/>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8" w:type="pct"/>
                  <w:gridSpan w:val="2"/>
                  <w:vAlign w:val="center"/>
                </w:tcPr>
                <w:p>
                  <w:pPr>
                    <w:pStyle w:val="30"/>
                    <w:bidi w:val="0"/>
                    <w:spacing w:line="240" w:lineRule="auto"/>
                    <w:jc w:val="center"/>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水泥</w:t>
                  </w:r>
                </w:p>
              </w:tc>
              <w:tc>
                <w:tcPr>
                  <w:tcW w:w="987" w:type="pct"/>
                  <w:vAlign w:val="center"/>
                </w:tcPr>
                <w:p>
                  <w:pPr>
                    <w:pStyle w:val="30"/>
                    <w:bidi w:val="0"/>
                    <w:spacing w:line="240" w:lineRule="auto"/>
                    <w:jc w:val="center"/>
                    <w:rPr>
                      <w:rFonts w:hint="default" w:ascii="Times New Roman" w:hAnsi="Times New Roman" w:cs="Times New Roman"/>
                      <w:b w:val="0"/>
                      <w:bCs w:val="0"/>
                      <w:color w:val="auto"/>
                      <w:lang w:val="en-US" w:eastAsia="zh-CN"/>
                    </w:rPr>
                  </w:pPr>
                  <w:r>
                    <w:rPr>
                      <w:rFonts w:hint="eastAsia" w:cs="Times New Roman"/>
                      <w:b w:val="0"/>
                      <w:bCs w:val="0"/>
                      <w:color w:val="auto"/>
                      <w:lang w:val="en-US" w:eastAsia="zh-CN"/>
                    </w:rPr>
                    <w:t>0.</w:t>
                  </w:r>
                  <w:r>
                    <w:rPr>
                      <w:rFonts w:hint="default" w:ascii="Times New Roman" w:hAnsi="Times New Roman" w:cs="Times New Roman"/>
                      <w:b w:val="0"/>
                      <w:bCs w:val="0"/>
                      <w:color w:val="auto"/>
                      <w:lang w:val="en-US" w:eastAsia="zh-CN"/>
                    </w:rPr>
                    <w:t>5</w:t>
                  </w:r>
                </w:p>
              </w:tc>
              <w:tc>
                <w:tcPr>
                  <w:tcW w:w="1206" w:type="pct"/>
                  <w:vMerge w:val="continue"/>
                  <w:vAlign w:val="center"/>
                </w:tcPr>
                <w:p>
                  <w:pPr>
                    <w:pStyle w:val="30"/>
                    <w:bidi w:val="0"/>
                    <w:spacing w:line="240" w:lineRule="auto"/>
                    <w:jc w:val="center"/>
                    <w:rPr>
                      <w:rFonts w:hint="default" w:ascii="Times New Roman" w:hAnsi="Times New Roman" w:cs="Times New Roman"/>
                      <w:b w:val="0"/>
                      <w:bCs w:val="0"/>
                      <w:color w:val="auto"/>
                      <w:lang w:val="en-US" w:eastAsia="zh-CN"/>
                    </w:rPr>
                  </w:pPr>
                </w:p>
              </w:tc>
              <w:tc>
                <w:tcPr>
                  <w:tcW w:w="1377" w:type="pct"/>
                  <w:vMerge w:val="continue"/>
                  <w:vAlign w:val="center"/>
                </w:tcPr>
                <w:p>
                  <w:pPr>
                    <w:pStyle w:val="30"/>
                    <w:bidi w:val="0"/>
                    <w:spacing w:line="240" w:lineRule="auto"/>
                    <w:jc w:val="center"/>
                    <w:rPr>
                      <w:rFonts w:hint="default" w:ascii="Times New Roman" w:hAnsi="Times New Roman" w:cs="Times New Roman"/>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8" w:type="pct"/>
                  <w:gridSpan w:val="2"/>
                  <w:vAlign w:val="center"/>
                </w:tcPr>
                <w:p>
                  <w:pPr>
                    <w:pStyle w:val="30"/>
                    <w:bidi w:val="0"/>
                    <w:spacing w:line="240" w:lineRule="auto"/>
                    <w:jc w:val="center"/>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水</w:t>
                  </w:r>
                </w:p>
              </w:tc>
              <w:tc>
                <w:tcPr>
                  <w:tcW w:w="987" w:type="pct"/>
                  <w:vAlign w:val="center"/>
                </w:tcPr>
                <w:p>
                  <w:pPr>
                    <w:pStyle w:val="30"/>
                    <w:bidi w:val="0"/>
                    <w:spacing w:line="240" w:lineRule="auto"/>
                    <w:jc w:val="center"/>
                    <w:rPr>
                      <w:rFonts w:hint="default" w:ascii="Times New Roman" w:hAnsi="Times New Roman" w:cs="Times New Roman"/>
                      <w:b w:val="0"/>
                      <w:bCs w:val="0"/>
                      <w:color w:val="auto"/>
                      <w:lang w:val="en-US" w:eastAsia="zh-CN"/>
                    </w:rPr>
                  </w:pPr>
                  <w:r>
                    <w:rPr>
                      <w:rFonts w:hint="eastAsia" w:cs="Times New Roman"/>
                      <w:b w:val="0"/>
                      <w:bCs w:val="0"/>
                      <w:color w:val="auto"/>
                      <w:lang w:val="en-US" w:eastAsia="zh-CN"/>
                    </w:rPr>
                    <w:t>0.66</w:t>
                  </w:r>
                </w:p>
              </w:tc>
              <w:tc>
                <w:tcPr>
                  <w:tcW w:w="1206" w:type="pct"/>
                  <w:vMerge w:val="continue"/>
                  <w:vAlign w:val="center"/>
                </w:tcPr>
                <w:p>
                  <w:pPr>
                    <w:pStyle w:val="30"/>
                    <w:bidi w:val="0"/>
                    <w:spacing w:line="240" w:lineRule="auto"/>
                    <w:jc w:val="center"/>
                    <w:rPr>
                      <w:rFonts w:hint="default" w:ascii="Times New Roman" w:hAnsi="Times New Roman" w:cs="Times New Roman"/>
                      <w:b w:val="0"/>
                      <w:bCs w:val="0"/>
                      <w:color w:val="auto"/>
                      <w:lang w:val="en-US" w:eastAsia="zh-CN"/>
                    </w:rPr>
                  </w:pPr>
                </w:p>
              </w:tc>
              <w:tc>
                <w:tcPr>
                  <w:tcW w:w="1377" w:type="pct"/>
                  <w:vMerge w:val="continue"/>
                  <w:vAlign w:val="center"/>
                </w:tcPr>
                <w:p>
                  <w:pPr>
                    <w:pStyle w:val="30"/>
                    <w:bidi w:val="0"/>
                    <w:spacing w:line="240" w:lineRule="auto"/>
                    <w:jc w:val="center"/>
                    <w:rPr>
                      <w:rFonts w:hint="default" w:ascii="Times New Roman" w:hAnsi="Times New Roman" w:cs="Times New Roman"/>
                      <w:b w:val="0"/>
                      <w:bCs w:val="0"/>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8" w:type="pct"/>
                  <w:gridSpan w:val="2"/>
                  <w:vAlign w:val="center"/>
                </w:tcPr>
                <w:p>
                  <w:pPr>
                    <w:pStyle w:val="30"/>
                    <w:bidi w:val="0"/>
                    <w:spacing w:line="240" w:lineRule="auto"/>
                    <w:jc w:val="center"/>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合计</w:t>
                  </w:r>
                </w:p>
              </w:tc>
              <w:tc>
                <w:tcPr>
                  <w:tcW w:w="987" w:type="pct"/>
                  <w:vAlign w:val="center"/>
                </w:tcPr>
                <w:p>
                  <w:pPr>
                    <w:pStyle w:val="30"/>
                    <w:bidi w:val="0"/>
                    <w:spacing w:line="240" w:lineRule="auto"/>
                    <w:jc w:val="center"/>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10</w:t>
                  </w:r>
                  <w:r>
                    <w:rPr>
                      <w:rFonts w:hint="eastAsia" w:cs="Times New Roman"/>
                      <w:b w:val="0"/>
                      <w:bCs w:val="0"/>
                      <w:color w:val="auto"/>
                      <w:lang w:val="en-US" w:eastAsia="zh-CN"/>
                    </w:rPr>
                    <w:t>.86</w:t>
                  </w:r>
                </w:p>
              </w:tc>
              <w:tc>
                <w:tcPr>
                  <w:tcW w:w="1206" w:type="pct"/>
                  <w:vAlign w:val="center"/>
                </w:tcPr>
                <w:p>
                  <w:pPr>
                    <w:pStyle w:val="30"/>
                    <w:bidi w:val="0"/>
                    <w:spacing w:line="240" w:lineRule="auto"/>
                    <w:jc w:val="center"/>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合计</w:t>
                  </w:r>
                </w:p>
              </w:tc>
              <w:tc>
                <w:tcPr>
                  <w:tcW w:w="1377" w:type="pct"/>
                  <w:vAlign w:val="center"/>
                </w:tcPr>
                <w:p>
                  <w:pPr>
                    <w:pStyle w:val="30"/>
                    <w:bidi w:val="0"/>
                    <w:spacing w:line="240" w:lineRule="auto"/>
                    <w:jc w:val="center"/>
                    <w:rPr>
                      <w:rFonts w:hint="default" w:ascii="Times New Roman" w:hAnsi="Times New Roman" w:cs="Times New Roman"/>
                      <w:b w:val="0"/>
                      <w:bCs w:val="0"/>
                      <w:color w:val="auto"/>
                      <w:lang w:val="en-US" w:eastAsia="zh-CN"/>
                    </w:rPr>
                  </w:pPr>
                  <w:r>
                    <w:rPr>
                      <w:rFonts w:hint="eastAsia" w:cs="Times New Roman"/>
                      <w:b w:val="0"/>
                      <w:bCs w:val="0"/>
                      <w:color w:val="auto"/>
                      <w:lang w:val="en-US" w:eastAsia="zh-CN"/>
                    </w:rPr>
                    <w:t>10.86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5000" w:type="pct"/>
                  <w:gridSpan w:val="5"/>
                  <w:vAlign w:val="center"/>
                </w:tcPr>
                <w:p>
                  <w:pPr>
                    <w:pStyle w:val="30"/>
                    <w:bidi w:val="0"/>
                    <w:spacing w:line="240" w:lineRule="auto"/>
                    <w:jc w:val="left"/>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备注：系数2.1</w:t>
                  </w:r>
                </w:p>
              </w:tc>
            </w:tr>
          </w:tbl>
          <w:p>
            <w:pPr>
              <w:ind w:left="0" w:leftChars="0" w:firstLine="0" w:firstLineChars="0"/>
              <w:rPr>
                <w:rFonts w:hint="eastAsia" w:cs="Times New Roman"/>
                <w:b/>
                <w:bCs/>
                <w:highlight w:val="none"/>
                <w:lang w:val="en-US" w:eastAsia="zh-CN"/>
              </w:rPr>
            </w:pPr>
            <w:r>
              <w:rPr>
                <w:rFonts w:hint="default" w:ascii="Times New Roman" w:hAnsi="Times New Roman" w:cs="Times New Roman"/>
                <w:b/>
                <w:bCs/>
                <w:highlight w:val="none"/>
                <w:lang w:val="en-US" w:eastAsia="zh-CN"/>
              </w:rPr>
              <w:t>4</w:t>
            </w:r>
            <w:r>
              <w:rPr>
                <w:rFonts w:hint="default" w:ascii="Times New Roman" w:hAnsi="Times New Roman" w:cs="Times New Roman"/>
                <w:b/>
                <w:bCs/>
                <w:highlight w:val="none"/>
              </w:rPr>
              <w:t>.</w:t>
            </w:r>
            <w:r>
              <w:rPr>
                <w:rFonts w:hint="default" w:ascii="Times New Roman" w:hAnsi="Times New Roman" w:cs="Times New Roman"/>
                <w:b/>
                <w:bCs/>
                <w:highlight w:val="none"/>
                <w:lang w:val="en-US" w:eastAsia="zh-CN"/>
              </w:rPr>
              <w:t>3</w:t>
            </w:r>
            <w:r>
              <w:rPr>
                <w:rFonts w:hint="eastAsia" w:cs="Times New Roman"/>
                <w:b/>
                <w:bCs/>
                <w:highlight w:val="none"/>
                <w:lang w:val="en-US" w:eastAsia="zh-CN"/>
              </w:rPr>
              <w:t>产品方案</w:t>
            </w:r>
          </w:p>
          <w:p>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本项目最终产品为商品混凝土</w:t>
            </w:r>
            <w:r>
              <w:rPr>
                <w:rFonts w:hint="eastAsia" w:ascii="Times New Roman" w:hAnsi="Times New Roman" w:eastAsia="宋体" w:cs="Times New Roman"/>
                <w:color w:val="auto"/>
                <w:kern w:val="0"/>
                <w:sz w:val="24"/>
                <w:lang w:eastAsia="zh-CN"/>
              </w:rPr>
              <w:t>、</w:t>
            </w:r>
            <w:r>
              <w:rPr>
                <w:rFonts w:hint="eastAsia" w:ascii="Times New Roman" w:hAnsi="Times New Roman" w:eastAsia="宋体" w:cs="Times New Roman"/>
                <w:color w:val="auto"/>
                <w:kern w:val="0"/>
                <w:sz w:val="24"/>
                <w:lang w:val="en-US" w:eastAsia="zh-CN"/>
              </w:rPr>
              <w:t>水稳料</w:t>
            </w:r>
            <w:r>
              <w:rPr>
                <w:rFonts w:ascii="Times New Roman" w:hAnsi="Times New Roman" w:eastAsia="宋体" w:cs="Times New Roman"/>
                <w:color w:val="auto"/>
                <w:kern w:val="0"/>
                <w:sz w:val="24"/>
              </w:rPr>
              <w:t>。产品方案见表2-</w:t>
            </w:r>
            <w:r>
              <w:rPr>
                <w:rFonts w:hint="eastAsia" w:ascii="Times New Roman" w:hAnsi="Times New Roman" w:eastAsia="宋体" w:cs="Times New Roman"/>
                <w:color w:val="auto"/>
                <w:kern w:val="0"/>
                <w:sz w:val="24"/>
                <w:lang w:val="en-US" w:eastAsia="zh-CN"/>
              </w:rPr>
              <w:t>5</w:t>
            </w:r>
            <w:r>
              <w:rPr>
                <w:rFonts w:ascii="Times New Roman" w:hAnsi="Times New Roman" w:eastAsia="宋体" w:cs="Times New Roman"/>
                <w:color w:val="auto"/>
                <w:kern w:val="0"/>
                <w:sz w:val="24"/>
              </w:rPr>
              <w:t>。</w:t>
            </w:r>
          </w:p>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18"/>
                <w:highlight w:val="none"/>
              </w:rPr>
            </w:pPr>
            <w:r>
              <w:rPr>
                <w:rFonts w:hint="default" w:ascii="Times New Roman" w:hAnsi="Times New Roman" w:eastAsia="宋体" w:cs="Times New Roman"/>
                <w:color w:val="auto"/>
                <w:sz w:val="21"/>
                <w:szCs w:val="18"/>
                <w:highlight w:val="none"/>
              </w:rPr>
              <w:t>表2-</w:t>
            </w:r>
            <w:r>
              <w:rPr>
                <w:rFonts w:hint="eastAsia" w:ascii="Times New Roman" w:hAnsi="Times New Roman" w:eastAsia="宋体" w:cs="Times New Roman"/>
                <w:color w:val="auto"/>
                <w:sz w:val="21"/>
                <w:szCs w:val="18"/>
                <w:highlight w:val="none"/>
                <w:lang w:val="en-US" w:eastAsia="zh-CN"/>
              </w:rPr>
              <w:t>5</w:t>
            </w:r>
            <w:r>
              <w:rPr>
                <w:rFonts w:hint="default" w:ascii="Times New Roman" w:hAnsi="Times New Roman" w:eastAsia="宋体" w:cs="Times New Roman"/>
                <w:color w:val="auto"/>
                <w:sz w:val="21"/>
                <w:szCs w:val="18"/>
                <w:highlight w:val="none"/>
              </w:rPr>
              <w:t xml:space="preserve">    本项目产品方案一览表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2189"/>
              <w:gridCol w:w="3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93" w:type="pct"/>
                  <w:vAlign w:val="center"/>
                </w:tcPr>
                <w:p>
                  <w:pPr>
                    <w:pStyle w:val="12"/>
                    <w:spacing w:before="0" w:after="0" w:line="240" w:lineRule="auto"/>
                    <w:ind w:right="0"/>
                    <w:jc w:val="center"/>
                    <w:rPr>
                      <w:b/>
                      <w:bCs/>
                      <w:color w:val="auto"/>
                      <w:kern w:val="2"/>
                      <w:sz w:val="21"/>
                      <w:szCs w:val="21"/>
                      <w:highlight w:val="none"/>
                    </w:rPr>
                  </w:pPr>
                  <w:r>
                    <w:rPr>
                      <w:b/>
                      <w:bCs/>
                      <w:color w:val="auto"/>
                      <w:kern w:val="2"/>
                      <w:sz w:val="21"/>
                      <w:szCs w:val="21"/>
                      <w:highlight w:val="none"/>
                    </w:rPr>
                    <w:t>产品名称</w:t>
                  </w:r>
                </w:p>
              </w:tc>
              <w:tc>
                <w:tcPr>
                  <w:tcW w:w="1373" w:type="pct"/>
                  <w:vAlign w:val="center"/>
                </w:tcPr>
                <w:p>
                  <w:pPr>
                    <w:pStyle w:val="12"/>
                    <w:spacing w:before="0" w:after="0" w:line="240" w:lineRule="auto"/>
                    <w:ind w:right="0"/>
                    <w:jc w:val="center"/>
                    <w:rPr>
                      <w:b/>
                      <w:bCs/>
                      <w:color w:val="auto"/>
                      <w:kern w:val="2"/>
                      <w:sz w:val="21"/>
                      <w:szCs w:val="21"/>
                      <w:highlight w:val="none"/>
                    </w:rPr>
                  </w:pPr>
                  <w:r>
                    <w:rPr>
                      <w:b/>
                      <w:bCs/>
                      <w:color w:val="auto"/>
                      <w:kern w:val="2"/>
                      <w:sz w:val="21"/>
                      <w:szCs w:val="21"/>
                      <w:highlight w:val="none"/>
                    </w:rPr>
                    <w:t>数量</w:t>
                  </w:r>
                </w:p>
              </w:tc>
              <w:tc>
                <w:tcPr>
                  <w:tcW w:w="2032" w:type="pct"/>
                  <w:vAlign w:val="center"/>
                </w:tcPr>
                <w:p>
                  <w:pPr>
                    <w:pStyle w:val="12"/>
                    <w:spacing w:before="0" w:after="0" w:line="240" w:lineRule="auto"/>
                    <w:ind w:right="0"/>
                    <w:jc w:val="center"/>
                    <w:rPr>
                      <w:b/>
                      <w:bCs/>
                      <w:color w:val="auto"/>
                      <w:kern w:val="2"/>
                      <w:sz w:val="21"/>
                      <w:szCs w:val="21"/>
                      <w:highlight w:val="none"/>
                    </w:rPr>
                  </w:pPr>
                  <w:r>
                    <w:rPr>
                      <w:b/>
                      <w:bCs/>
                      <w:color w:val="auto"/>
                      <w:kern w:val="2"/>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93" w:type="pct"/>
                  <w:vAlign w:val="center"/>
                </w:tcPr>
                <w:p>
                  <w:pPr>
                    <w:pStyle w:val="12"/>
                    <w:spacing w:before="0" w:after="0" w:line="240" w:lineRule="auto"/>
                    <w:ind w:left="0" w:leftChars="0" w:right="0" w:firstLine="0" w:firstLineChars="0"/>
                    <w:jc w:val="center"/>
                    <w:rPr>
                      <w:color w:val="auto"/>
                      <w:kern w:val="2"/>
                      <w:sz w:val="21"/>
                      <w:szCs w:val="21"/>
                      <w:highlight w:val="none"/>
                    </w:rPr>
                  </w:pPr>
                  <w:r>
                    <w:rPr>
                      <w:rFonts w:hint="eastAsia"/>
                      <w:color w:val="auto"/>
                      <w:kern w:val="2"/>
                      <w:sz w:val="21"/>
                      <w:szCs w:val="21"/>
                      <w:highlight w:val="none"/>
                      <w:lang w:val="en-US" w:eastAsia="zh-CN"/>
                    </w:rPr>
                    <w:t>各种规格号</w:t>
                  </w:r>
                  <w:r>
                    <w:rPr>
                      <w:color w:val="auto"/>
                      <w:kern w:val="2"/>
                      <w:sz w:val="21"/>
                      <w:szCs w:val="21"/>
                      <w:highlight w:val="none"/>
                    </w:rPr>
                    <w:t>商品混凝土</w:t>
                  </w:r>
                </w:p>
              </w:tc>
              <w:tc>
                <w:tcPr>
                  <w:tcW w:w="1373" w:type="pct"/>
                  <w:vAlign w:val="center"/>
                </w:tcPr>
                <w:p>
                  <w:pPr>
                    <w:pStyle w:val="12"/>
                    <w:spacing w:before="0" w:after="0" w:line="240" w:lineRule="auto"/>
                    <w:ind w:right="0"/>
                    <w:jc w:val="center"/>
                    <w:rPr>
                      <w:color w:val="auto"/>
                      <w:kern w:val="2"/>
                      <w:sz w:val="21"/>
                      <w:szCs w:val="21"/>
                      <w:highlight w:val="none"/>
                    </w:rPr>
                  </w:pPr>
                  <w:r>
                    <w:rPr>
                      <w:rFonts w:hint="eastAsia"/>
                      <w:color w:val="auto"/>
                      <w:kern w:val="2"/>
                      <w:sz w:val="21"/>
                      <w:szCs w:val="21"/>
                      <w:highlight w:val="none"/>
                      <w:lang w:val="en-US" w:eastAsia="zh-CN"/>
                    </w:rPr>
                    <w:t>20</w:t>
                  </w:r>
                  <w:r>
                    <w:rPr>
                      <w:color w:val="auto"/>
                      <w:kern w:val="2"/>
                      <w:sz w:val="21"/>
                      <w:szCs w:val="21"/>
                      <w:highlight w:val="none"/>
                    </w:rPr>
                    <w:t>万m</w:t>
                  </w:r>
                  <w:r>
                    <w:rPr>
                      <w:color w:val="auto"/>
                      <w:kern w:val="2"/>
                      <w:sz w:val="21"/>
                      <w:szCs w:val="21"/>
                      <w:highlight w:val="none"/>
                      <w:vertAlign w:val="superscript"/>
                    </w:rPr>
                    <w:t>3</w:t>
                  </w:r>
                </w:p>
              </w:tc>
              <w:tc>
                <w:tcPr>
                  <w:tcW w:w="2032" w:type="pct"/>
                  <w:vAlign w:val="center"/>
                </w:tcPr>
                <w:p>
                  <w:pPr>
                    <w:pStyle w:val="12"/>
                    <w:spacing w:before="0" w:after="0" w:line="240" w:lineRule="auto"/>
                    <w:ind w:right="0"/>
                    <w:jc w:val="center"/>
                    <w:rPr>
                      <w:color w:val="auto"/>
                      <w:kern w:val="2"/>
                      <w:sz w:val="21"/>
                      <w:szCs w:val="21"/>
                      <w:highlight w:val="none"/>
                    </w:rPr>
                  </w:pPr>
                  <w:r>
                    <w:rPr>
                      <w:color w:val="auto"/>
                      <w:kern w:val="2"/>
                      <w:sz w:val="21"/>
                      <w:szCs w:val="21"/>
                      <w:highlight w:val="none"/>
                    </w:rPr>
                    <w:t>C20</w:t>
                  </w:r>
                  <w:r>
                    <w:rPr>
                      <w:rFonts w:hint="eastAsia"/>
                      <w:color w:val="auto"/>
                      <w:kern w:val="2"/>
                      <w:sz w:val="21"/>
                      <w:szCs w:val="21"/>
                      <w:highlight w:val="none"/>
                      <w:lang w:eastAsia="zh-CN"/>
                    </w:rPr>
                    <w:t>、</w:t>
                  </w:r>
                  <w:r>
                    <w:rPr>
                      <w:color w:val="auto"/>
                      <w:kern w:val="2"/>
                      <w:sz w:val="21"/>
                      <w:szCs w:val="21"/>
                      <w:highlight w:val="none"/>
                    </w:rPr>
                    <w:t>C25</w:t>
                  </w:r>
                  <w:r>
                    <w:rPr>
                      <w:rFonts w:hint="eastAsia"/>
                      <w:color w:val="auto"/>
                      <w:kern w:val="2"/>
                      <w:sz w:val="21"/>
                      <w:szCs w:val="21"/>
                      <w:highlight w:val="none"/>
                      <w:lang w:eastAsia="zh-CN"/>
                    </w:rPr>
                    <w:t>、</w:t>
                  </w:r>
                  <w:r>
                    <w:rPr>
                      <w:color w:val="auto"/>
                      <w:kern w:val="2"/>
                      <w:sz w:val="21"/>
                      <w:szCs w:val="21"/>
                      <w:highlight w:val="none"/>
                    </w:rPr>
                    <w:t>C30</w:t>
                  </w:r>
                  <w:r>
                    <w:rPr>
                      <w:rFonts w:hint="eastAsia"/>
                      <w:color w:val="auto"/>
                      <w:sz w:val="21"/>
                      <w:szCs w:val="21"/>
                      <w:highlight w:val="none"/>
                      <w:lang w:eastAsia="zh-CN"/>
                    </w:rPr>
                    <w:t>、</w:t>
                  </w:r>
                  <w:r>
                    <w:rPr>
                      <w:color w:val="auto"/>
                      <w:sz w:val="21"/>
                      <w:szCs w:val="21"/>
                      <w:highlight w:val="none"/>
                    </w:rPr>
                    <w:t>C40</w:t>
                  </w:r>
                  <w:r>
                    <w:rPr>
                      <w:rFonts w:hint="eastAsia"/>
                      <w:color w:val="auto"/>
                      <w:sz w:val="21"/>
                      <w:szCs w:val="21"/>
                      <w:highlight w:val="none"/>
                      <w:lang w:eastAsia="zh-CN"/>
                    </w:rPr>
                    <w:t>、</w:t>
                  </w:r>
                  <w:r>
                    <w:rPr>
                      <w:color w:val="auto"/>
                      <w:sz w:val="21"/>
                      <w:szCs w:val="21"/>
                      <w:highlight w:val="none"/>
                    </w:rPr>
                    <w:t>C45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93" w:type="pct"/>
                  <w:vAlign w:val="center"/>
                </w:tcPr>
                <w:p>
                  <w:pPr>
                    <w:spacing w:before="0" w:after="0" w:line="240" w:lineRule="auto"/>
                    <w:ind w:right="0"/>
                    <w:jc w:val="center"/>
                    <w:rPr>
                      <w:rFonts w:hint="default" w:eastAsia="宋体"/>
                      <w:color w:val="auto"/>
                      <w:kern w:val="2"/>
                      <w:sz w:val="21"/>
                      <w:szCs w:val="21"/>
                      <w:highlight w:val="none"/>
                      <w:lang w:val="en-US" w:eastAsia="zh-CN"/>
                    </w:rPr>
                  </w:pPr>
                  <w:r>
                    <w:rPr>
                      <w:rFonts w:hint="eastAsia"/>
                      <w:color w:val="auto"/>
                      <w:kern w:val="2"/>
                      <w:sz w:val="21"/>
                      <w:szCs w:val="21"/>
                      <w:highlight w:val="none"/>
                      <w:lang w:val="en-US" w:eastAsia="zh-CN"/>
                    </w:rPr>
                    <w:t>水稳料</w:t>
                  </w:r>
                </w:p>
              </w:tc>
              <w:tc>
                <w:tcPr>
                  <w:tcW w:w="1373" w:type="pct"/>
                  <w:vAlign w:val="center"/>
                </w:tcPr>
                <w:p>
                  <w:pPr>
                    <w:pStyle w:val="12"/>
                    <w:spacing w:before="0" w:after="0" w:line="240" w:lineRule="auto"/>
                    <w:ind w:right="0"/>
                    <w:jc w:val="center"/>
                    <w:rPr>
                      <w:rFonts w:hint="eastAsia" w:eastAsia="宋体"/>
                      <w:color w:val="auto"/>
                      <w:kern w:val="2"/>
                      <w:sz w:val="21"/>
                      <w:szCs w:val="21"/>
                      <w:highlight w:val="none"/>
                      <w:lang w:val="en-US" w:eastAsia="zh-CN"/>
                    </w:rPr>
                  </w:pPr>
                  <w:r>
                    <w:rPr>
                      <w:rFonts w:hint="eastAsia"/>
                      <w:color w:val="auto"/>
                      <w:kern w:val="2"/>
                      <w:sz w:val="21"/>
                      <w:szCs w:val="21"/>
                      <w:highlight w:val="none"/>
                      <w:lang w:val="en-US" w:eastAsia="zh-CN"/>
                    </w:rPr>
                    <w:t>5</w:t>
                  </w:r>
                  <w:r>
                    <w:rPr>
                      <w:color w:val="auto"/>
                      <w:kern w:val="2"/>
                      <w:sz w:val="21"/>
                      <w:szCs w:val="21"/>
                      <w:highlight w:val="none"/>
                    </w:rPr>
                    <w:t>万m</w:t>
                  </w:r>
                  <w:r>
                    <w:rPr>
                      <w:color w:val="auto"/>
                      <w:kern w:val="2"/>
                      <w:sz w:val="21"/>
                      <w:szCs w:val="21"/>
                      <w:highlight w:val="none"/>
                      <w:vertAlign w:val="superscript"/>
                    </w:rPr>
                    <w:t>3</w:t>
                  </w:r>
                </w:p>
              </w:tc>
              <w:tc>
                <w:tcPr>
                  <w:tcW w:w="2032" w:type="pct"/>
                  <w:vAlign w:val="center"/>
                </w:tcPr>
                <w:p>
                  <w:pPr>
                    <w:pStyle w:val="12"/>
                    <w:spacing w:before="0" w:after="0" w:line="240" w:lineRule="auto"/>
                    <w:ind w:right="0"/>
                    <w:jc w:val="center"/>
                    <w:rPr>
                      <w:rFonts w:hint="eastAsia" w:eastAsia="宋体"/>
                      <w:color w:val="auto"/>
                      <w:kern w:val="2"/>
                      <w:sz w:val="21"/>
                      <w:szCs w:val="21"/>
                      <w:highlight w:val="none"/>
                      <w:lang w:val="en-US" w:eastAsia="zh-CN"/>
                    </w:rPr>
                  </w:pPr>
                  <w:r>
                    <w:rPr>
                      <w:rFonts w:hint="eastAsia"/>
                      <w:color w:val="auto"/>
                      <w:kern w:val="2"/>
                      <w:sz w:val="21"/>
                      <w:szCs w:val="21"/>
                      <w:highlight w:val="none"/>
                      <w:lang w:val="en-US" w:eastAsia="zh-CN"/>
                    </w:rPr>
                    <w:t>/</w:t>
                  </w:r>
                </w:p>
              </w:tc>
            </w:tr>
          </w:tbl>
          <w:p>
            <w:pPr>
              <w:ind w:left="0" w:leftChars="0" w:firstLine="0" w:firstLineChars="0"/>
              <w:rPr>
                <w:rFonts w:hint="default" w:ascii="Times New Roman" w:hAnsi="Times New Roman" w:cs="Times New Roman"/>
                <w:b/>
                <w:bCs/>
                <w:highlight w:val="none"/>
              </w:rPr>
            </w:pPr>
            <w:r>
              <w:rPr>
                <w:rFonts w:hint="eastAsia" w:cs="Times New Roman"/>
                <w:b/>
                <w:bCs/>
                <w:highlight w:val="none"/>
                <w:lang w:val="en-US" w:eastAsia="zh-CN"/>
              </w:rPr>
              <w:t>4.4</w:t>
            </w:r>
            <w:r>
              <w:rPr>
                <w:rFonts w:hint="default" w:ascii="Times New Roman" w:hAnsi="Times New Roman" w:cs="Times New Roman"/>
                <w:b/>
                <w:bCs/>
                <w:highlight w:val="none"/>
              </w:rPr>
              <w:t>能耗</w:t>
            </w:r>
          </w:p>
          <w:p>
            <w:pPr>
              <w:bidi w:val="0"/>
              <w:rPr>
                <w:rFonts w:hint="default"/>
                <w:highlight w:val="none"/>
              </w:rPr>
            </w:pPr>
            <w:r>
              <w:rPr>
                <w:rFonts w:hint="default"/>
                <w:highlight w:val="none"/>
              </w:rPr>
              <w:t>能耗主要有生产、生活用电、生产、生活用水，</w:t>
            </w:r>
            <w:r>
              <w:rPr>
                <w:rFonts w:hint="eastAsia"/>
                <w:highlight w:val="none"/>
                <w:lang w:val="en-US" w:eastAsia="zh-CN"/>
              </w:rPr>
              <w:t>绿化用水。</w:t>
            </w:r>
            <w:r>
              <w:rPr>
                <w:rFonts w:hint="default"/>
                <w:highlight w:val="none"/>
              </w:rPr>
              <w:t>具体内容见下表</w:t>
            </w:r>
            <w:r>
              <w:rPr>
                <w:rFonts w:hint="eastAsia"/>
                <w:highlight w:val="none"/>
                <w:lang w:val="en-US" w:eastAsia="zh-CN"/>
              </w:rPr>
              <w:t>2-6</w:t>
            </w:r>
            <w:r>
              <w:rPr>
                <w:rFonts w:hint="default"/>
                <w:highlight w:val="none"/>
              </w:rPr>
              <w:t>。</w:t>
            </w:r>
          </w:p>
          <w:p>
            <w:pPr>
              <w:pStyle w:val="30"/>
              <w:bidi w:val="0"/>
              <w:rPr>
                <w:rFonts w:hint="default"/>
                <w:b/>
                <w:bCs/>
                <w:color w:val="auto"/>
                <w:highlight w:val="none"/>
              </w:rPr>
            </w:pPr>
            <w:r>
              <w:rPr>
                <w:rFonts w:hint="default"/>
                <w:b/>
                <w:bCs/>
                <w:color w:val="auto"/>
                <w:highlight w:val="none"/>
              </w:rPr>
              <w:t>表</w:t>
            </w:r>
            <w:r>
              <w:rPr>
                <w:rFonts w:hint="eastAsia"/>
                <w:b/>
                <w:bCs/>
                <w:color w:val="auto"/>
                <w:highlight w:val="none"/>
                <w:lang w:val="en-US" w:eastAsia="zh-CN"/>
              </w:rPr>
              <w:t>2-6</w:t>
            </w:r>
            <w:r>
              <w:rPr>
                <w:rFonts w:hint="default"/>
                <w:b/>
                <w:bCs/>
                <w:color w:val="auto"/>
                <w:highlight w:val="none"/>
              </w:rPr>
              <w:t xml:space="preserve">   本项目能耗情况一览表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808"/>
              <w:gridCol w:w="1933"/>
              <w:gridCol w:w="1854"/>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432" w:type="pct"/>
                  <w:noWrap w:val="0"/>
                  <w:vAlign w:val="center"/>
                </w:tcPr>
                <w:p>
                  <w:pPr>
                    <w:pStyle w:val="30"/>
                    <w:bidi w:val="0"/>
                    <w:rPr>
                      <w:rFonts w:hint="default"/>
                      <w:b/>
                      <w:bCs/>
                      <w:color w:val="auto"/>
                      <w:highlight w:val="none"/>
                    </w:rPr>
                  </w:pPr>
                  <w:r>
                    <w:rPr>
                      <w:rFonts w:hint="default"/>
                      <w:b/>
                      <w:bCs/>
                      <w:color w:val="auto"/>
                      <w:highlight w:val="none"/>
                    </w:rPr>
                    <w:t>序号</w:t>
                  </w:r>
                </w:p>
              </w:tc>
              <w:tc>
                <w:tcPr>
                  <w:tcW w:w="1134" w:type="pct"/>
                  <w:noWrap w:val="0"/>
                  <w:vAlign w:val="center"/>
                </w:tcPr>
                <w:p>
                  <w:pPr>
                    <w:pStyle w:val="30"/>
                    <w:bidi w:val="0"/>
                    <w:rPr>
                      <w:rFonts w:hint="default"/>
                      <w:b/>
                      <w:bCs/>
                      <w:color w:val="auto"/>
                      <w:highlight w:val="none"/>
                    </w:rPr>
                  </w:pPr>
                  <w:r>
                    <w:rPr>
                      <w:rFonts w:hint="default"/>
                      <w:b/>
                      <w:bCs/>
                      <w:color w:val="auto"/>
                      <w:highlight w:val="none"/>
                    </w:rPr>
                    <w:t>类别</w:t>
                  </w:r>
                </w:p>
              </w:tc>
              <w:tc>
                <w:tcPr>
                  <w:tcW w:w="1213" w:type="pct"/>
                  <w:noWrap w:val="0"/>
                  <w:vAlign w:val="center"/>
                </w:tcPr>
                <w:p>
                  <w:pPr>
                    <w:pStyle w:val="30"/>
                    <w:bidi w:val="0"/>
                    <w:rPr>
                      <w:rFonts w:hint="default"/>
                      <w:b/>
                      <w:bCs/>
                      <w:color w:val="auto"/>
                      <w:highlight w:val="none"/>
                    </w:rPr>
                  </w:pPr>
                  <w:r>
                    <w:rPr>
                      <w:rFonts w:hint="default"/>
                      <w:b/>
                      <w:bCs/>
                      <w:color w:val="auto"/>
                      <w:highlight w:val="none"/>
                    </w:rPr>
                    <w:t>年消耗量</w:t>
                  </w:r>
                </w:p>
              </w:tc>
              <w:tc>
                <w:tcPr>
                  <w:tcW w:w="1163" w:type="pct"/>
                  <w:noWrap w:val="0"/>
                  <w:vAlign w:val="center"/>
                </w:tcPr>
                <w:p>
                  <w:pPr>
                    <w:pStyle w:val="30"/>
                    <w:bidi w:val="0"/>
                    <w:rPr>
                      <w:rFonts w:hint="default"/>
                      <w:b/>
                      <w:bCs/>
                      <w:color w:val="auto"/>
                      <w:highlight w:val="none"/>
                    </w:rPr>
                  </w:pPr>
                  <w:r>
                    <w:rPr>
                      <w:rFonts w:hint="default"/>
                      <w:b/>
                      <w:bCs/>
                      <w:color w:val="auto"/>
                      <w:highlight w:val="none"/>
                    </w:rPr>
                    <w:t>单位</w:t>
                  </w:r>
                </w:p>
              </w:tc>
              <w:tc>
                <w:tcPr>
                  <w:tcW w:w="1056" w:type="pct"/>
                  <w:noWrap w:val="0"/>
                  <w:vAlign w:val="center"/>
                </w:tcPr>
                <w:p>
                  <w:pPr>
                    <w:pStyle w:val="30"/>
                    <w:bidi w:val="0"/>
                    <w:rPr>
                      <w:rFonts w:hint="default"/>
                      <w:b/>
                      <w:bCs/>
                      <w:color w:val="auto"/>
                      <w:highlight w:val="none"/>
                    </w:rPr>
                  </w:pPr>
                  <w:r>
                    <w:rPr>
                      <w:rFonts w:hint="default"/>
                      <w:b/>
                      <w:bCs/>
                      <w:color w:val="auto"/>
                      <w:highlight w:val="none"/>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2" w:type="pct"/>
                  <w:noWrap w:val="0"/>
                  <w:vAlign w:val="center"/>
                </w:tcPr>
                <w:p>
                  <w:pPr>
                    <w:pStyle w:val="30"/>
                    <w:bidi w:val="0"/>
                    <w:rPr>
                      <w:rFonts w:hint="default"/>
                      <w:color w:val="auto"/>
                      <w:highlight w:val="none"/>
                    </w:rPr>
                  </w:pPr>
                  <w:r>
                    <w:rPr>
                      <w:rFonts w:hint="default"/>
                      <w:color w:val="auto"/>
                      <w:highlight w:val="none"/>
                    </w:rPr>
                    <w:t>1</w:t>
                  </w:r>
                </w:p>
              </w:tc>
              <w:tc>
                <w:tcPr>
                  <w:tcW w:w="1134" w:type="pct"/>
                  <w:noWrap w:val="0"/>
                  <w:vAlign w:val="center"/>
                </w:tcPr>
                <w:p>
                  <w:pPr>
                    <w:pStyle w:val="30"/>
                    <w:bidi w:val="0"/>
                    <w:rPr>
                      <w:rFonts w:hint="default"/>
                      <w:color w:val="auto"/>
                      <w:highlight w:val="none"/>
                    </w:rPr>
                  </w:pPr>
                  <w:r>
                    <w:rPr>
                      <w:rFonts w:hint="default"/>
                      <w:color w:val="auto"/>
                      <w:highlight w:val="none"/>
                    </w:rPr>
                    <w:t>电</w:t>
                  </w:r>
                </w:p>
              </w:tc>
              <w:tc>
                <w:tcPr>
                  <w:tcW w:w="1213" w:type="pct"/>
                  <w:noWrap w:val="0"/>
                  <w:vAlign w:val="center"/>
                </w:tcPr>
                <w:p>
                  <w:pPr>
                    <w:pStyle w:val="30"/>
                    <w:bidi w:val="0"/>
                    <w:rPr>
                      <w:rFonts w:hint="default"/>
                      <w:color w:val="auto"/>
                      <w:highlight w:val="none"/>
                      <w:lang w:val="en-US" w:eastAsia="zh-CN"/>
                    </w:rPr>
                  </w:pPr>
                  <w:r>
                    <w:rPr>
                      <w:rFonts w:hint="eastAsia"/>
                      <w:color w:val="auto"/>
                      <w:highlight w:val="none"/>
                      <w:lang w:val="en-US" w:eastAsia="zh-CN"/>
                    </w:rPr>
                    <w:t>19</w:t>
                  </w:r>
                </w:p>
              </w:tc>
              <w:tc>
                <w:tcPr>
                  <w:tcW w:w="1163" w:type="pct"/>
                  <w:noWrap w:val="0"/>
                  <w:vAlign w:val="center"/>
                </w:tcPr>
                <w:p>
                  <w:pPr>
                    <w:pStyle w:val="30"/>
                    <w:bidi w:val="0"/>
                    <w:rPr>
                      <w:rFonts w:hint="default"/>
                      <w:color w:val="auto"/>
                      <w:highlight w:val="none"/>
                    </w:rPr>
                  </w:pPr>
                  <w:r>
                    <w:rPr>
                      <w:rFonts w:hint="default"/>
                      <w:color w:val="auto"/>
                      <w:highlight w:val="none"/>
                    </w:rPr>
                    <w:t>万</w:t>
                  </w:r>
                  <w:r>
                    <w:rPr>
                      <w:rFonts w:hint="eastAsia"/>
                      <w:color w:val="auto"/>
                      <w:highlight w:val="none"/>
                      <w:lang w:eastAsia="zh-CN"/>
                    </w:rPr>
                    <w:t>kW</w:t>
                  </w:r>
                  <w:r>
                    <w:rPr>
                      <w:rFonts w:hint="default"/>
                      <w:color w:val="auto"/>
                      <w:highlight w:val="none"/>
                    </w:rPr>
                    <w:t>·h</w:t>
                  </w:r>
                </w:p>
              </w:tc>
              <w:tc>
                <w:tcPr>
                  <w:tcW w:w="1056" w:type="pct"/>
                  <w:noWrap w:val="0"/>
                  <w:vAlign w:val="center"/>
                </w:tcPr>
                <w:p>
                  <w:pPr>
                    <w:pStyle w:val="30"/>
                    <w:bidi w:val="0"/>
                    <w:rPr>
                      <w:rFonts w:hint="default"/>
                      <w:color w:val="auto"/>
                      <w:highlight w:val="none"/>
                    </w:rPr>
                  </w:pPr>
                  <w:r>
                    <w:rPr>
                      <w:rFonts w:hint="default"/>
                      <w:color w:val="auto"/>
                      <w:highlight w:val="none"/>
                    </w:rPr>
                    <w:t>市政电网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2" w:type="pct"/>
                  <w:noWrap w:val="0"/>
                  <w:vAlign w:val="center"/>
                </w:tcPr>
                <w:p>
                  <w:pPr>
                    <w:pStyle w:val="30"/>
                    <w:bidi w:val="0"/>
                    <w:rPr>
                      <w:rFonts w:hint="eastAsia"/>
                      <w:color w:val="auto"/>
                      <w:highlight w:val="none"/>
                      <w:lang w:val="en-US" w:eastAsia="zh-CN"/>
                    </w:rPr>
                  </w:pPr>
                  <w:r>
                    <w:rPr>
                      <w:rFonts w:hint="eastAsia"/>
                      <w:color w:val="auto"/>
                      <w:highlight w:val="none"/>
                      <w:lang w:val="en-US" w:eastAsia="zh-CN"/>
                    </w:rPr>
                    <w:t>2</w:t>
                  </w:r>
                </w:p>
              </w:tc>
              <w:tc>
                <w:tcPr>
                  <w:tcW w:w="1134" w:type="pct"/>
                  <w:noWrap w:val="0"/>
                  <w:vAlign w:val="center"/>
                </w:tcPr>
                <w:p>
                  <w:pPr>
                    <w:pStyle w:val="30"/>
                    <w:bidi w:val="0"/>
                    <w:rPr>
                      <w:rFonts w:hint="default"/>
                      <w:color w:val="auto"/>
                      <w:highlight w:val="none"/>
                      <w:lang w:val="en-US" w:eastAsia="zh-CN"/>
                    </w:rPr>
                  </w:pPr>
                  <w:r>
                    <w:rPr>
                      <w:rFonts w:hint="eastAsia"/>
                      <w:color w:val="auto"/>
                      <w:highlight w:val="none"/>
                      <w:lang w:val="en-US" w:eastAsia="zh-CN"/>
                    </w:rPr>
                    <w:t>水</w:t>
                  </w:r>
                </w:p>
              </w:tc>
              <w:tc>
                <w:tcPr>
                  <w:tcW w:w="1213" w:type="pct"/>
                  <w:noWrap w:val="0"/>
                  <w:vAlign w:val="center"/>
                </w:tcPr>
                <w:p>
                  <w:pPr>
                    <w:pStyle w:val="30"/>
                    <w:bidi w:val="0"/>
                    <w:rPr>
                      <w:rFonts w:hint="default"/>
                      <w:color w:val="auto"/>
                      <w:highlight w:val="none"/>
                      <w:lang w:val="en-US" w:eastAsia="zh-CN"/>
                    </w:rPr>
                  </w:pPr>
                  <w:r>
                    <w:rPr>
                      <w:rFonts w:hint="eastAsia"/>
                      <w:color w:val="auto"/>
                      <w:highlight w:val="none"/>
                      <w:lang w:val="en-US" w:eastAsia="zh-CN"/>
                    </w:rPr>
                    <w:t>4</w:t>
                  </w:r>
                </w:p>
              </w:tc>
              <w:tc>
                <w:tcPr>
                  <w:tcW w:w="1163" w:type="pct"/>
                  <w:noWrap w:val="0"/>
                  <w:vAlign w:val="center"/>
                </w:tcPr>
                <w:p>
                  <w:pPr>
                    <w:pStyle w:val="30"/>
                    <w:bidi w:val="0"/>
                    <w:rPr>
                      <w:rFonts w:hint="eastAsia"/>
                      <w:color w:val="auto"/>
                      <w:highlight w:val="none"/>
                      <w:lang w:eastAsia="zh-CN"/>
                    </w:rPr>
                  </w:pPr>
                  <w:r>
                    <w:rPr>
                      <w:rFonts w:hint="eastAsia"/>
                      <w:color w:val="auto"/>
                      <w:highlight w:val="none"/>
                      <w:lang w:eastAsia="zh-CN"/>
                    </w:rPr>
                    <w:t>万m³</w:t>
                  </w:r>
                </w:p>
              </w:tc>
              <w:tc>
                <w:tcPr>
                  <w:tcW w:w="1056" w:type="pct"/>
                  <w:noWrap w:val="0"/>
                  <w:vAlign w:val="center"/>
                </w:tcPr>
                <w:p>
                  <w:pPr>
                    <w:pStyle w:val="30"/>
                    <w:bidi w:val="0"/>
                    <w:rPr>
                      <w:rFonts w:hint="default"/>
                      <w:color w:val="auto"/>
                      <w:highlight w:val="none"/>
                    </w:rPr>
                  </w:pPr>
                  <w:r>
                    <w:rPr>
                      <w:rFonts w:hint="default"/>
                      <w:color w:val="auto"/>
                      <w:highlight w:val="none"/>
                    </w:rPr>
                    <w:t>市政供水管网</w:t>
                  </w:r>
                </w:p>
              </w:tc>
            </w:tr>
          </w:tbl>
          <w:p>
            <w:pPr>
              <w:bidi w:val="0"/>
              <w:ind w:left="0" w:leftChars="0" w:firstLine="0" w:firstLineChars="0"/>
              <w:rPr>
                <w:rFonts w:hint="default"/>
                <w:b/>
                <w:bCs/>
                <w:highlight w:val="none"/>
                <w:lang w:val="en-US" w:eastAsia="zh-CN"/>
              </w:rPr>
            </w:pPr>
            <w:r>
              <w:rPr>
                <w:rFonts w:hint="eastAsia"/>
                <w:b/>
                <w:bCs/>
                <w:color w:val="auto"/>
                <w:highlight w:val="none"/>
                <w:lang w:val="en-US" w:eastAsia="zh-CN"/>
              </w:rPr>
              <w:t>5.劳动定员及工作制度</w:t>
            </w:r>
          </w:p>
          <w:p>
            <w:pPr>
              <w:numPr>
                <w:ilvl w:val="0"/>
                <w:numId w:val="0"/>
              </w:numPr>
              <w:ind w:firstLine="480" w:firstLineChars="200"/>
              <w:jc w:val="left"/>
              <w:rPr>
                <w:rFonts w:hint="default"/>
                <w:highlight w:val="none"/>
                <w:lang w:val="en-US" w:eastAsia="zh-CN"/>
              </w:rPr>
            </w:pPr>
            <w:r>
              <w:rPr>
                <w:rFonts w:hint="default"/>
                <w:highlight w:val="none"/>
              </w:rPr>
              <w:t>本项目</w:t>
            </w:r>
            <w:r>
              <w:rPr>
                <w:rFonts w:hint="eastAsia"/>
                <w:highlight w:val="none"/>
                <w:lang w:val="en-US" w:eastAsia="zh-CN"/>
              </w:rPr>
              <w:t>实际劳动定员30人，年工作275d，三班两运制，每班工作10h</w:t>
            </w:r>
            <w:r>
              <w:rPr>
                <w:rFonts w:hint="default"/>
                <w:highlight w:val="none"/>
                <w:lang w:val="en-US" w:eastAsia="zh-CN"/>
              </w:rPr>
              <w:t>。</w:t>
            </w:r>
          </w:p>
          <w:p>
            <w:pPr>
              <w:bidi w:val="0"/>
              <w:ind w:left="0" w:leftChars="0" w:firstLine="0" w:firstLineChars="0"/>
              <w:rPr>
                <w:rFonts w:hint="default"/>
                <w:b/>
                <w:bCs/>
                <w:highlight w:val="none"/>
                <w:lang w:val="en-US" w:eastAsia="zh-CN"/>
              </w:rPr>
            </w:pPr>
            <w:r>
              <w:rPr>
                <w:rFonts w:hint="eastAsia"/>
                <w:b/>
                <w:bCs/>
                <w:highlight w:val="none"/>
                <w:lang w:val="en-US" w:eastAsia="zh-CN"/>
              </w:rPr>
              <w:t>6.公用及辅助设施</w:t>
            </w:r>
          </w:p>
          <w:p>
            <w:pPr>
              <w:bidi w:val="0"/>
              <w:ind w:left="0" w:leftChars="0" w:firstLine="0" w:firstLineChars="0"/>
              <w:rPr>
                <w:rFonts w:hint="default"/>
                <w:b/>
                <w:bCs/>
                <w:highlight w:val="none"/>
                <w:lang w:val="en-US" w:eastAsia="zh-CN"/>
              </w:rPr>
            </w:pPr>
            <w:r>
              <w:rPr>
                <w:rFonts w:hint="eastAsia"/>
                <w:b/>
                <w:bCs/>
                <w:highlight w:val="none"/>
                <w:lang w:val="en-US" w:eastAsia="zh-CN"/>
              </w:rPr>
              <w:t>6.1项目用水</w:t>
            </w:r>
          </w:p>
          <w:p>
            <w:pPr>
              <w:bidi w:val="0"/>
              <w:ind w:left="0" w:leftChars="0" w:firstLine="480" w:firstLineChars="200"/>
              <w:rPr>
                <w:rFonts w:hint="default"/>
                <w:highlight w:val="none"/>
                <w:lang w:val="en-US" w:eastAsia="zh-CN"/>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lang w:val="en-US" w:eastAsia="zh-CN"/>
              </w:rPr>
              <w:t>生产用水</w:t>
            </w:r>
          </w:p>
          <w:p>
            <w:pPr>
              <w:keepNext w:val="0"/>
              <w:keepLines w:val="0"/>
              <w:suppressLineNumbers w:val="0"/>
              <w:spacing w:before="0" w:beforeAutospacing="0" w:after="0" w:afterAutospacing="0" w:line="360" w:lineRule="auto"/>
              <w:ind w:left="0" w:right="0" w:firstLine="480" w:firstLineChars="200"/>
              <w:outlineLvl w:val="1"/>
              <w:rPr>
                <w:rFonts w:hint="eastAsia"/>
                <w:highlight w:val="none"/>
                <w:lang w:eastAsia="zh-CN"/>
              </w:rPr>
            </w:pPr>
            <w:r>
              <w:rPr>
                <w:rFonts w:hint="default"/>
                <w:highlight w:val="none"/>
              </w:rPr>
              <w:t>根据企业提供资料，本项目生</w:t>
            </w:r>
            <w:r>
              <w:rPr>
                <w:rFonts w:hint="default" w:ascii="Times New Roman" w:hAnsi="Times New Roman" w:eastAsia="宋体" w:cs="Times New Roman"/>
                <w:highlight w:val="none"/>
                <w:lang w:eastAsia="zh-CN"/>
              </w:rPr>
              <w:t>产用</w:t>
            </w:r>
            <w:r>
              <w:rPr>
                <w:rFonts w:hint="eastAsia" w:cs="Times New Roman"/>
                <w:highlight w:val="none"/>
                <w:lang w:eastAsia="zh-CN"/>
              </w:rPr>
              <w:t>水为</w:t>
            </w:r>
            <w:r>
              <w:rPr>
                <w:rFonts w:hint="eastAsia" w:ascii="Times New Roman" w:hAnsi="Times New Roman" w:eastAsia="宋体" w:cs="Times New Roman"/>
                <w:highlight w:val="none"/>
                <w:lang w:val="en-US" w:eastAsia="zh-CN"/>
              </w:rPr>
              <w:t>吐鲁番市供排水公司供水</w:t>
            </w:r>
            <w:r>
              <w:rPr>
                <w:rFonts w:hint="eastAsia" w:ascii="Times New Roman" w:hAnsi="Times New Roman" w:eastAsia="宋体" w:cs="Times New Roman"/>
                <w:highlight w:val="none"/>
                <w:lang w:eastAsia="zh-CN"/>
              </w:rPr>
              <w:t>管网，主要</w:t>
            </w:r>
            <w:r>
              <w:rPr>
                <w:rFonts w:hint="eastAsia"/>
                <w:highlight w:val="none"/>
                <w:lang w:eastAsia="zh-CN"/>
              </w:rPr>
              <w:t>包括生产用水、生活用水两种。</w:t>
            </w:r>
          </w:p>
          <w:p>
            <w:pPr>
              <w:keepNext w:val="0"/>
              <w:keepLines w:val="0"/>
              <w:numPr>
                <w:ilvl w:val="0"/>
                <w:numId w:val="2"/>
              </w:numPr>
              <w:suppressLineNumbers w:val="0"/>
              <w:spacing w:before="0" w:beforeAutospacing="0" w:after="0" w:afterAutospacing="0" w:line="360" w:lineRule="auto"/>
              <w:ind w:left="0" w:right="0" w:firstLine="480" w:firstLineChars="200"/>
              <w:outlineLvl w:val="1"/>
              <w:rPr>
                <w:rFonts w:hint="default" w:ascii="Times New Roman" w:hAnsi="Times New Roman" w:cs="Times New Roman"/>
                <w:highlight w:val="none"/>
              </w:rPr>
            </w:pPr>
            <w:r>
              <w:rPr>
                <w:rFonts w:hint="eastAsia"/>
                <w:highlight w:val="none"/>
                <w:lang w:eastAsia="zh-CN"/>
              </w:rPr>
              <w:t>生产用水</w:t>
            </w:r>
            <w:r>
              <w:rPr>
                <w:rFonts w:hint="default"/>
                <w:highlight w:val="none"/>
              </w:rPr>
              <w:t>主要为混凝土配料用水</w:t>
            </w:r>
            <w:r>
              <w:rPr>
                <w:rFonts w:hint="eastAsia"/>
                <w:highlight w:val="none"/>
                <w:lang w:eastAsia="zh-CN"/>
              </w:rPr>
              <w:t>、车辆冲洗用水、实验室试验</w:t>
            </w:r>
            <w:r>
              <w:rPr>
                <w:rFonts w:hint="default" w:ascii="Times New Roman" w:hAnsi="Times New Roman" w:cs="Times New Roman"/>
                <w:highlight w:val="none"/>
                <w:lang w:eastAsia="zh-CN"/>
              </w:rPr>
              <w:t>养护用水、洒水降尘用水</w:t>
            </w:r>
            <w:r>
              <w:rPr>
                <w:rFonts w:hint="default" w:ascii="Times New Roman" w:hAnsi="Times New Roman" w:cs="Times New Roman"/>
                <w:highlight w:val="none"/>
              </w:rPr>
              <w:t>。</w:t>
            </w:r>
          </w:p>
          <w:p>
            <w:pPr>
              <w:spacing w:line="360" w:lineRule="auto"/>
              <w:ind w:firstLine="480" w:firstLineChars="200"/>
              <w:rPr>
                <w:rFonts w:hint="default" w:ascii="Times New Roman" w:hAnsi="Times New Roman" w:cs="Times New Roman"/>
                <w:highlight w:val="none"/>
                <w:lang w:eastAsia="zh-CN"/>
              </w:rPr>
            </w:pPr>
            <w:r>
              <w:rPr>
                <w:rFonts w:hint="eastAsia"/>
                <w:color w:val="auto"/>
                <w:highlight w:val="none"/>
                <w:lang w:val="en-US" w:eastAsia="zh-CN"/>
              </w:rPr>
              <w:t>根据建设单位提供的资料并类比已投入运营的同类型企业</w:t>
            </w:r>
            <w:r>
              <w:rPr>
                <w:rFonts w:hint="default" w:ascii="Times New Roman" w:hAnsi="Times New Roman" w:cs="Times New Roman"/>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highlight w:val="none"/>
                <w:lang w:eastAsia="zh-CN"/>
              </w:rPr>
            </w:pPr>
            <w:r>
              <w:rPr>
                <w:rFonts w:hint="default" w:ascii="Times New Roman" w:hAnsi="Times New Roman" w:cs="Times New Roman"/>
                <w:highlight w:val="none"/>
                <w:lang w:eastAsia="zh-CN"/>
              </w:rPr>
              <w:t>①混凝</w:t>
            </w:r>
            <w:r>
              <w:rPr>
                <w:rFonts w:hint="default" w:ascii="Times New Roman" w:hAnsi="Times New Roman" w:cs="Times New Roman"/>
                <w:highlight w:val="none"/>
              </w:rPr>
              <w:t>土配料用水为0.1</w:t>
            </w:r>
            <w:r>
              <w:rPr>
                <w:rFonts w:hint="default" w:ascii="Times New Roman" w:hAnsi="Times New Roman" w:cs="Times New Roman"/>
                <w:highlight w:val="none"/>
                <w:lang w:val="en-US" w:eastAsia="zh-CN"/>
              </w:rPr>
              <w:t>5</w:t>
            </w:r>
            <w:r>
              <w:rPr>
                <w:rFonts w:hint="default" w:ascii="Times New Roman" w:hAnsi="Times New Roman" w:cs="Times New Roman"/>
                <w:highlight w:val="none"/>
                <w:lang w:eastAsia="zh-CN"/>
              </w:rPr>
              <w:t>m³</w:t>
            </w:r>
            <w:r>
              <w:rPr>
                <w:rFonts w:hint="default" w:ascii="Times New Roman" w:hAnsi="Times New Roman" w:cs="Times New Roman"/>
                <w:highlight w:val="none"/>
              </w:rPr>
              <w:t>/</w:t>
            </w:r>
            <w:r>
              <w:rPr>
                <w:rFonts w:hint="default" w:ascii="Times New Roman" w:hAnsi="Times New Roman" w:cs="Times New Roman"/>
                <w:highlight w:val="none"/>
                <w:lang w:eastAsia="zh-CN"/>
              </w:rPr>
              <w:t>m³</w:t>
            </w:r>
            <w:r>
              <w:rPr>
                <w:rFonts w:hint="default" w:ascii="Times New Roman" w:hAnsi="Times New Roman" w:cs="Times New Roman"/>
                <w:highlight w:val="none"/>
              </w:rPr>
              <w:t>混凝土，本项目年产混凝土</w:t>
            </w:r>
            <w:r>
              <w:rPr>
                <w:rFonts w:hint="eastAsia" w:cs="Times New Roman"/>
                <w:highlight w:val="none"/>
                <w:lang w:val="en-US" w:eastAsia="zh-CN"/>
              </w:rPr>
              <w:t>20</w:t>
            </w:r>
            <w:r>
              <w:rPr>
                <w:rFonts w:hint="default" w:ascii="Times New Roman" w:hAnsi="Times New Roman" w:cs="Times New Roman"/>
                <w:highlight w:val="none"/>
              </w:rPr>
              <w:t>万</w:t>
            </w:r>
            <w:r>
              <w:rPr>
                <w:rFonts w:hint="default" w:ascii="Times New Roman" w:hAnsi="Times New Roman" w:cs="Times New Roman"/>
                <w:highlight w:val="none"/>
                <w:lang w:eastAsia="zh-CN"/>
              </w:rPr>
              <w:t>m³</w:t>
            </w:r>
            <w:r>
              <w:rPr>
                <w:rFonts w:hint="default" w:ascii="Times New Roman" w:hAnsi="Times New Roman" w:cs="Times New Roman"/>
                <w:highlight w:val="none"/>
              </w:rPr>
              <w:t>，则混凝土配料用水量为</w:t>
            </w:r>
            <w:r>
              <w:rPr>
                <w:rFonts w:hint="eastAsia" w:cs="Times New Roman"/>
                <w:highlight w:val="none"/>
                <w:lang w:val="en-US" w:eastAsia="zh-CN"/>
              </w:rPr>
              <w:t>109.09</w:t>
            </w:r>
            <w:r>
              <w:rPr>
                <w:rFonts w:hint="default" w:ascii="Times New Roman" w:hAnsi="Times New Roman" w:cs="Times New Roman"/>
                <w:highlight w:val="none"/>
                <w:lang w:eastAsia="zh-CN"/>
              </w:rPr>
              <w:t>m³</w:t>
            </w:r>
            <w:r>
              <w:rPr>
                <w:rFonts w:hint="default" w:ascii="Times New Roman" w:hAnsi="Times New Roman" w:cs="Times New Roman"/>
                <w:highlight w:val="none"/>
                <w:lang w:val="en-US" w:eastAsia="zh-CN"/>
              </w:rPr>
              <w:t>/d（</w:t>
            </w:r>
            <w:r>
              <w:rPr>
                <w:rFonts w:hint="eastAsia" w:cs="Times New Roman"/>
                <w:highlight w:val="none"/>
                <w:lang w:val="en-US" w:eastAsia="zh-CN"/>
              </w:rPr>
              <w:t>3</w:t>
            </w:r>
            <w:r>
              <w:rPr>
                <w:rFonts w:hint="default" w:ascii="Times New Roman" w:hAnsi="Times New Roman" w:cs="Times New Roman"/>
                <w:highlight w:val="none"/>
                <w:lang w:val="en-US" w:eastAsia="zh-CN"/>
              </w:rPr>
              <w:t>万</w:t>
            </w:r>
            <w:r>
              <w:rPr>
                <w:rFonts w:hint="default" w:ascii="Times New Roman" w:hAnsi="Times New Roman" w:cs="Times New Roman"/>
                <w:highlight w:val="none"/>
                <w:lang w:eastAsia="zh-CN"/>
              </w:rPr>
              <w:t>m³</w:t>
            </w:r>
            <w:r>
              <w:rPr>
                <w:rFonts w:hint="default" w:ascii="Times New Roman" w:hAnsi="Times New Roman" w:cs="Times New Roman"/>
                <w:highlight w:val="none"/>
              </w:rPr>
              <w:t>/a，</w:t>
            </w:r>
            <w:r>
              <w:rPr>
                <w:rFonts w:hint="default" w:ascii="Times New Roman" w:hAnsi="Times New Roman" w:cs="Times New Roman"/>
                <w:highlight w:val="none"/>
                <w:lang w:val="en-US" w:eastAsia="zh-CN"/>
              </w:rPr>
              <w:t>）</w:t>
            </w:r>
            <w:r>
              <w:rPr>
                <w:rFonts w:hint="eastAsia" w:ascii="Times New Roman" w:hAnsi="Times New Roman" w:cs="Times New Roman"/>
                <w:highlight w:val="none"/>
                <w:lang w:val="en-US" w:eastAsia="zh-CN"/>
              </w:rPr>
              <w:t>，此过程无废水产生</w:t>
            </w:r>
            <w:r>
              <w:rPr>
                <w:rFonts w:hint="default" w:ascii="Times New Roman" w:hAnsi="Times New Roman" w:cs="Times New Roman"/>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eastAsia="zh-CN"/>
              </w:rPr>
              <w:t>②</w:t>
            </w:r>
            <w:r>
              <w:rPr>
                <w:rFonts w:hint="default" w:ascii="Times New Roman" w:hAnsi="Times New Roman" w:eastAsia="宋体" w:cs="Times New Roman"/>
                <w:color w:val="auto"/>
                <w:highlight w:val="none"/>
                <w:lang w:val="en-US" w:eastAsia="zh-CN"/>
              </w:rPr>
              <w:t>车辆冲洗水：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highlight w:val="none"/>
                <w:lang w:val="en-US" w:eastAsia="zh-CN"/>
              </w:rPr>
            </w:pPr>
            <w:r>
              <w:rPr>
                <w:rFonts w:hint="eastAsia" w:cs="Times New Roman"/>
                <w:color w:val="auto"/>
                <w:kern w:val="0"/>
                <w:sz w:val="24"/>
                <w:lang w:val="en-US" w:eastAsia="zh-CN"/>
              </w:rPr>
              <w:t>原料运输车辆、混凝土罐车每天约清洗44次</w:t>
            </w:r>
            <w:r>
              <w:rPr>
                <w:rFonts w:hint="default" w:ascii="Times New Roman" w:hAnsi="Times New Roman" w:eastAsia="宋体" w:cs="Times New Roman"/>
                <w:color w:val="auto"/>
                <w:highlight w:val="none"/>
                <w:lang w:val="en-US" w:eastAsia="zh-CN"/>
              </w:rPr>
              <w:t>，根据对</w:t>
            </w:r>
            <w:r>
              <w:rPr>
                <w:rFonts w:hint="eastAsia" w:cs="Times New Roman"/>
                <w:color w:val="auto"/>
                <w:highlight w:val="none"/>
                <w:lang w:val="en-US" w:eastAsia="zh-CN"/>
              </w:rPr>
              <w:t>已运行的</w:t>
            </w:r>
            <w:r>
              <w:rPr>
                <w:rFonts w:hint="default" w:ascii="Times New Roman" w:hAnsi="Times New Roman" w:eastAsia="宋体" w:cs="Times New Roman"/>
                <w:color w:val="auto"/>
                <w:highlight w:val="none"/>
                <w:lang w:val="en-US" w:eastAsia="zh-CN"/>
              </w:rPr>
              <w:t>同类型企业的类比调查，车辆冲洗水量消耗量为0.05m</w:t>
            </w:r>
            <w:r>
              <w:rPr>
                <w:rFonts w:hint="default" w:ascii="Times New Roman" w:hAnsi="Times New Roman" w:eastAsia="宋体" w:cs="Times New Roman"/>
                <w:color w:val="auto"/>
                <w:highlight w:val="none"/>
                <w:vertAlign w:val="superscript"/>
                <w:lang w:val="en-US" w:eastAsia="zh-CN"/>
              </w:rPr>
              <w:t>3</w:t>
            </w:r>
            <w:r>
              <w:rPr>
                <w:rFonts w:hint="default" w:ascii="Times New Roman" w:hAnsi="Times New Roman" w:eastAsia="宋体" w:cs="Times New Roman"/>
                <w:color w:val="auto"/>
                <w:highlight w:val="none"/>
                <w:lang w:val="en-US" w:eastAsia="zh-CN"/>
              </w:rPr>
              <w:t>次，则车辆冲洗用水量约为2</w:t>
            </w:r>
            <w:r>
              <w:rPr>
                <w:rFonts w:hint="eastAsia" w:cs="Times New Roman"/>
                <w:color w:val="auto"/>
                <w:highlight w:val="none"/>
                <w:lang w:val="en-US" w:eastAsia="zh-CN"/>
              </w:rPr>
              <w:t>.2</w:t>
            </w:r>
            <w:r>
              <w:rPr>
                <w:rFonts w:hint="default" w:ascii="Times New Roman" w:hAnsi="Times New Roman" w:eastAsia="宋体" w:cs="Times New Roman"/>
                <w:color w:val="auto"/>
                <w:highlight w:val="none"/>
                <w:lang w:val="en-US" w:eastAsia="zh-CN"/>
              </w:rPr>
              <w:t>m</w:t>
            </w:r>
            <w:r>
              <w:rPr>
                <w:rFonts w:hint="default" w:ascii="Times New Roman" w:hAnsi="Times New Roman" w:eastAsia="宋体" w:cs="Times New Roman"/>
                <w:color w:val="auto"/>
                <w:highlight w:val="none"/>
                <w:vertAlign w:val="superscript"/>
                <w:lang w:val="en-US" w:eastAsia="zh-CN"/>
              </w:rPr>
              <w:t>3</w:t>
            </w:r>
            <w:r>
              <w:rPr>
                <w:rFonts w:hint="default" w:ascii="Times New Roman" w:hAnsi="Times New Roman" w:eastAsia="宋体" w:cs="Times New Roman"/>
                <w:color w:val="auto"/>
                <w:highlight w:val="none"/>
                <w:lang w:val="en-US" w:eastAsia="zh-CN"/>
              </w:rPr>
              <w:t>/d（6</w:t>
            </w:r>
            <w:r>
              <w:rPr>
                <w:rFonts w:hint="eastAsia" w:cs="Times New Roman"/>
                <w:color w:val="auto"/>
                <w:highlight w:val="none"/>
                <w:lang w:val="en-US" w:eastAsia="zh-CN"/>
              </w:rPr>
              <w:t>05</w:t>
            </w:r>
            <w:r>
              <w:rPr>
                <w:rFonts w:hint="default" w:ascii="Times New Roman" w:hAnsi="Times New Roman" w:eastAsia="宋体" w:cs="Times New Roman"/>
                <w:color w:val="auto"/>
                <w:highlight w:val="none"/>
                <w:lang w:val="en-US" w:eastAsia="zh-CN"/>
              </w:rPr>
              <w:t>m</w:t>
            </w:r>
            <w:r>
              <w:rPr>
                <w:rFonts w:hint="default" w:ascii="Times New Roman" w:hAnsi="Times New Roman" w:eastAsia="宋体" w:cs="Times New Roman"/>
                <w:color w:val="auto"/>
                <w:highlight w:val="none"/>
                <w:vertAlign w:val="superscript"/>
                <w:lang w:val="en-US" w:eastAsia="zh-CN"/>
              </w:rPr>
              <w:t>3</w:t>
            </w:r>
            <w:r>
              <w:rPr>
                <w:rFonts w:hint="default" w:ascii="Times New Roman" w:hAnsi="Times New Roman" w:eastAsia="宋体" w:cs="Times New Roman"/>
                <w:color w:val="auto"/>
                <w:highlight w:val="none"/>
                <w:lang w:val="en-US" w:eastAsia="zh-CN"/>
              </w:rPr>
              <w:t>/a），废水经沉淀后循环使用，循环水量</w:t>
            </w:r>
            <w:r>
              <w:rPr>
                <w:rFonts w:hint="eastAsia" w:cs="Times New Roman"/>
                <w:color w:val="auto"/>
                <w:highlight w:val="none"/>
                <w:lang w:val="en-US" w:eastAsia="zh-CN"/>
              </w:rPr>
              <w:t>1.8</w:t>
            </w:r>
            <w:r>
              <w:rPr>
                <w:rFonts w:hint="default" w:ascii="Times New Roman" w:hAnsi="Times New Roman" w:cs="Times New Roman" w:eastAsiaTheme="minorEastAsia"/>
                <w:color w:val="auto"/>
                <w:sz w:val="24"/>
                <w:highlight w:val="none"/>
                <w:lang w:val="en-US" w:eastAsia="zh-CN"/>
              </w:rPr>
              <w:t>m</w:t>
            </w:r>
            <w:r>
              <w:rPr>
                <w:rFonts w:hint="default" w:ascii="Times New Roman" w:hAnsi="Times New Roman" w:cs="Times New Roman" w:eastAsiaTheme="minorEastAsia"/>
                <w:color w:val="auto"/>
                <w:sz w:val="24"/>
                <w:highlight w:val="none"/>
                <w:vertAlign w:val="superscript"/>
                <w:lang w:val="en-US" w:eastAsia="zh-CN"/>
              </w:rPr>
              <w:t>3</w:t>
            </w:r>
            <w:r>
              <w:rPr>
                <w:rFonts w:hint="default" w:ascii="Times New Roman" w:hAnsi="Times New Roman" w:cs="Times New Roman" w:eastAsiaTheme="minorEastAsia"/>
                <w:color w:val="auto"/>
                <w:sz w:val="24"/>
                <w:highlight w:val="none"/>
                <w:lang w:val="en-US" w:eastAsia="zh-CN"/>
              </w:rPr>
              <w:t>/d（</w:t>
            </w:r>
            <w:r>
              <w:rPr>
                <w:rFonts w:hint="eastAsia" w:cs="Times New Roman" w:eastAsiaTheme="minorEastAsia"/>
                <w:color w:val="auto"/>
                <w:sz w:val="24"/>
                <w:highlight w:val="none"/>
                <w:lang w:val="en-US" w:eastAsia="zh-CN"/>
              </w:rPr>
              <w:t>495</w:t>
            </w:r>
            <w:r>
              <w:rPr>
                <w:rFonts w:hint="default" w:ascii="Times New Roman" w:hAnsi="Times New Roman" w:cs="Times New Roman" w:eastAsiaTheme="minorEastAsia"/>
                <w:color w:val="auto"/>
                <w:sz w:val="24"/>
                <w:highlight w:val="none"/>
                <w:lang w:val="en-US" w:eastAsia="zh-CN"/>
              </w:rPr>
              <w:t>m</w:t>
            </w:r>
            <w:r>
              <w:rPr>
                <w:rFonts w:hint="default" w:ascii="Times New Roman" w:hAnsi="Times New Roman" w:cs="Times New Roman" w:eastAsiaTheme="minorEastAsia"/>
                <w:color w:val="auto"/>
                <w:sz w:val="24"/>
                <w:highlight w:val="none"/>
                <w:vertAlign w:val="superscript"/>
                <w:lang w:val="en-US" w:eastAsia="zh-CN"/>
              </w:rPr>
              <w:t>3</w:t>
            </w:r>
            <w:r>
              <w:rPr>
                <w:rFonts w:hint="default" w:ascii="Times New Roman" w:hAnsi="Times New Roman" w:cs="Times New Roman" w:eastAsiaTheme="minorEastAsia"/>
                <w:color w:val="auto"/>
                <w:sz w:val="24"/>
                <w:highlight w:val="none"/>
                <w:lang w:val="en-US" w:eastAsia="zh-CN"/>
              </w:rPr>
              <w:t>/a），损失水量约</w:t>
            </w:r>
            <w:r>
              <w:rPr>
                <w:rFonts w:hint="eastAsia" w:cs="Times New Roman" w:eastAsiaTheme="minorEastAsia"/>
                <w:color w:val="auto"/>
                <w:sz w:val="24"/>
                <w:highlight w:val="none"/>
                <w:lang w:val="en-US" w:eastAsia="zh-CN"/>
              </w:rPr>
              <w:t>0.4</w:t>
            </w:r>
            <w:r>
              <w:rPr>
                <w:rFonts w:hint="default" w:ascii="Times New Roman" w:hAnsi="Times New Roman" w:cs="Times New Roman" w:eastAsiaTheme="minorEastAsia"/>
                <w:color w:val="auto"/>
                <w:sz w:val="24"/>
                <w:highlight w:val="none"/>
                <w:lang w:val="en-US" w:eastAsia="zh-CN"/>
              </w:rPr>
              <w:t>m</w:t>
            </w:r>
            <w:r>
              <w:rPr>
                <w:rFonts w:hint="default" w:ascii="Times New Roman" w:hAnsi="Times New Roman" w:cs="Times New Roman" w:eastAsiaTheme="minorEastAsia"/>
                <w:color w:val="auto"/>
                <w:sz w:val="24"/>
                <w:highlight w:val="none"/>
                <w:vertAlign w:val="superscript"/>
                <w:lang w:val="en-US" w:eastAsia="zh-CN"/>
              </w:rPr>
              <w:t>3</w:t>
            </w:r>
            <w:r>
              <w:rPr>
                <w:rFonts w:hint="default" w:ascii="Times New Roman" w:hAnsi="Times New Roman" w:cs="Times New Roman" w:eastAsiaTheme="minorEastAsia"/>
                <w:color w:val="auto"/>
                <w:sz w:val="24"/>
                <w:highlight w:val="none"/>
                <w:lang w:val="en-US" w:eastAsia="zh-CN"/>
              </w:rPr>
              <w:t>/d（</w:t>
            </w:r>
            <w:r>
              <w:rPr>
                <w:rFonts w:hint="eastAsia" w:cs="Times New Roman" w:eastAsiaTheme="minorEastAsia"/>
                <w:color w:val="auto"/>
                <w:sz w:val="24"/>
                <w:highlight w:val="none"/>
                <w:lang w:val="en-US" w:eastAsia="zh-CN"/>
              </w:rPr>
              <w:t>110</w:t>
            </w:r>
            <w:r>
              <w:rPr>
                <w:rFonts w:hint="default" w:ascii="Times New Roman" w:hAnsi="Times New Roman" w:cs="Times New Roman" w:eastAsiaTheme="minorEastAsia"/>
                <w:color w:val="auto"/>
                <w:sz w:val="24"/>
                <w:highlight w:val="none"/>
                <w:lang w:val="en-US" w:eastAsia="zh-CN"/>
              </w:rPr>
              <w:t>m</w:t>
            </w:r>
            <w:r>
              <w:rPr>
                <w:rFonts w:hint="default" w:ascii="Times New Roman" w:hAnsi="Times New Roman" w:cs="Times New Roman" w:eastAsiaTheme="minorEastAsia"/>
                <w:color w:val="auto"/>
                <w:sz w:val="24"/>
                <w:highlight w:val="none"/>
                <w:vertAlign w:val="superscript"/>
                <w:lang w:val="en-US" w:eastAsia="zh-CN"/>
              </w:rPr>
              <w:t>3</w:t>
            </w:r>
            <w:r>
              <w:rPr>
                <w:rFonts w:hint="default" w:ascii="Times New Roman" w:hAnsi="Times New Roman" w:cs="Times New Roman" w:eastAsiaTheme="minorEastAsia"/>
                <w:color w:val="auto"/>
                <w:sz w:val="24"/>
                <w:highlight w:val="none"/>
                <w:lang w:val="en-US" w:eastAsia="zh-CN"/>
              </w:rPr>
              <w:t>/a）</w:t>
            </w:r>
            <w:r>
              <w:rPr>
                <w:rFonts w:hint="eastAsia" w:ascii="Times New Roman" w:hAnsi="Times New Roman" w:cs="Times New Roman" w:eastAsiaTheme="minorEastAsia"/>
                <w:color w:val="auto"/>
                <w:sz w:val="24"/>
                <w:highlight w:val="none"/>
                <w:lang w:val="en-US" w:eastAsia="zh-CN"/>
              </w:rPr>
              <w:t>补充</w:t>
            </w:r>
            <w:r>
              <w:rPr>
                <w:rFonts w:hint="default" w:ascii="Times New Roman" w:hAnsi="Times New Roman" w:cs="Times New Roman" w:eastAsiaTheme="minorEastAsia"/>
                <w:color w:val="auto"/>
                <w:sz w:val="24"/>
                <w:highlight w:val="none"/>
                <w:lang w:val="en-US" w:eastAsia="zh-CN"/>
              </w:rPr>
              <w:t>水量约</w:t>
            </w:r>
            <w:r>
              <w:rPr>
                <w:rFonts w:hint="eastAsia" w:cs="Times New Roman" w:eastAsiaTheme="minorEastAsia"/>
                <w:color w:val="auto"/>
                <w:sz w:val="24"/>
                <w:highlight w:val="none"/>
                <w:lang w:val="en-US" w:eastAsia="zh-CN"/>
              </w:rPr>
              <w:t>0.4</w:t>
            </w:r>
            <w:r>
              <w:rPr>
                <w:rFonts w:hint="default" w:ascii="Times New Roman" w:hAnsi="Times New Roman" w:cs="Times New Roman" w:eastAsiaTheme="minorEastAsia"/>
                <w:color w:val="auto"/>
                <w:sz w:val="24"/>
                <w:highlight w:val="none"/>
                <w:lang w:val="en-US" w:eastAsia="zh-CN"/>
              </w:rPr>
              <w:t>m</w:t>
            </w:r>
            <w:r>
              <w:rPr>
                <w:rFonts w:hint="default" w:ascii="Times New Roman" w:hAnsi="Times New Roman" w:cs="Times New Roman" w:eastAsiaTheme="minorEastAsia"/>
                <w:color w:val="auto"/>
                <w:sz w:val="24"/>
                <w:highlight w:val="none"/>
                <w:vertAlign w:val="superscript"/>
                <w:lang w:val="en-US" w:eastAsia="zh-CN"/>
              </w:rPr>
              <w:t>3</w:t>
            </w:r>
            <w:r>
              <w:rPr>
                <w:rFonts w:hint="default" w:ascii="Times New Roman" w:hAnsi="Times New Roman" w:cs="Times New Roman" w:eastAsiaTheme="minorEastAsia"/>
                <w:color w:val="auto"/>
                <w:sz w:val="24"/>
                <w:highlight w:val="none"/>
                <w:lang w:val="en-US" w:eastAsia="zh-CN"/>
              </w:rPr>
              <w:t>/d（</w:t>
            </w:r>
            <w:r>
              <w:rPr>
                <w:rFonts w:hint="eastAsia" w:cs="Times New Roman" w:eastAsiaTheme="minorEastAsia"/>
                <w:color w:val="auto"/>
                <w:sz w:val="24"/>
                <w:highlight w:val="none"/>
                <w:lang w:val="en-US" w:eastAsia="zh-CN"/>
              </w:rPr>
              <w:t>110</w:t>
            </w:r>
            <w:r>
              <w:rPr>
                <w:rFonts w:hint="default" w:ascii="Times New Roman" w:hAnsi="Times New Roman" w:cs="Times New Roman" w:eastAsiaTheme="minorEastAsia"/>
                <w:color w:val="auto"/>
                <w:sz w:val="24"/>
                <w:highlight w:val="none"/>
                <w:lang w:val="en-US" w:eastAsia="zh-CN"/>
              </w:rPr>
              <w:t>m</w:t>
            </w:r>
            <w:r>
              <w:rPr>
                <w:rFonts w:hint="default" w:ascii="Times New Roman" w:hAnsi="Times New Roman" w:cs="Times New Roman" w:eastAsiaTheme="minorEastAsia"/>
                <w:color w:val="auto"/>
                <w:sz w:val="24"/>
                <w:highlight w:val="none"/>
                <w:vertAlign w:val="superscript"/>
                <w:lang w:val="en-US" w:eastAsia="zh-CN"/>
              </w:rPr>
              <w:t>3</w:t>
            </w:r>
            <w:r>
              <w:rPr>
                <w:rFonts w:hint="default" w:ascii="Times New Roman" w:hAnsi="Times New Roman" w:cs="Times New Roman" w:eastAsiaTheme="minorEastAsia"/>
                <w:color w:val="auto"/>
                <w:sz w:val="24"/>
                <w:highlight w:val="none"/>
                <w:lang w:val="en-US" w:eastAsia="zh-CN"/>
              </w:rPr>
              <w:t>/a）</w:t>
            </w:r>
            <w:r>
              <w:rPr>
                <w:rFonts w:hint="default" w:ascii="Times New Roman" w:hAnsi="Times New Roman" w:eastAsia="宋体" w:cs="Times New Roman"/>
                <w:color w:val="auto"/>
                <w:highlight w:val="none"/>
                <w:lang w:val="en-US" w:eastAsia="zh-CN"/>
              </w:rPr>
              <w:t>。</w:t>
            </w:r>
          </w:p>
          <w:p>
            <w:pPr>
              <w:pStyle w:val="22"/>
              <w:keepNext w:val="0"/>
              <w:keepLines w:val="0"/>
              <w:pageBreakBefore w:val="0"/>
              <w:widowControl w:val="0"/>
              <w:kinsoku/>
              <w:wordWrap/>
              <w:overflowPunct/>
              <w:topLinePunct w:val="0"/>
              <w:autoSpaceDE/>
              <w:autoSpaceDN/>
              <w:bidi w:val="0"/>
              <w:adjustRightInd/>
              <w:snapToGrid w:val="0"/>
              <w:spacing w:after="0" w:line="360" w:lineRule="auto"/>
              <w:ind w:left="0" w:leftChars="0" w:firstLine="480" w:firstLineChars="200"/>
              <w:textAlignment w:val="auto"/>
              <w:rPr>
                <w:rFonts w:hint="eastAsia" w:ascii="宋体" w:hAnsi="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③</w:t>
            </w:r>
            <w:r>
              <w:rPr>
                <w:rFonts w:hint="eastAsia" w:ascii="宋体" w:hAnsi="宋体" w:cs="宋体"/>
                <w:bCs/>
                <w:color w:val="auto"/>
                <w:kern w:val="2"/>
                <w:sz w:val="24"/>
                <w:szCs w:val="24"/>
                <w:highlight w:val="none"/>
                <w:lang w:val="en-US" w:eastAsia="zh-CN" w:bidi="ar-SA"/>
              </w:rPr>
              <w:t>搅拌机冲洗用水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color w:val="auto"/>
                <w:highlight w:val="none"/>
                <w:lang w:val="en-US" w:eastAsia="zh-CN"/>
              </w:rPr>
            </w:pPr>
            <w:r>
              <w:rPr>
                <w:rFonts w:hint="eastAsia"/>
                <w:color w:val="auto"/>
                <w:highlight w:val="none"/>
                <w:lang w:val="en-US" w:eastAsia="zh-CN"/>
              </w:rPr>
              <w:t>搅拌机平均按每天冲洗一次，</w:t>
            </w:r>
            <w:r>
              <w:rPr>
                <w:rFonts w:hint="default" w:ascii="Times New Roman" w:hAnsi="Times New Roman" w:eastAsia="宋体" w:cs="Times New Roman"/>
                <w:color w:val="auto"/>
                <w:highlight w:val="none"/>
                <w:lang w:val="en-US" w:eastAsia="zh-CN"/>
              </w:rPr>
              <w:t>根据对</w:t>
            </w:r>
            <w:r>
              <w:rPr>
                <w:rFonts w:hint="eastAsia" w:cs="Times New Roman"/>
                <w:color w:val="auto"/>
                <w:highlight w:val="none"/>
                <w:lang w:val="en-US" w:eastAsia="zh-CN"/>
              </w:rPr>
              <w:t>已运行的</w:t>
            </w:r>
            <w:r>
              <w:rPr>
                <w:rFonts w:hint="default" w:ascii="Times New Roman" w:hAnsi="Times New Roman" w:eastAsia="宋体" w:cs="Times New Roman"/>
                <w:color w:val="auto"/>
                <w:highlight w:val="none"/>
                <w:lang w:val="en-US" w:eastAsia="zh-CN"/>
              </w:rPr>
              <w:t>同类型企业的类比调查</w:t>
            </w:r>
            <w:r>
              <w:rPr>
                <w:rFonts w:hint="eastAsia" w:ascii="Times New Roman" w:hAnsi="Times New Roman" w:eastAsia="宋体" w:cs="Times New Roman"/>
                <w:color w:val="auto"/>
                <w:highlight w:val="none"/>
                <w:lang w:val="en-US" w:eastAsia="zh-CN"/>
              </w:rPr>
              <w:t>，冲洗用水</w:t>
            </w:r>
            <w:r>
              <w:rPr>
                <w:rFonts w:hint="eastAsia"/>
                <w:color w:val="auto"/>
                <w:highlight w:val="none"/>
                <w:lang w:val="en-US" w:eastAsia="zh-CN"/>
              </w:rPr>
              <w:t>按照2.0m</w:t>
            </w:r>
            <w:r>
              <w:rPr>
                <w:rFonts w:hint="eastAsia"/>
                <w:color w:val="auto"/>
                <w:highlight w:val="none"/>
                <w:vertAlign w:val="superscript"/>
                <w:lang w:val="en-US" w:eastAsia="zh-CN"/>
              </w:rPr>
              <w:t>3</w:t>
            </w:r>
            <w:r>
              <w:rPr>
                <w:rFonts w:hint="eastAsia"/>
                <w:color w:val="auto"/>
                <w:highlight w:val="none"/>
                <w:lang w:val="en-US" w:eastAsia="zh-CN"/>
              </w:rPr>
              <w:t>/次计，搅拌机冲洗水用量为4.0m</w:t>
            </w:r>
            <w:r>
              <w:rPr>
                <w:rFonts w:hint="eastAsia"/>
                <w:color w:val="auto"/>
                <w:highlight w:val="none"/>
                <w:vertAlign w:val="superscript"/>
                <w:lang w:val="en-US" w:eastAsia="zh-CN"/>
              </w:rPr>
              <w:t>3</w:t>
            </w:r>
            <w:r>
              <w:rPr>
                <w:rFonts w:hint="eastAsia"/>
                <w:color w:val="auto"/>
                <w:highlight w:val="none"/>
                <w:lang w:val="en-US" w:eastAsia="zh-CN"/>
              </w:rPr>
              <w:t>/d（1100m</w:t>
            </w:r>
            <w:r>
              <w:rPr>
                <w:rFonts w:hint="eastAsia"/>
                <w:color w:val="auto"/>
                <w:highlight w:val="none"/>
                <w:vertAlign w:val="superscript"/>
                <w:lang w:val="en-US" w:eastAsia="zh-CN"/>
              </w:rPr>
              <w:t>3</w:t>
            </w:r>
            <w:r>
              <w:rPr>
                <w:rFonts w:hint="eastAsia"/>
                <w:color w:val="auto"/>
                <w:highlight w:val="none"/>
                <w:lang w:val="en-US" w:eastAsia="zh-CN"/>
              </w:rPr>
              <w:t>/a），</w:t>
            </w:r>
            <w:r>
              <w:rPr>
                <w:rFonts w:hint="default" w:ascii="Times New Roman" w:hAnsi="Times New Roman" w:eastAsia="宋体" w:cs="Times New Roman"/>
                <w:color w:val="auto"/>
                <w:highlight w:val="none"/>
                <w:lang w:val="en-US" w:eastAsia="zh-CN"/>
              </w:rPr>
              <w:t>废水经沉淀后循环使用，循环水量</w:t>
            </w:r>
            <w:r>
              <w:rPr>
                <w:rFonts w:hint="eastAsia" w:cs="Times New Roman"/>
                <w:color w:val="auto"/>
                <w:highlight w:val="none"/>
                <w:lang w:val="en-US" w:eastAsia="zh-CN"/>
              </w:rPr>
              <w:t>3.2</w:t>
            </w:r>
            <w:r>
              <w:rPr>
                <w:rFonts w:hint="default" w:ascii="Times New Roman" w:hAnsi="Times New Roman" w:cs="Times New Roman" w:eastAsiaTheme="minorEastAsia"/>
                <w:color w:val="auto"/>
                <w:sz w:val="24"/>
                <w:highlight w:val="none"/>
                <w:lang w:val="en-US" w:eastAsia="zh-CN"/>
              </w:rPr>
              <w:t>m</w:t>
            </w:r>
            <w:r>
              <w:rPr>
                <w:rFonts w:hint="default" w:ascii="Times New Roman" w:hAnsi="Times New Roman" w:cs="Times New Roman" w:eastAsiaTheme="minorEastAsia"/>
                <w:color w:val="auto"/>
                <w:sz w:val="24"/>
                <w:highlight w:val="none"/>
                <w:vertAlign w:val="superscript"/>
                <w:lang w:val="en-US" w:eastAsia="zh-CN"/>
              </w:rPr>
              <w:t>3</w:t>
            </w:r>
            <w:r>
              <w:rPr>
                <w:rFonts w:hint="default" w:ascii="Times New Roman" w:hAnsi="Times New Roman" w:cs="Times New Roman" w:eastAsiaTheme="minorEastAsia"/>
                <w:color w:val="auto"/>
                <w:sz w:val="24"/>
                <w:highlight w:val="none"/>
                <w:lang w:val="en-US" w:eastAsia="zh-CN"/>
              </w:rPr>
              <w:t>/d（</w:t>
            </w:r>
            <w:r>
              <w:rPr>
                <w:rFonts w:hint="eastAsia" w:cs="Times New Roman" w:eastAsiaTheme="minorEastAsia"/>
                <w:color w:val="auto"/>
                <w:sz w:val="24"/>
                <w:highlight w:val="none"/>
                <w:lang w:val="en-US" w:eastAsia="zh-CN"/>
              </w:rPr>
              <w:t>880</w:t>
            </w:r>
            <w:r>
              <w:rPr>
                <w:rFonts w:hint="default" w:ascii="Times New Roman" w:hAnsi="Times New Roman" w:cs="Times New Roman" w:eastAsiaTheme="minorEastAsia"/>
                <w:color w:val="auto"/>
                <w:sz w:val="24"/>
                <w:highlight w:val="none"/>
                <w:lang w:val="en-US" w:eastAsia="zh-CN"/>
              </w:rPr>
              <w:t>m</w:t>
            </w:r>
            <w:r>
              <w:rPr>
                <w:rFonts w:hint="default" w:ascii="Times New Roman" w:hAnsi="Times New Roman" w:cs="Times New Roman" w:eastAsiaTheme="minorEastAsia"/>
                <w:color w:val="auto"/>
                <w:sz w:val="24"/>
                <w:highlight w:val="none"/>
                <w:vertAlign w:val="superscript"/>
                <w:lang w:val="en-US" w:eastAsia="zh-CN"/>
              </w:rPr>
              <w:t>3</w:t>
            </w:r>
            <w:r>
              <w:rPr>
                <w:rFonts w:hint="default" w:ascii="Times New Roman" w:hAnsi="Times New Roman" w:cs="Times New Roman" w:eastAsiaTheme="minorEastAsia"/>
                <w:color w:val="auto"/>
                <w:sz w:val="24"/>
                <w:highlight w:val="none"/>
                <w:lang w:val="en-US" w:eastAsia="zh-CN"/>
              </w:rPr>
              <w:t>/a），损失水量约</w:t>
            </w:r>
            <w:r>
              <w:rPr>
                <w:rFonts w:hint="eastAsia" w:cs="Times New Roman" w:eastAsiaTheme="minorEastAsia"/>
                <w:color w:val="auto"/>
                <w:sz w:val="24"/>
                <w:highlight w:val="none"/>
                <w:lang w:val="en-US" w:eastAsia="zh-CN"/>
              </w:rPr>
              <w:t>0.8</w:t>
            </w:r>
            <w:r>
              <w:rPr>
                <w:rFonts w:hint="default" w:ascii="Times New Roman" w:hAnsi="Times New Roman" w:cs="Times New Roman" w:eastAsiaTheme="minorEastAsia"/>
                <w:color w:val="auto"/>
                <w:sz w:val="24"/>
                <w:highlight w:val="none"/>
                <w:lang w:val="en-US" w:eastAsia="zh-CN"/>
              </w:rPr>
              <w:t>m</w:t>
            </w:r>
            <w:r>
              <w:rPr>
                <w:rFonts w:hint="default" w:ascii="Times New Roman" w:hAnsi="Times New Roman" w:cs="Times New Roman" w:eastAsiaTheme="minorEastAsia"/>
                <w:color w:val="auto"/>
                <w:sz w:val="24"/>
                <w:highlight w:val="none"/>
                <w:vertAlign w:val="superscript"/>
                <w:lang w:val="en-US" w:eastAsia="zh-CN"/>
              </w:rPr>
              <w:t>3</w:t>
            </w:r>
            <w:r>
              <w:rPr>
                <w:rFonts w:hint="default" w:ascii="Times New Roman" w:hAnsi="Times New Roman" w:cs="Times New Roman" w:eastAsiaTheme="minorEastAsia"/>
                <w:color w:val="auto"/>
                <w:sz w:val="24"/>
                <w:highlight w:val="none"/>
                <w:lang w:val="en-US" w:eastAsia="zh-CN"/>
              </w:rPr>
              <w:t>/d（</w:t>
            </w:r>
            <w:r>
              <w:rPr>
                <w:rFonts w:hint="eastAsia" w:cs="Times New Roman" w:eastAsiaTheme="minorEastAsia"/>
                <w:color w:val="auto"/>
                <w:sz w:val="24"/>
                <w:highlight w:val="none"/>
                <w:lang w:val="en-US" w:eastAsia="zh-CN"/>
              </w:rPr>
              <w:t>220</w:t>
            </w:r>
            <w:r>
              <w:rPr>
                <w:rFonts w:hint="default" w:ascii="Times New Roman" w:hAnsi="Times New Roman" w:cs="Times New Roman" w:eastAsiaTheme="minorEastAsia"/>
                <w:color w:val="auto"/>
                <w:sz w:val="24"/>
                <w:highlight w:val="none"/>
                <w:lang w:val="en-US" w:eastAsia="zh-CN"/>
              </w:rPr>
              <w:t>m</w:t>
            </w:r>
            <w:r>
              <w:rPr>
                <w:rFonts w:hint="default" w:ascii="Times New Roman" w:hAnsi="Times New Roman" w:cs="Times New Roman" w:eastAsiaTheme="minorEastAsia"/>
                <w:color w:val="auto"/>
                <w:sz w:val="24"/>
                <w:highlight w:val="none"/>
                <w:vertAlign w:val="superscript"/>
                <w:lang w:val="en-US" w:eastAsia="zh-CN"/>
              </w:rPr>
              <w:t>3</w:t>
            </w:r>
            <w:r>
              <w:rPr>
                <w:rFonts w:hint="default" w:ascii="Times New Roman" w:hAnsi="Times New Roman" w:cs="Times New Roman" w:eastAsiaTheme="minorEastAsia"/>
                <w:color w:val="auto"/>
                <w:sz w:val="24"/>
                <w:highlight w:val="none"/>
                <w:lang w:val="en-US" w:eastAsia="zh-CN"/>
              </w:rPr>
              <w:t>/a）</w:t>
            </w:r>
            <w:r>
              <w:rPr>
                <w:rFonts w:hint="eastAsia" w:ascii="Times New Roman" w:hAnsi="Times New Roman" w:cs="Times New Roman" w:eastAsiaTheme="minorEastAsia"/>
                <w:color w:val="auto"/>
                <w:sz w:val="24"/>
                <w:highlight w:val="none"/>
                <w:lang w:val="en-US" w:eastAsia="zh-CN"/>
              </w:rPr>
              <w:t>补充</w:t>
            </w:r>
            <w:r>
              <w:rPr>
                <w:rFonts w:hint="default" w:ascii="Times New Roman" w:hAnsi="Times New Roman" w:cs="Times New Roman" w:eastAsiaTheme="minorEastAsia"/>
                <w:color w:val="auto"/>
                <w:sz w:val="24"/>
                <w:highlight w:val="none"/>
                <w:lang w:val="en-US" w:eastAsia="zh-CN"/>
              </w:rPr>
              <w:t>水量约</w:t>
            </w:r>
            <w:r>
              <w:rPr>
                <w:rFonts w:hint="eastAsia" w:cs="Times New Roman" w:eastAsiaTheme="minorEastAsia"/>
                <w:color w:val="auto"/>
                <w:sz w:val="24"/>
                <w:highlight w:val="none"/>
                <w:lang w:val="en-US" w:eastAsia="zh-CN"/>
              </w:rPr>
              <w:t>0.8</w:t>
            </w:r>
            <w:r>
              <w:rPr>
                <w:rFonts w:hint="default" w:ascii="Times New Roman" w:hAnsi="Times New Roman" w:cs="Times New Roman" w:eastAsiaTheme="minorEastAsia"/>
                <w:color w:val="auto"/>
                <w:sz w:val="24"/>
                <w:highlight w:val="none"/>
                <w:lang w:val="en-US" w:eastAsia="zh-CN"/>
              </w:rPr>
              <w:t>m</w:t>
            </w:r>
            <w:r>
              <w:rPr>
                <w:rFonts w:hint="default" w:ascii="Times New Roman" w:hAnsi="Times New Roman" w:cs="Times New Roman" w:eastAsiaTheme="minorEastAsia"/>
                <w:color w:val="auto"/>
                <w:sz w:val="24"/>
                <w:highlight w:val="none"/>
                <w:vertAlign w:val="superscript"/>
                <w:lang w:val="en-US" w:eastAsia="zh-CN"/>
              </w:rPr>
              <w:t>3</w:t>
            </w:r>
            <w:r>
              <w:rPr>
                <w:rFonts w:hint="default" w:ascii="Times New Roman" w:hAnsi="Times New Roman" w:cs="Times New Roman" w:eastAsiaTheme="minorEastAsia"/>
                <w:color w:val="auto"/>
                <w:sz w:val="24"/>
                <w:highlight w:val="none"/>
                <w:lang w:val="en-US" w:eastAsia="zh-CN"/>
              </w:rPr>
              <w:t>/d（</w:t>
            </w:r>
            <w:r>
              <w:rPr>
                <w:rFonts w:hint="eastAsia" w:cs="Times New Roman" w:eastAsiaTheme="minorEastAsia"/>
                <w:color w:val="auto"/>
                <w:sz w:val="24"/>
                <w:highlight w:val="none"/>
                <w:lang w:val="en-US" w:eastAsia="zh-CN"/>
              </w:rPr>
              <w:t>220</w:t>
            </w:r>
            <w:r>
              <w:rPr>
                <w:rFonts w:hint="default" w:ascii="Times New Roman" w:hAnsi="Times New Roman" w:cs="Times New Roman" w:eastAsiaTheme="minorEastAsia"/>
                <w:color w:val="auto"/>
                <w:sz w:val="24"/>
                <w:highlight w:val="none"/>
                <w:lang w:val="en-US" w:eastAsia="zh-CN"/>
              </w:rPr>
              <w:t>m</w:t>
            </w:r>
            <w:r>
              <w:rPr>
                <w:rFonts w:hint="default" w:ascii="Times New Roman" w:hAnsi="Times New Roman" w:cs="Times New Roman" w:eastAsiaTheme="minorEastAsia"/>
                <w:color w:val="auto"/>
                <w:sz w:val="24"/>
                <w:highlight w:val="none"/>
                <w:vertAlign w:val="superscript"/>
                <w:lang w:val="en-US" w:eastAsia="zh-CN"/>
              </w:rPr>
              <w:t>3</w:t>
            </w:r>
            <w:r>
              <w:rPr>
                <w:rFonts w:hint="default" w:ascii="Times New Roman" w:hAnsi="Times New Roman" w:cs="Times New Roman" w:eastAsiaTheme="minorEastAsia"/>
                <w:color w:val="auto"/>
                <w:sz w:val="24"/>
                <w:highlight w:val="none"/>
                <w:lang w:val="en-US" w:eastAsia="zh-CN"/>
              </w:rPr>
              <w:t>/a）</w:t>
            </w:r>
            <w:r>
              <w:rPr>
                <w:rFonts w:hint="default" w:ascii="Times New Roman" w:hAnsi="Times New Roman" w:eastAsia="宋体" w:cs="Times New Roman"/>
                <w:color w:val="auto"/>
                <w:highlight w:val="none"/>
                <w:lang w:val="en-US" w:eastAsia="zh-CN"/>
              </w:rPr>
              <w:t>。</w:t>
            </w:r>
          </w:p>
          <w:p>
            <w:pPr>
              <w:pStyle w:val="22"/>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w:t>
            </w:r>
            <w:r>
              <w:rPr>
                <w:rFonts w:hint="eastAsia" w:ascii="Times New Roman" w:hAnsi="Times New Roman" w:eastAsia="宋体" w:cs="Times New Roman"/>
                <w:bCs/>
                <w:color w:val="auto"/>
                <w:kern w:val="2"/>
                <w:sz w:val="24"/>
                <w:szCs w:val="24"/>
                <w:highlight w:val="none"/>
                <w:lang w:val="en-US" w:eastAsia="zh-CN" w:bidi="ar-SA"/>
              </w:rPr>
              <w:t>道路洒水降尘用水：主干道路路面宽9米</w:t>
            </w:r>
            <w:r>
              <w:rPr>
                <w:rFonts w:hint="eastAsia" w:cs="Times New Roman"/>
                <w:bCs/>
                <w:color w:val="auto"/>
                <w:kern w:val="2"/>
                <w:sz w:val="24"/>
                <w:szCs w:val="24"/>
                <w:highlight w:val="none"/>
                <w:lang w:val="en-US" w:eastAsia="zh-CN" w:bidi="ar-SA"/>
              </w:rPr>
              <w:t>，长60米</w:t>
            </w:r>
            <w:r>
              <w:rPr>
                <w:rFonts w:hint="eastAsia" w:ascii="Times New Roman" w:hAnsi="Times New Roman" w:eastAsia="宋体" w:cs="Times New Roman"/>
                <w:bCs/>
                <w:color w:val="auto"/>
                <w:kern w:val="2"/>
                <w:sz w:val="24"/>
                <w:szCs w:val="24"/>
                <w:highlight w:val="none"/>
                <w:lang w:val="en-US" w:eastAsia="zh-CN" w:bidi="ar-SA"/>
              </w:rPr>
              <w:t>，次干道路宽为6米，</w:t>
            </w:r>
            <w:r>
              <w:rPr>
                <w:rFonts w:hint="eastAsia" w:cs="Times New Roman"/>
                <w:bCs/>
                <w:color w:val="auto"/>
                <w:kern w:val="2"/>
                <w:sz w:val="24"/>
                <w:szCs w:val="24"/>
                <w:highlight w:val="none"/>
                <w:lang w:val="en-US" w:eastAsia="zh-CN" w:bidi="ar-SA"/>
              </w:rPr>
              <w:t>长85米，</w:t>
            </w:r>
            <w:r>
              <w:rPr>
                <w:rFonts w:hint="eastAsia" w:ascii="Times New Roman" w:hAnsi="Times New Roman" w:eastAsia="宋体" w:cs="Times New Roman"/>
                <w:bCs/>
                <w:color w:val="auto"/>
                <w:kern w:val="2"/>
                <w:sz w:val="24"/>
                <w:szCs w:val="24"/>
                <w:highlight w:val="none"/>
                <w:lang w:val="en-US" w:eastAsia="zh-CN" w:bidi="ar-SA"/>
              </w:rPr>
              <w:t>路面为水泥混凝土面层。本项目区</w:t>
            </w:r>
            <w:r>
              <w:rPr>
                <w:rFonts w:hint="eastAsia" w:ascii="Times New Roman" w:hAnsi="Times New Roman" w:eastAsia="宋体" w:cs="Times New Roman"/>
                <w:color w:val="auto"/>
                <w:kern w:val="2"/>
                <w:sz w:val="24"/>
                <w:szCs w:val="24"/>
                <w:highlight w:val="none"/>
                <w:lang w:val="en-US" w:eastAsia="zh-CN" w:bidi="ar-SA"/>
              </w:rPr>
              <w:t>运输道路共计占地</w:t>
            </w:r>
            <w:r>
              <w:rPr>
                <w:rFonts w:hint="eastAsia" w:cs="Times New Roman"/>
                <w:color w:val="auto"/>
                <w:kern w:val="2"/>
                <w:sz w:val="24"/>
                <w:szCs w:val="24"/>
                <w:highlight w:val="none"/>
                <w:lang w:val="en-US" w:eastAsia="zh-CN" w:bidi="ar-SA"/>
              </w:rPr>
              <w:t>1050</w:t>
            </w:r>
            <w:r>
              <w:rPr>
                <w:rFonts w:hint="eastAsia" w:ascii="Times New Roman" w:hAnsi="Times New Roman" w:eastAsia="宋体" w:cs="Times New Roman"/>
                <w:color w:val="auto"/>
                <w:kern w:val="2"/>
                <w:sz w:val="24"/>
                <w:szCs w:val="24"/>
                <w:highlight w:val="none"/>
                <w:lang w:val="en-US" w:eastAsia="zh-CN" w:bidi="ar-SA"/>
              </w:rPr>
              <w:t>m</w:t>
            </w:r>
            <w:r>
              <w:rPr>
                <w:rFonts w:hint="eastAsia" w:ascii="Times New Roman" w:hAnsi="Times New Roman" w:eastAsia="宋体" w:cs="Times New Roman"/>
                <w:color w:val="auto"/>
                <w:kern w:val="2"/>
                <w:sz w:val="24"/>
                <w:szCs w:val="24"/>
                <w:highlight w:val="none"/>
                <w:vertAlign w:val="superscript"/>
                <w:lang w:val="en-US" w:eastAsia="zh-CN" w:bidi="ar-SA"/>
              </w:rPr>
              <w:t>2</w:t>
            </w:r>
            <w:r>
              <w:rPr>
                <w:rFonts w:hint="eastAsia" w:ascii="Times New Roman" w:hAnsi="Times New Roman" w:eastAsia="宋体" w:cs="Times New Roman"/>
                <w:color w:val="auto"/>
                <w:kern w:val="2"/>
                <w:sz w:val="24"/>
                <w:szCs w:val="24"/>
                <w:highlight w:val="none"/>
                <w:vertAlign w:val="baseline"/>
                <w:lang w:val="en-US" w:eastAsia="zh-CN" w:bidi="ar-SA"/>
              </w:rPr>
              <w:t>，</w:t>
            </w:r>
            <w:r>
              <w:rPr>
                <w:rFonts w:hint="eastAsia"/>
                <w:bCs/>
                <w:color w:val="auto"/>
                <w:sz w:val="24"/>
                <w:szCs w:val="24"/>
                <w:highlight w:val="none"/>
              </w:rPr>
              <w:t>根据《建筑给水排水设计标准》GB50015-2019中洒水抑尘系数按2L/（m</w:t>
            </w:r>
            <w:r>
              <w:rPr>
                <w:rFonts w:hint="eastAsia"/>
                <w:bCs/>
                <w:color w:val="auto"/>
                <w:sz w:val="24"/>
                <w:szCs w:val="24"/>
                <w:highlight w:val="none"/>
                <w:vertAlign w:val="superscript"/>
              </w:rPr>
              <w:t>2</w:t>
            </w:r>
            <w:r>
              <w:rPr>
                <w:rFonts w:hint="eastAsia"/>
                <w:bCs/>
                <w:color w:val="auto"/>
                <w:sz w:val="24"/>
                <w:szCs w:val="24"/>
                <w:highlight w:val="none"/>
              </w:rPr>
              <w:t>*d）</w:t>
            </w:r>
            <w:r>
              <w:rPr>
                <w:rFonts w:hint="eastAsia"/>
                <w:color w:val="auto"/>
                <w:sz w:val="24"/>
                <w:szCs w:val="24"/>
                <w:highlight w:val="none"/>
              </w:rPr>
              <w:t>计算</w:t>
            </w:r>
            <w:r>
              <w:rPr>
                <w:rFonts w:hint="eastAsia"/>
                <w:color w:val="auto"/>
                <w:sz w:val="24"/>
                <w:szCs w:val="24"/>
                <w:highlight w:val="none"/>
                <w:lang w:eastAsia="zh-CN"/>
              </w:rPr>
              <w:t>，</w:t>
            </w:r>
            <w:r>
              <w:rPr>
                <w:rFonts w:hint="eastAsia"/>
                <w:color w:val="auto"/>
                <w:sz w:val="24"/>
                <w:szCs w:val="24"/>
                <w:highlight w:val="none"/>
              </w:rPr>
              <w:t>道路冬季不洒水，故洒水降尘用水为</w:t>
            </w:r>
            <w:r>
              <w:rPr>
                <w:rFonts w:hint="eastAsia"/>
                <w:color w:val="auto"/>
                <w:sz w:val="24"/>
                <w:szCs w:val="24"/>
                <w:highlight w:val="none"/>
                <w:lang w:val="en-US" w:eastAsia="zh-CN"/>
              </w:rPr>
              <w:t>2.1</w:t>
            </w:r>
            <w:r>
              <w:rPr>
                <w:rFonts w:hint="eastAsia"/>
                <w:color w:val="auto"/>
                <w:sz w:val="24"/>
                <w:szCs w:val="24"/>
                <w:highlight w:val="none"/>
              </w:rPr>
              <w:t>m</w:t>
            </w:r>
            <w:r>
              <w:rPr>
                <w:rFonts w:hint="eastAsia"/>
                <w:color w:val="auto"/>
                <w:sz w:val="24"/>
                <w:szCs w:val="24"/>
                <w:highlight w:val="none"/>
                <w:vertAlign w:val="superscript"/>
              </w:rPr>
              <w:t>3</w:t>
            </w:r>
            <w:r>
              <w:rPr>
                <w:rFonts w:hint="eastAsia"/>
                <w:color w:val="auto"/>
                <w:sz w:val="24"/>
                <w:szCs w:val="24"/>
                <w:highlight w:val="none"/>
              </w:rPr>
              <w:t>/d（</w:t>
            </w:r>
            <w:r>
              <w:rPr>
                <w:rFonts w:hint="eastAsia"/>
                <w:color w:val="auto"/>
                <w:sz w:val="24"/>
                <w:szCs w:val="24"/>
                <w:highlight w:val="none"/>
                <w:lang w:val="en-US" w:eastAsia="zh-CN"/>
              </w:rPr>
              <w:t>576</w:t>
            </w:r>
            <w:r>
              <w:rPr>
                <w:rFonts w:hint="eastAsia"/>
                <w:color w:val="auto"/>
                <w:sz w:val="24"/>
                <w:szCs w:val="24"/>
                <w:highlight w:val="none"/>
              </w:rPr>
              <w:t>m</w:t>
            </w:r>
            <w:r>
              <w:rPr>
                <w:rFonts w:hint="eastAsia"/>
                <w:color w:val="auto"/>
                <w:sz w:val="24"/>
                <w:szCs w:val="24"/>
                <w:highlight w:val="none"/>
                <w:vertAlign w:val="superscript"/>
              </w:rPr>
              <w:t>3</w:t>
            </w:r>
            <w:r>
              <w:rPr>
                <w:rFonts w:hint="eastAsia"/>
                <w:color w:val="auto"/>
                <w:sz w:val="24"/>
                <w:szCs w:val="24"/>
                <w:highlight w:val="none"/>
              </w:rPr>
              <w:t>/a）</w:t>
            </w:r>
            <w:r>
              <w:rPr>
                <w:rFonts w:hint="eastAsia"/>
                <w:color w:val="auto"/>
                <w:sz w:val="24"/>
                <w:szCs w:val="24"/>
                <w:highlight w:val="none"/>
                <w:lang w:eastAsia="zh-CN"/>
              </w:rPr>
              <w:t>。</w:t>
            </w:r>
            <w:r>
              <w:rPr>
                <w:rFonts w:hint="eastAsia" w:ascii="Times New Roman" w:hAnsi="Times New Roman" w:eastAsia="宋体" w:cs="Times New Roman"/>
                <w:bCs/>
                <w:color w:val="auto"/>
                <w:sz w:val="24"/>
                <w:szCs w:val="24"/>
                <w:highlight w:val="none"/>
                <w:lang w:eastAsia="zh-CN"/>
              </w:rPr>
              <w:t>该部分在使用过程中损耗，不会产生废水。</w:t>
            </w:r>
          </w:p>
          <w:p>
            <w:pPr>
              <w:pStyle w:val="2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⑤</w:t>
            </w:r>
            <w:r>
              <w:rPr>
                <w:rFonts w:hint="eastAsia" w:ascii="Times New Roman" w:hAnsi="Times New Roman" w:eastAsia="宋体" w:cs="Times New Roman"/>
                <w:color w:val="auto"/>
                <w:sz w:val="24"/>
                <w:szCs w:val="24"/>
                <w:highlight w:val="none"/>
                <w:lang w:val="en-US" w:eastAsia="zh-CN"/>
              </w:rPr>
              <w:t>实验室用水</w:t>
            </w:r>
          </w:p>
          <w:p>
            <w:pPr>
              <w:spacing w:line="360" w:lineRule="auto"/>
              <w:rPr>
                <w:rFonts w:hint="eastAsia" w:ascii="宋体" w:hAnsi="宋体" w:eastAsia="宋体" w:cs="宋体"/>
                <w:color w:val="auto"/>
                <w:kern w:val="0"/>
                <w:sz w:val="24"/>
                <w:szCs w:val="24"/>
                <w:highlight w:val="none"/>
                <w:lang w:val="en-US" w:eastAsia="zh-CN" w:bidi="ar-SA"/>
              </w:rPr>
            </w:pPr>
            <w:r>
              <w:rPr>
                <w:rFonts w:hint="eastAsia"/>
                <w:color w:val="auto"/>
                <w:highlight w:val="none"/>
                <w:lang w:val="en-US" w:eastAsia="zh-CN"/>
              </w:rPr>
              <w:t>本项目物理实验室主要为水泥、粉煤灰蓄水量、细度、砂石料的含水量、含泥量等物理性能试验，根据建设单位提供的资料并类比已投入运营的同类型企业，试验用水0.5m</w:t>
            </w:r>
            <w:r>
              <w:rPr>
                <w:rFonts w:hint="eastAsia"/>
                <w:color w:val="auto"/>
                <w:highlight w:val="none"/>
                <w:vertAlign w:val="superscript"/>
                <w:lang w:val="en-US" w:eastAsia="zh-CN"/>
              </w:rPr>
              <w:t>3</w:t>
            </w:r>
            <w:r>
              <w:rPr>
                <w:rFonts w:hint="eastAsia"/>
                <w:color w:val="auto"/>
                <w:highlight w:val="none"/>
                <w:lang w:val="en-US" w:eastAsia="zh-CN"/>
              </w:rPr>
              <w:t>/d（137.5m</w:t>
            </w:r>
            <w:r>
              <w:rPr>
                <w:rFonts w:hint="eastAsia"/>
                <w:color w:val="auto"/>
                <w:highlight w:val="none"/>
                <w:vertAlign w:val="superscript"/>
                <w:lang w:val="en-US" w:eastAsia="zh-CN"/>
              </w:rPr>
              <w:t>3</w:t>
            </w:r>
            <w:r>
              <w:rPr>
                <w:rFonts w:hint="eastAsia"/>
                <w:color w:val="auto"/>
                <w:highlight w:val="none"/>
                <w:lang w:val="en-US" w:eastAsia="zh-CN"/>
              </w:rPr>
              <w:t>/a）。</w:t>
            </w:r>
            <w:r>
              <w:rPr>
                <w:rFonts w:hint="eastAsia" w:ascii="Times New Roman" w:hAnsi="Times New Roman" w:eastAsia="宋体" w:cs="Times New Roman"/>
                <w:bCs/>
                <w:color w:val="auto"/>
                <w:sz w:val="24"/>
                <w:szCs w:val="24"/>
                <w:highlight w:val="none"/>
                <w:lang w:eastAsia="zh-CN"/>
              </w:rPr>
              <w:t>该部分在使用过程中</w:t>
            </w:r>
            <w:r>
              <w:rPr>
                <w:rFonts w:hint="eastAsia" w:cs="Times New Roman"/>
                <w:bCs/>
                <w:color w:val="auto"/>
                <w:sz w:val="24"/>
                <w:szCs w:val="24"/>
                <w:highlight w:val="none"/>
                <w:lang w:val="en-US" w:eastAsia="zh-CN"/>
              </w:rPr>
              <w:t>为原料吸收、</w:t>
            </w:r>
            <w:r>
              <w:rPr>
                <w:rFonts w:hint="eastAsia" w:ascii="Times New Roman" w:hAnsi="Times New Roman" w:eastAsia="宋体" w:cs="Times New Roman"/>
                <w:color w:val="auto"/>
                <w:highlight w:val="none"/>
                <w:lang w:val="en-US" w:eastAsia="zh-CN"/>
              </w:rPr>
              <w:t>损耗，不</w:t>
            </w:r>
            <w:r>
              <w:rPr>
                <w:rFonts w:hint="eastAsia" w:ascii="宋体" w:hAnsi="宋体" w:eastAsia="宋体" w:cs="宋体"/>
                <w:color w:val="auto"/>
                <w:kern w:val="0"/>
                <w:sz w:val="24"/>
                <w:szCs w:val="24"/>
                <w:highlight w:val="none"/>
                <w:lang w:val="en-US" w:eastAsia="zh-CN" w:bidi="ar-SA"/>
              </w:rPr>
              <w:t>会产生废水。</w:t>
            </w:r>
          </w:p>
          <w:p>
            <w:pPr>
              <w:pStyle w:val="2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⑥水稳站用水</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lang w:val="en-US" w:eastAsia="zh-CN"/>
              </w:rPr>
              <w:t>根据建设单位提供的资料，本项目水稳料搅拌用水量约为27.39m</w:t>
            </w:r>
            <w:r>
              <w:rPr>
                <w:rFonts w:hint="eastAsia"/>
                <w:vertAlign w:val="superscript"/>
                <w:lang w:val="en-US" w:eastAsia="zh-CN"/>
              </w:rPr>
              <w:t>3</w:t>
            </w:r>
            <w:r>
              <w:rPr>
                <w:rFonts w:hint="eastAsia"/>
                <w:lang w:val="en-US" w:eastAsia="zh-CN"/>
              </w:rPr>
              <w:t>/d(7532.25m</w:t>
            </w:r>
            <w:r>
              <w:rPr>
                <w:rFonts w:hint="eastAsia"/>
                <w:vertAlign w:val="superscript"/>
                <w:lang w:val="en-US" w:eastAsia="zh-CN"/>
              </w:rPr>
              <w:t>3</w:t>
            </w:r>
            <w:r>
              <w:rPr>
                <w:rFonts w:hint="eastAsia"/>
                <w:lang w:val="en-US" w:eastAsia="zh-CN"/>
              </w:rPr>
              <w:t>/a)</w:t>
            </w:r>
            <w:r>
              <w:rPr>
                <w:rFonts w:hint="eastAsia"/>
                <w:color w:val="auto"/>
                <w:lang w:val="en-US" w:eastAsia="zh-CN"/>
              </w:rPr>
              <w:t>。在水稳料生产过程中，水全部进入产品中。</w:t>
            </w:r>
          </w:p>
          <w:p>
            <w:pP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（2）生活用水</w:t>
            </w:r>
          </w:p>
          <w:p>
            <w:pP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本项目劳动定员</w:t>
            </w:r>
            <w:r>
              <w:rPr>
                <w:rFonts w:hint="eastAsia" w:cs="Times New Roman"/>
                <w:color w:val="auto"/>
                <w:highlight w:val="none"/>
                <w:lang w:val="en-US" w:eastAsia="zh-CN"/>
              </w:rPr>
              <w:t>30</w:t>
            </w:r>
            <w:r>
              <w:rPr>
                <w:rFonts w:hint="eastAsia" w:ascii="Times New Roman" w:hAnsi="Times New Roman" w:eastAsia="宋体" w:cs="Times New Roman"/>
                <w:color w:val="auto"/>
                <w:highlight w:val="none"/>
                <w:lang w:val="en-US" w:eastAsia="zh-CN"/>
              </w:rPr>
              <w:t>人，本次评价按《新疆维吾尔自治区生活用水定额》</w:t>
            </w:r>
            <w:r>
              <w:rPr>
                <w:rFonts w:hint="eastAsia" w:cs="Times New Roman"/>
                <w:color w:val="auto"/>
                <w:highlight w:val="none"/>
                <w:lang w:val="en-US" w:eastAsia="zh-CN"/>
              </w:rPr>
              <w:t>80</w:t>
            </w:r>
            <w:r>
              <w:rPr>
                <w:rFonts w:hint="eastAsia" w:ascii="Times New Roman" w:hAnsi="Times New Roman" w:eastAsia="宋体" w:cs="Times New Roman"/>
                <w:color w:val="auto"/>
                <w:highlight w:val="none"/>
                <w:lang w:val="en-US" w:eastAsia="zh-CN"/>
              </w:rPr>
              <w:t>L/人·d计，则项目区生活用水量为</w:t>
            </w:r>
            <w:r>
              <w:rPr>
                <w:rFonts w:hint="eastAsia" w:cs="Times New Roman"/>
                <w:color w:val="auto"/>
                <w:highlight w:val="none"/>
                <w:lang w:val="en-US" w:eastAsia="zh-CN"/>
              </w:rPr>
              <w:t>2.4</w:t>
            </w:r>
            <w:r>
              <w:rPr>
                <w:rFonts w:hint="eastAsia" w:ascii="Times New Roman" w:hAnsi="Times New Roman" w:eastAsia="宋体" w:cs="Times New Roman"/>
                <w:color w:val="auto"/>
                <w:highlight w:val="none"/>
                <w:lang w:val="en-US" w:eastAsia="zh-CN"/>
              </w:rPr>
              <w:t>m</w:t>
            </w:r>
            <w:r>
              <w:rPr>
                <w:rFonts w:hint="eastAsia" w:ascii="Times New Roman" w:hAnsi="Times New Roman" w:eastAsia="宋体" w:cs="Times New Roman"/>
                <w:color w:val="auto"/>
                <w:highlight w:val="none"/>
                <w:vertAlign w:val="superscript"/>
                <w:lang w:val="en-US" w:eastAsia="zh-CN"/>
              </w:rPr>
              <w:t>3</w:t>
            </w:r>
            <w:r>
              <w:rPr>
                <w:rFonts w:hint="eastAsia" w:ascii="Times New Roman" w:hAnsi="Times New Roman" w:eastAsia="宋体" w:cs="Times New Roman"/>
                <w:color w:val="auto"/>
                <w:highlight w:val="none"/>
                <w:lang w:val="en-US" w:eastAsia="zh-CN"/>
              </w:rPr>
              <w:t>/d（</w:t>
            </w:r>
            <w:r>
              <w:rPr>
                <w:rFonts w:hint="eastAsia" w:cs="Times New Roman"/>
                <w:color w:val="auto"/>
                <w:highlight w:val="none"/>
                <w:lang w:val="en-US" w:eastAsia="zh-CN"/>
              </w:rPr>
              <w:t>660</w:t>
            </w:r>
            <w:r>
              <w:rPr>
                <w:rFonts w:hint="eastAsia" w:ascii="Times New Roman" w:hAnsi="Times New Roman" w:eastAsia="宋体" w:cs="Times New Roman"/>
                <w:color w:val="auto"/>
                <w:highlight w:val="none"/>
                <w:lang w:val="en-US" w:eastAsia="zh-CN"/>
              </w:rPr>
              <w:t>m</w:t>
            </w:r>
            <w:r>
              <w:rPr>
                <w:rFonts w:hint="eastAsia" w:ascii="Times New Roman" w:hAnsi="Times New Roman" w:eastAsia="宋体" w:cs="Times New Roman"/>
                <w:color w:val="auto"/>
                <w:highlight w:val="none"/>
                <w:vertAlign w:val="superscript"/>
                <w:lang w:val="en-US" w:eastAsia="zh-CN"/>
              </w:rPr>
              <w:t>3</w:t>
            </w:r>
            <w:r>
              <w:rPr>
                <w:rFonts w:hint="eastAsia" w:ascii="Times New Roman" w:hAnsi="Times New Roman" w:eastAsia="宋体" w:cs="Times New Roman"/>
                <w:color w:val="auto"/>
                <w:highlight w:val="none"/>
                <w:lang w:val="en-US" w:eastAsia="zh-CN"/>
              </w:rPr>
              <w:t>/a）。排水量按照用水量的80%计，故本项目</w:t>
            </w:r>
            <w:r>
              <w:rPr>
                <w:rFonts w:hint="eastAsia" w:cs="Times New Roman"/>
                <w:color w:val="auto"/>
                <w:highlight w:val="none"/>
                <w:lang w:val="en-US" w:eastAsia="zh-CN"/>
              </w:rPr>
              <w:t>生活污水</w:t>
            </w:r>
            <w:r>
              <w:rPr>
                <w:rFonts w:hint="eastAsia" w:ascii="Times New Roman" w:hAnsi="Times New Roman" w:eastAsia="宋体" w:cs="Times New Roman"/>
                <w:color w:val="auto"/>
                <w:highlight w:val="none"/>
                <w:lang w:val="en-US" w:eastAsia="zh-CN"/>
              </w:rPr>
              <w:t>排放量为</w:t>
            </w:r>
            <w:r>
              <w:rPr>
                <w:rFonts w:hint="eastAsia" w:cs="Times New Roman"/>
                <w:color w:val="auto"/>
                <w:highlight w:val="none"/>
                <w:lang w:val="en-US" w:eastAsia="zh-CN"/>
              </w:rPr>
              <w:t>1.92</w:t>
            </w:r>
            <w:r>
              <w:rPr>
                <w:rFonts w:hint="eastAsia" w:ascii="Times New Roman" w:hAnsi="Times New Roman" w:eastAsia="宋体" w:cs="Times New Roman"/>
                <w:color w:val="auto"/>
                <w:highlight w:val="none"/>
                <w:lang w:val="en-US" w:eastAsia="zh-CN"/>
              </w:rPr>
              <w:t>m</w:t>
            </w:r>
            <w:r>
              <w:rPr>
                <w:rFonts w:hint="eastAsia" w:ascii="Times New Roman" w:hAnsi="Times New Roman" w:eastAsia="宋体" w:cs="Times New Roman"/>
                <w:color w:val="auto"/>
                <w:highlight w:val="none"/>
                <w:vertAlign w:val="superscript"/>
                <w:lang w:val="en-US" w:eastAsia="zh-CN"/>
              </w:rPr>
              <w:t>3</w:t>
            </w:r>
            <w:r>
              <w:rPr>
                <w:rFonts w:hint="eastAsia" w:ascii="Times New Roman" w:hAnsi="Times New Roman" w:eastAsia="宋体" w:cs="Times New Roman"/>
                <w:color w:val="auto"/>
                <w:highlight w:val="none"/>
                <w:lang w:val="en-US" w:eastAsia="zh-CN"/>
              </w:rPr>
              <w:t>/d（</w:t>
            </w:r>
            <w:r>
              <w:rPr>
                <w:rFonts w:hint="eastAsia" w:cs="Times New Roman"/>
                <w:color w:val="auto"/>
                <w:highlight w:val="none"/>
                <w:lang w:val="en-US" w:eastAsia="zh-CN"/>
              </w:rPr>
              <w:t>528</w:t>
            </w:r>
            <w:r>
              <w:rPr>
                <w:rFonts w:hint="eastAsia" w:ascii="Times New Roman" w:hAnsi="Times New Roman" w:eastAsia="宋体" w:cs="Times New Roman"/>
                <w:color w:val="auto"/>
                <w:highlight w:val="none"/>
                <w:lang w:val="en-US" w:eastAsia="zh-CN"/>
              </w:rPr>
              <w:t>m</w:t>
            </w:r>
            <w:r>
              <w:rPr>
                <w:rFonts w:hint="eastAsia" w:ascii="Times New Roman" w:hAnsi="Times New Roman" w:eastAsia="宋体" w:cs="Times New Roman"/>
                <w:color w:val="auto"/>
                <w:highlight w:val="none"/>
                <w:vertAlign w:val="superscript"/>
                <w:lang w:val="en-US" w:eastAsia="zh-CN"/>
              </w:rPr>
              <w:t>3</w:t>
            </w:r>
            <w:r>
              <w:rPr>
                <w:rFonts w:hint="eastAsia" w:ascii="Times New Roman" w:hAnsi="Times New Roman" w:eastAsia="宋体" w:cs="Times New Roman"/>
                <w:color w:val="auto"/>
                <w:highlight w:val="none"/>
                <w:lang w:val="en-US" w:eastAsia="zh-CN"/>
              </w:rPr>
              <w:t>/a）。</w:t>
            </w:r>
          </w:p>
          <w:p>
            <w:pPr>
              <w:rPr>
                <w:b w:val="0"/>
                <w:color w:val="000000"/>
                <w:sz w:val="24"/>
                <w:szCs w:val="24"/>
                <w:highlight w:val="none"/>
              </w:rPr>
            </w:pPr>
            <w:r>
              <w:rPr>
                <w:rFonts w:hint="eastAsia" w:ascii="Times New Roman" w:hAnsi="Times New Roman" w:eastAsia="宋体" w:cs="Times New Roman"/>
                <w:highlight w:val="none"/>
                <w:lang w:val="en-US" w:eastAsia="zh-CN"/>
              </w:rPr>
              <w:t>本项目生产、生活用、排水情况详见表2-</w:t>
            </w:r>
            <w:r>
              <w:rPr>
                <w:rFonts w:hint="eastAsia" w:cs="Times New Roman"/>
                <w:highlight w:val="none"/>
                <w:lang w:val="en-US" w:eastAsia="zh-CN"/>
              </w:rPr>
              <w:t>7</w:t>
            </w:r>
            <w:r>
              <w:rPr>
                <w:rFonts w:hint="eastAsia" w:ascii="Times New Roman" w:hAnsi="Times New Roman" w:eastAsia="宋体" w:cs="Times New Roman"/>
                <w:highlight w:val="none"/>
                <w:lang w:val="en-US" w:eastAsia="zh-CN"/>
              </w:rPr>
              <w:t>，水平衡图见图2-</w:t>
            </w:r>
            <w:r>
              <w:rPr>
                <w:rFonts w:hint="eastAsia" w:cs="Times New Roman"/>
                <w:highlight w:val="none"/>
                <w:lang w:val="en-US" w:eastAsia="zh-CN"/>
              </w:rPr>
              <w:t>1</w:t>
            </w:r>
            <w:r>
              <w:rPr>
                <w:rFonts w:hint="eastAsia" w:ascii="Times New Roman" w:hAnsi="Times New Roman" w:eastAsia="宋体" w:cs="Times New Roman"/>
                <w:highlight w:val="none"/>
                <w:lang w:val="en-US" w:eastAsia="zh-CN"/>
              </w:rPr>
              <w:t>。</w:t>
            </w:r>
          </w:p>
          <w:p>
            <w:pPr>
              <w:adjustRightInd w:val="0"/>
              <w:snapToGrid w:val="0"/>
              <w:spacing w:line="240" w:lineRule="auto"/>
              <w:ind w:leftChars="100"/>
              <w:jc w:val="center"/>
              <w:rPr>
                <w:rFonts w:hint="eastAsia"/>
                <w:b/>
                <w:bCs/>
                <w:color w:val="auto"/>
                <w:sz w:val="21"/>
                <w:szCs w:val="21"/>
                <w:highlight w:val="none"/>
              </w:rPr>
            </w:pPr>
            <w:r>
              <w:rPr>
                <w:rFonts w:hint="eastAsia"/>
                <w:b/>
                <w:bCs/>
                <w:color w:val="auto"/>
                <w:sz w:val="21"/>
                <w:szCs w:val="21"/>
                <w:highlight w:val="none"/>
              </w:rPr>
              <w:t>表2-</w:t>
            </w:r>
            <w:r>
              <w:rPr>
                <w:rFonts w:hint="eastAsia"/>
                <w:b/>
                <w:bCs/>
                <w:color w:val="auto"/>
                <w:sz w:val="21"/>
                <w:szCs w:val="21"/>
                <w:highlight w:val="none"/>
                <w:lang w:val="en-US" w:eastAsia="zh-CN"/>
              </w:rPr>
              <w:t>7</w:t>
            </w:r>
            <w:r>
              <w:rPr>
                <w:rFonts w:hint="eastAsia"/>
                <w:b/>
                <w:bCs/>
                <w:color w:val="auto"/>
                <w:sz w:val="21"/>
                <w:szCs w:val="21"/>
                <w:highlight w:val="none"/>
              </w:rPr>
              <w:t xml:space="preserve">  水平衡一览表</w:t>
            </w:r>
          </w:p>
          <w:tbl>
            <w:tblPr>
              <w:tblStyle w:val="23"/>
              <w:tblW w:w="8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
              <w:gridCol w:w="1443"/>
              <w:gridCol w:w="1385"/>
              <w:gridCol w:w="1253"/>
              <w:gridCol w:w="965"/>
              <w:gridCol w:w="1018"/>
              <w:gridCol w:w="902"/>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84" w:type="pct"/>
                  <w:gridSpan w:val="2"/>
                  <w:vMerge w:val="restart"/>
                  <w:tcBorders>
                    <w:tl2br w:val="nil"/>
                    <w:tr2bl w:val="nil"/>
                  </w:tcBorders>
                  <w:vAlign w:val="center"/>
                </w:tcPr>
                <w:p>
                  <w:pPr>
                    <w:spacing w:line="240" w:lineRule="auto"/>
                    <w:ind w:left="0" w:leftChars="0" w:firstLine="0" w:firstLineChars="0"/>
                    <w:jc w:val="center"/>
                    <w:rPr>
                      <w:b/>
                      <w:bCs/>
                      <w:color w:val="auto"/>
                      <w:sz w:val="21"/>
                      <w:szCs w:val="21"/>
                      <w:highlight w:val="none"/>
                    </w:rPr>
                  </w:pPr>
                  <w:r>
                    <w:rPr>
                      <w:b/>
                      <w:bCs/>
                      <w:color w:val="auto"/>
                      <w:sz w:val="21"/>
                      <w:szCs w:val="21"/>
                      <w:highlight w:val="none"/>
                    </w:rPr>
                    <w:t>名称</w:t>
                  </w:r>
                </w:p>
              </w:tc>
              <w:tc>
                <w:tcPr>
                  <w:tcW w:w="861" w:type="pct"/>
                  <w:tcBorders>
                    <w:tl2br w:val="nil"/>
                    <w:tr2bl w:val="nil"/>
                  </w:tcBorders>
                  <w:vAlign w:val="center"/>
                </w:tcPr>
                <w:p>
                  <w:pPr>
                    <w:spacing w:line="240" w:lineRule="auto"/>
                    <w:ind w:left="0" w:leftChars="0" w:firstLine="0" w:firstLineChars="0"/>
                    <w:jc w:val="center"/>
                    <w:rPr>
                      <w:b/>
                      <w:bCs/>
                      <w:color w:val="auto"/>
                      <w:sz w:val="21"/>
                      <w:szCs w:val="21"/>
                      <w:highlight w:val="none"/>
                    </w:rPr>
                  </w:pPr>
                  <w:r>
                    <w:rPr>
                      <w:rFonts w:hint="eastAsia"/>
                      <w:b/>
                      <w:bCs/>
                      <w:color w:val="auto"/>
                      <w:sz w:val="21"/>
                      <w:szCs w:val="21"/>
                      <w:highlight w:val="none"/>
                      <w:lang w:eastAsia="zh-CN"/>
                    </w:rPr>
                    <w:t>新鲜</w:t>
                  </w:r>
                  <w:r>
                    <w:rPr>
                      <w:rFonts w:hint="eastAsia"/>
                      <w:b/>
                      <w:bCs/>
                      <w:color w:val="auto"/>
                      <w:sz w:val="21"/>
                      <w:szCs w:val="21"/>
                      <w:highlight w:val="none"/>
                    </w:rPr>
                    <w:t>用水量</w:t>
                  </w:r>
                </w:p>
              </w:tc>
              <w:tc>
                <w:tcPr>
                  <w:tcW w:w="779" w:type="pct"/>
                  <w:tcBorders>
                    <w:tl2br w:val="nil"/>
                    <w:tr2bl w:val="nil"/>
                  </w:tcBorders>
                  <w:vAlign w:val="center"/>
                </w:tcPr>
                <w:p>
                  <w:pPr>
                    <w:spacing w:line="240" w:lineRule="auto"/>
                    <w:ind w:left="0" w:leftChars="0" w:firstLine="0" w:firstLineChars="0"/>
                    <w:jc w:val="center"/>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循环水量</w:t>
                  </w:r>
                </w:p>
              </w:tc>
              <w:tc>
                <w:tcPr>
                  <w:tcW w:w="600" w:type="pct"/>
                  <w:tcBorders>
                    <w:tl2br w:val="nil"/>
                    <w:tr2bl w:val="nil"/>
                  </w:tcBorders>
                  <w:vAlign w:val="center"/>
                </w:tcPr>
                <w:p>
                  <w:pPr>
                    <w:spacing w:line="240" w:lineRule="auto"/>
                    <w:ind w:left="0" w:leftChars="0" w:firstLine="0" w:firstLineChars="0"/>
                    <w:jc w:val="center"/>
                    <w:rPr>
                      <w:rFonts w:hint="default" w:eastAsia="宋体"/>
                      <w:b/>
                      <w:bCs/>
                      <w:color w:val="auto"/>
                      <w:sz w:val="21"/>
                      <w:szCs w:val="21"/>
                      <w:highlight w:val="none"/>
                      <w:lang w:val="en-US" w:eastAsia="zh-CN"/>
                    </w:rPr>
                  </w:pPr>
                  <w:r>
                    <w:rPr>
                      <w:rFonts w:hint="eastAsia"/>
                      <w:b/>
                      <w:bCs/>
                      <w:color w:val="auto"/>
                      <w:sz w:val="21"/>
                      <w:szCs w:val="21"/>
                      <w:highlight w:val="none"/>
                    </w:rPr>
                    <w:t>用水量</w:t>
                  </w:r>
                </w:p>
              </w:tc>
              <w:tc>
                <w:tcPr>
                  <w:tcW w:w="633" w:type="pct"/>
                  <w:tcBorders>
                    <w:tl2br w:val="nil"/>
                    <w:tr2bl w:val="nil"/>
                  </w:tcBorders>
                  <w:vAlign w:val="center"/>
                </w:tcPr>
                <w:p>
                  <w:pPr>
                    <w:spacing w:line="240" w:lineRule="auto"/>
                    <w:ind w:left="0" w:leftChars="0" w:firstLine="0" w:firstLineChars="0"/>
                    <w:jc w:val="center"/>
                    <w:rPr>
                      <w:rFonts w:hint="eastAsia"/>
                      <w:b/>
                      <w:bCs/>
                      <w:color w:val="auto"/>
                      <w:sz w:val="21"/>
                      <w:szCs w:val="21"/>
                      <w:highlight w:val="none"/>
                      <w:lang w:val="en-US" w:eastAsia="zh-CN"/>
                    </w:rPr>
                  </w:pPr>
                  <w:r>
                    <w:rPr>
                      <w:rFonts w:hint="eastAsia"/>
                      <w:b/>
                      <w:bCs/>
                      <w:color w:val="auto"/>
                      <w:sz w:val="21"/>
                      <w:szCs w:val="21"/>
                      <w:highlight w:val="none"/>
                      <w:lang w:val="en-US" w:eastAsia="zh-CN"/>
                    </w:rPr>
                    <w:t>损耗量</w:t>
                  </w:r>
                </w:p>
              </w:tc>
              <w:tc>
                <w:tcPr>
                  <w:tcW w:w="561" w:type="pct"/>
                  <w:tcBorders>
                    <w:tl2br w:val="nil"/>
                    <w:tr2bl w:val="nil"/>
                  </w:tcBorders>
                  <w:vAlign w:val="center"/>
                </w:tcPr>
                <w:p>
                  <w:pPr>
                    <w:spacing w:line="240" w:lineRule="auto"/>
                    <w:ind w:left="0" w:leftChars="0" w:firstLine="0" w:firstLineChars="0"/>
                    <w:jc w:val="center"/>
                    <w:rPr>
                      <w:rFonts w:hint="eastAsia"/>
                      <w:b/>
                      <w:bCs/>
                      <w:color w:val="auto"/>
                      <w:sz w:val="21"/>
                      <w:szCs w:val="21"/>
                      <w:highlight w:val="none"/>
                      <w:lang w:val="en-US" w:eastAsia="zh-CN"/>
                    </w:rPr>
                  </w:pPr>
                  <w:r>
                    <w:rPr>
                      <w:rFonts w:hint="eastAsia"/>
                      <w:b/>
                      <w:bCs/>
                      <w:color w:val="auto"/>
                      <w:sz w:val="21"/>
                      <w:szCs w:val="21"/>
                      <w:highlight w:val="none"/>
                      <w:lang w:val="en-US" w:eastAsia="zh-CN"/>
                    </w:rPr>
                    <w:t>废水量</w:t>
                  </w:r>
                </w:p>
              </w:tc>
              <w:tc>
                <w:tcPr>
                  <w:tcW w:w="478" w:type="pct"/>
                  <w:vMerge w:val="restart"/>
                  <w:tcBorders>
                    <w:tl2br w:val="nil"/>
                    <w:tr2bl w:val="nil"/>
                  </w:tcBorders>
                  <w:vAlign w:val="center"/>
                </w:tcPr>
                <w:p>
                  <w:pPr>
                    <w:spacing w:line="240" w:lineRule="auto"/>
                    <w:ind w:left="0" w:leftChars="0" w:firstLine="0" w:firstLineChars="0"/>
                    <w:jc w:val="center"/>
                    <w:rPr>
                      <w:rFonts w:hint="default"/>
                      <w:b/>
                      <w:bCs/>
                      <w:color w:val="auto"/>
                      <w:sz w:val="21"/>
                      <w:szCs w:val="21"/>
                      <w:highlight w:val="none"/>
                      <w:lang w:val="en-US" w:eastAsia="zh-CN"/>
                    </w:rPr>
                  </w:pPr>
                  <w:r>
                    <w:rPr>
                      <w:rFonts w:hint="eastAsia"/>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084" w:type="pct"/>
                  <w:gridSpan w:val="2"/>
                  <w:vMerge w:val="continue"/>
                  <w:tcBorders>
                    <w:tl2br w:val="nil"/>
                    <w:tr2bl w:val="nil"/>
                  </w:tcBorders>
                  <w:vAlign w:val="center"/>
                </w:tcPr>
                <w:p>
                  <w:pPr>
                    <w:spacing w:line="240" w:lineRule="auto"/>
                    <w:jc w:val="center"/>
                    <w:rPr>
                      <w:color w:val="auto"/>
                      <w:sz w:val="21"/>
                      <w:szCs w:val="21"/>
                      <w:highlight w:val="none"/>
                    </w:rPr>
                  </w:pPr>
                </w:p>
              </w:tc>
              <w:tc>
                <w:tcPr>
                  <w:tcW w:w="861" w:type="pct"/>
                  <w:tcBorders>
                    <w:tl2br w:val="nil"/>
                    <w:tr2bl w:val="nil"/>
                  </w:tcBorders>
                  <w:vAlign w:val="center"/>
                </w:tcPr>
                <w:p>
                  <w:pPr>
                    <w:spacing w:line="240" w:lineRule="auto"/>
                    <w:ind w:left="0" w:leftChars="0" w:firstLine="0" w:firstLineChars="0"/>
                    <w:jc w:val="center"/>
                    <w:rPr>
                      <w:rFonts w:hint="eastAsia" w:eastAsia="宋体"/>
                      <w:b/>
                      <w:bCs/>
                      <w:color w:val="auto"/>
                      <w:sz w:val="21"/>
                      <w:szCs w:val="21"/>
                      <w:highlight w:val="none"/>
                      <w:lang w:val="en-US" w:eastAsia="zh-CN"/>
                    </w:rPr>
                  </w:pPr>
                  <w:r>
                    <w:rPr>
                      <w:b/>
                      <w:bCs/>
                      <w:color w:val="auto"/>
                      <w:sz w:val="21"/>
                      <w:szCs w:val="21"/>
                      <w:highlight w:val="none"/>
                    </w:rPr>
                    <w:t>m</w:t>
                  </w:r>
                  <w:r>
                    <w:rPr>
                      <w:b/>
                      <w:bCs/>
                      <w:color w:val="auto"/>
                      <w:sz w:val="21"/>
                      <w:szCs w:val="21"/>
                      <w:highlight w:val="none"/>
                      <w:vertAlign w:val="superscript"/>
                    </w:rPr>
                    <w:t>3</w:t>
                  </w:r>
                  <w:r>
                    <w:rPr>
                      <w:b/>
                      <w:bCs/>
                      <w:color w:val="auto"/>
                      <w:sz w:val="21"/>
                      <w:szCs w:val="21"/>
                      <w:highlight w:val="none"/>
                    </w:rPr>
                    <w:t>/</w:t>
                  </w:r>
                  <w:r>
                    <w:rPr>
                      <w:rFonts w:hint="eastAsia"/>
                      <w:b/>
                      <w:bCs/>
                      <w:color w:val="auto"/>
                      <w:sz w:val="21"/>
                      <w:szCs w:val="21"/>
                      <w:highlight w:val="none"/>
                      <w:lang w:val="en-US" w:eastAsia="zh-CN"/>
                    </w:rPr>
                    <w:t>d</w:t>
                  </w:r>
                </w:p>
              </w:tc>
              <w:tc>
                <w:tcPr>
                  <w:tcW w:w="779" w:type="pct"/>
                  <w:tcBorders>
                    <w:tl2br w:val="nil"/>
                    <w:tr2bl w:val="nil"/>
                  </w:tcBorders>
                  <w:vAlign w:val="center"/>
                </w:tcPr>
                <w:p>
                  <w:pPr>
                    <w:spacing w:line="240" w:lineRule="auto"/>
                    <w:ind w:left="0" w:leftChars="0" w:firstLine="0" w:firstLineChars="0"/>
                    <w:jc w:val="center"/>
                    <w:rPr>
                      <w:rFonts w:hint="eastAsia" w:eastAsia="宋体"/>
                      <w:color w:val="auto"/>
                      <w:sz w:val="21"/>
                      <w:szCs w:val="21"/>
                      <w:highlight w:val="none"/>
                      <w:lang w:val="en-US" w:eastAsia="zh-CN"/>
                    </w:rPr>
                  </w:pPr>
                  <w:r>
                    <w:rPr>
                      <w:b/>
                      <w:bCs/>
                      <w:color w:val="auto"/>
                      <w:sz w:val="21"/>
                      <w:szCs w:val="21"/>
                      <w:highlight w:val="none"/>
                    </w:rPr>
                    <w:t>m</w:t>
                  </w:r>
                  <w:r>
                    <w:rPr>
                      <w:b/>
                      <w:bCs/>
                      <w:color w:val="auto"/>
                      <w:sz w:val="21"/>
                      <w:szCs w:val="21"/>
                      <w:highlight w:val="none"/>
                      <w:vertAlign w:val="superscript"/>
                    </w:rPr>
                    <w:t>3</w:t>
                  </w:r>
                  <w:r>
                    <w:rPr>
                      <w:b/>
                      <w:bCs/>
                      <w:color w:val="auto"/>
                      <w:sz w:val="21"/>
                      <w:szCs w:val="21"/>
                      <w:highlight w:val="none"/>
                    </w:rPr>
                    <w:t>/</w:t>
                  </w:r>
                  <w:r>
                    <w:rPr>
                      <w:rFonts w:hint="eastAsia"/>
                      <w:b/>
                      <w:bCs/>
                      <w:color w:val="auto"/>
                      <w:sz w:val="21"/>
                      <w:szCs w:val="21"/>
                      <w:highlight w:val="none"/>
                      <w:lang w:val="en-US" w:eastAsia="zh-CN"/>
                    </w:rPr>
                    <w:t>d</w:t>
                  </w:r>
                </w:p>
              </w:tc>
              <w:tc>
                <w:tcPr>
                  <w:tcW w:w="600" w:type="pct"/>
                  <w:tcBorders>
                    <w:tl2br w:val="nil"/>
                    <w:tr2bl w:val="nil"/>
                  </w:tcBorders>
                  <w:vAlign w:val="center"/>
                </w:tcPr>
                <w:p>
                  <w:pPr>
                    <w:spacing w:line="240" w:lineRule="auto"/>
                    <w:ind w:left="0" w:leftChars="0" w:firstLine="0" w:firstLineChars="0"/>
                    <w:jc w:val="center"/>
                    <w:rPr>
                      <w:rFonts w:hint="eastAsia" w:eastAsia="宋体"/>
                      <w:b/>
                      <w:bCs/>
                      <w:color w:val="auto"/>
                      <w:sz w:val="21"/>
                      <w:szCs w:val="21"/>
                      <w:highlight w:val="none"/>
                      <w:lang w:eastAsia="zh-CN"/>
                    </w:rPr>
                  </w:pPr>
                  <w:r>
                    <w:rPr>
                      <w:b/>
                      <w:bCs/>
                      <w:color w:val="auto"/>
                      <w:sz w:val="21"/>
                      <w:szCs w:val="21"/>
                      <w:highlight w:val="none"/>
                    </w:rPr>
                    <w:t>m</w:t>
                  </w:r>
                  <w:r>
                    <w:rPr>
                      <w:b/>
                      <w:bCs/>
                      <w:color w:val="auto"/>
                      <w:sz w:val="21"/>
                      <w:szCs w:val="21"/>
                      <w:highlight w:val="none"/>
                      <w:vertAlign w:val="superscript"/>
                    </w:rPr>
                    <w:t>3</w:t>
                  </w:r>
                  <w:r>
                    <w:rPr>
                      <w:b/>
                      <w:bCs/>
                      <w:color w:val="auto"/>
                      <w:sz w:val="21"/>
                      <w:szCs w:val="21"/>
                      <w:highlight w:val="none"/>
                    </w:rPr>
                    <w:t>/</w:t>
                  </w:r>
                  <w:r>
                    <w:rPr>
                      <w:rFonts w:hint="eastAsia"/>
                      <w:b/>
                      <w:bCs/>
                      <w:color w:val="auto"/>
                      <w:sz w:val="21"/>
                      <w:szCs w:val="21"/>
                      <w:highlight w:val="none"/>
                      <w:lang w:val="en-US" w:eastAsia="zh-CN"/>
                    </w:rPr>
                    <w:t>d</w:t>
                  </w:r>
                </w:p>
              </w:tc>
              <w:tc>
                <w:tcPr>
                  <w:tcW w:w="633" w:type="pct"/>
                  <w:tcBorders>
                    <w:tl2br w:val="nil"/>
                    <w:tr2bl w:val="nil"/>
                  </w:tcBorders>
                  <w:vAlign w:val="center"/>
                </w:tcPr>
                <w:p>
                  <w:pPr>
                    <w:spacing w:line="240" w:lineRule="auto"/>
                    <w:ind w:left="0" w:leftChars="0" w:firstLine="0" w:firstLineChars="0"/>
                    <w:jc w:val="center"/>
                    <w:rPr>
                      <w:b/>
                      <w:bCs/>
                      <w:color w:val="auto"/>
                      <w:sz w:val="21"/>
                      <w:szCs w:val="21"/>
                      <w:highlight w:val="none"/>
                    </w:rPr>
                  </w:pPr>
                  <w:r>
                    <w:rPr>
                      <w:b/>
                      <w:bCs/>
                      <w:color w:val="auto"/>
                      <w:sz w:val="21"/>
                      <w:szCs w:val="21"/>
                      <w:highlight w:val="none"/>
                    </w:rPr>
                    <w:t>m</w:t>
                  </w:r>
                  <w:r>
                    <w:rPr>
                      <w:b/>
                      <w:bCs/>
                      <w:color w:val="auto"/>
                      <w:sz w:val="21"/>
                      <w:szCs w:val="21"/>
                      <w:highlight w:val="none"/>
                      <w:vertAlign w:val="superscript"/>
                    </w:rPr>
                    <w:t>3</w:t>
                  </w:r>
                  <w:r>
                    <w:rPr>
                      <w:b/>
                      <w:bCs/>
                      <w:color w:val="auto"/>
                      <w:sz w:val="21"/>
                      <w:szCs w:val="21"/>
                      <w:highlight w:val="none"/>
                    </w:rPr>
                    <w:t>/</w:t>
                  </w:r>
                  <w:r>
                    <w:rPr>
                      <w:rFonts w:hint="eastAsia"/>
                      <w:b/>
                      <w:bCs/>
                      <w:color w:val="auto"/>
                      <w:sz w:val="21"/>
                      <w:szCs w:val="21"/>
                      <w:highlight w:val="none"/>
                      <w:lang w:val="en-US" w:eastAsia="zh-CN"/>
                    </w:rPr>
                    <w:t>d</w:t>
                  </w:r>
                </w:p>
              </w:tc>
              <w:tc>
                <w:tcPr>
                  <w:tcW w:w="561" w:type="pct"/>
                  <w:tcBorders>
                    <w:tl2br w:val="nil"/>
                    <w:tr2bl w:val="nil"/>
                  </w:tcBorders>
                  <w:vAlign w:val="center"/>
                </w:tcPr>
                <w:p>
                  <w:pPr>
                    <w:spacing w:line="240" w:lineRule="auto"/>
                    <w:ind w:left="0" w:leftChars="0" w:firstLine="0" w:firstLineChars="0"/>
                    <w:jc w:val="center"/>
                    <w:rPr>
                      <w:b/>
                      <w:bCs/>
                      <w:color w:val="auto"/>
                      <w:sz w:val="21"/>
                      <w:szCs w:val="21"/>
                      <w:highlight w:val="none"/>
                    </w:rPr>
                  </w:pPr>
                  <w:r>
                    <w:rPr>
                      <w:b/>
                      <w:bCs/>
                      <w:color w:val="auto"/>
                      <w:sz w:val="21"/>
                      <w:szCs w:val="21"/>
                      <w:highlight w:val="none"/>
                    </w:rPr>
                    <w:t>m</w:t>
                  </w:r>
                  <w:r>
                    <w:rPr>
                      <w:b/>
                      <w:bCs/>
                      <w:color w:val="auto"/>
                      <w:sz w:val="21"/>
                      <w:szCs w:val="21"/>
                      <w:highlight w:val="none"/>
                      <w:vertAlign w:val="superscript"/>
                    </w:rPr>
                    <w:t>3</w:t>
                  </w:r>
                  <w:r>
                    <w:rPr>
                      <w:b/>
                      <w:bCs/>
                      <w:color w:val="auto"/>
                      <w:sz w:val="21"/>
                      <w:szCs w:val="21"/>
                      <w:highlight w:val="none"/>
                    </w:rPr>
                    <w:t>/</w:t>
                  </w:r>
                  <w:r>
                    <w:rPr>
                      <w:rFonts w:hint="eastAsia"/>
                      <w:b/>
                      <w:bCs/>
                      <w:color w:val="auto"/>
                      <w:sz w:val="21"/>
                      <w:szCs w:val="21"/>
                      <w:highlight w:val="none"/>
                      <w:lang w:val="en-US" w:eastAsia="zh-CN"/>
                    </w:rPr>
                    <w:t>d</w:t>
                  </w:r>
                </w:p>
              </w:tc>
              <w:tc>
                <w:tcPr>
                  <w:tcW w:w="478" w:type="pct"/>
                  <w:vMerge w:val="continue"/>
                  <w:tcBorders>
                    <w:tl2br w:val="nil"/>
                    <w:tr2bl w:val="nil"/>
                  </w:tcBorders>
                  <w:vAlign w:val="center"/>
                </w:tcPr>
                <w:p>
                  <w:pPr>
                    <w:spacing w:line="240" w:lineRule="auto"/>
                    <w:jc w:val="center"/>
                    <w:rPr>
                      <w:rFonts w:hint="default" w:eastAsia="宋体"/>
                      <w:b/>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87" w:type="pct"/>
                  <w:vMerge w:val="restart"/>
                  <w:tcBorders>
                    <w:tl2br w:val="nil"/>
                    <w:tr2bl w:val="nil"/>
                  </w:tcBorders>
                  <w:vAlign w:val="center"/>
                </w:tcPr>
                <w:p>
                  <w:pPr>
                    <w:spacing w:line="240" w:lineRule="auto"/>
                    <w:ind w:left="0" w:leftChars="0" w:firstLine="0" w:firstLineChars="0"/>
                    <w:jc w:val="center"/>
                    <w:rPr>
                      <w:color w:val="auto"/>
                      <w:sz w:val="21"/>
                      <w:szCs w:val="21"/>
                      <w:highlight w:val="none"/>
                    </w:rPr>
                  </w:pPr>
                  <w:r>
                    <w:rPr>
                      <w:color w:val="auto"/>
                      <w:sz w:val="21"/>
                      <w:szCs w:val="21"/>
                      <w:highlight w:val="none"/>
                    </w:rPr>
                    <w:t>生产用水</w:t>
                  </w:r>
                </w:p>
              </w:tc>
              <w:tc>
                <w:tcPr>
                  <w:tcW w:w="897" w:type="pct"/>
                  <w:tcBorders>
                    <w:tl2br w:val="nil"/>
                    <w:tr2bl w:val="nil"/>
                  </w:tcBorders>
                  <w:vAlign w:val="center"/>
                </w:tcPr>
                <w:p>
                  <w:pPr>
                    <w:spacing w:line="240" w:lineRule="auto"/>
                    <w:ind w:left="0" w:leftChars="0" w:firstLine="0" w:firstLineChars="0"/>
                    <w:jc w:val="center"/>
                    <w:rPr>
                      <w:rFonts w:hint="eastAsia" w:eastAsia="宋体"/>
                      <w:color w:val="auto"/>
                      <w:sz w:val="21"/>
                      <w:szCs w:val="21"/>
                      <w:highlight w:val="none"/>
                      <w:lang w:eastAsia="zh-CN"/>
                    </w:rPr>
                  </w:pPr>
                  <w:r>
                    <w:rPr>
                      <w:rFonts w:hint="eastAsia"/>
                      <w:color w:val="auto"/>
                      <w:sz w:val="21"/>
                      <w:szCs w:val="21"/>
                      <w:highlight w:val="none"/>
                      <w:lang w:eastAsia="zh-CN"/>
                    </w:rPr>
                    <w:t>混凝土配料用水</w:t>
                  </w:r>
                </w:p>
              </w:tc>
              <w:tc>
                <w:tcPr>
                  <w:tcW w:w="861" w:type="pct"/>
                  <w:tcBorders>
                    <w:tl2br w:val="nil"/>
                    <w:tr2bl w:val="nil"/>
                  </w:tcBorders>
                  <w:vAlign w:val="center"/>
                </w:tcPr>
                <w:p>
                  <w:pPr>
                    <w:spacing w:line="240" w:lineRule="auto"/>
                    <w:ind w:left="0" w:leftChars="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109.09</w:t>
                  </w:r>
                </w:p>
              </w:tc>
              <w:tc>
                <w:tcPr>
                  <w:tcW w:w="779" w:type="pct"/>
                  <w:tcBorders>
                    <w:tl2br w:val="nil"/>
                    <w:tr2bl w:val="nil"/>
                  </w:tcBorders>
                  <w:vAlign w:val="center"/>
                </w:tcPr>
                <w:p>
                  <w:pPr>
                    <w:spacing w:line="240" w:lineRule="auto"/>
                    <w:ind w:left="0" w:leftChars="0" w:firstLine="0" w:firstLineChars="0"/>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0</w:t>
                  </w:r>
                </w:p>
              </w:tc>
              <w:tc>
                <w:tcPr>
                  <w:tcW w:w="600" w:type="pct"/>
                  <w:tcBorders>
                    <w:tl2br w:val="nil"/>
                    <w:tr2bl w:val="nil"/>
                  </w:tcBorders>
                  <w:vAlign w:val="center"/>
                </w:tcPr>
                <w:p>
                  <w:pPr>
                    <w:spacing w:line="240" w:lineRule="auto"/>
                    <w:ind w:left="0" w:leftChars="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109.09</w:t>
                  </w:r>
                </w:p>
              </w:tc>
              <w:tc>
                <w:tcPr>
                  <w:tcW w:w="633" w:type="pct"/>
                  <w:tcBorders>
                    <w:tl2br w:val="nil"/>
                    <w:tr2bl w:val="nil"/>
                  </w:tcBorders>
                  <w:vAlign w:val="center"/>
                </w:tcPr>
                <w:p>
                  <w:pPr>
                    <w:spacing w:line="240" w:lineRule="auto"/>
                    <w:ind w:left="0" w:leftChars="0"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109.09</w:t>
                  </w:r>
                </w:p>
              </w:tc>
              <w:tc>
                <w:tcPr>
                  <w:tcW w:w="561" w:type="pct"/>
                  <w:tcBorders>
                    <w:tl2br w:val="nil"/>
                    <w:tr2bl w:val="nil"/>
                  </w:tcBorders>
                  <w:vAlign w:val="center"/>
                </w:tcPr>
                <w:p>
                  <w:pPr>
                    <w:spacing w:line="240" w:lineRule="auto"/>
                    <w:ind w:left="0" w:leftChars="0"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w:t>
                  </w:r>
                </w:p>
              </w:tc>
              <w:tc>
                <w:tcPr>
                  <w:tcW w:w="478" w:type="pct"/>
                  <w:tcBorders>
                    <w:tl2br w:val="nil"/>
                    <w:tr2bl w:val="nil"/>
                  </w:tcBorders>
                  <w:vAlign w:val="center"/>
                </w:tcPr>
                <w:p>
                  <w:pPr>
                    <w:widowControl/>
                    <w:spacing w:line="240" w:lineRule="auto"/>
                    <w:ind w:left="0" w:leftChars="0" w:firstLine="0" w:firstLineChars="0"/>
                    <w:jc w:val="center"/>
                    <w:textAlignment w:val="center"/>
                    <w:rPr>
                      <w:rFonts w:hint="default"/>
                      <w:b w:val="0"/>
                      <w:bCs w:val="0"/>
                      <w:color w:val="auto"/>
                      <w:sz w:val="21"/>
                      <w:szCs w:val="21"/>
                      <w:highlight w:val="none"/>
                      <w:lang w:val="en-US" w:eastAsia="zh-CN"/>
                    </w:rPr>
                  </w:pPr>
                  <w:r>
                    <w:rPr>
                      <w:rFonts w:hint="eastAsia"/>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87" w:type="pct"/>
                  <w:vMerge w:val="continue"/>
                  <w:tcBorders>
                    <w:tl2br w:val="nil"/>
                    <w:tr2bl w:val="nil"/>
                  </w:tcBorders>
                  <w:vAlign w:val="center"/>
                </w:tcPr>
                <w:p>
                  <w:pPr>
                    <w:spacing w:line="240" w:lineRule="auto"/>
                    <w:ind w:left="0" w:leftChars="0" w:firstLine="0" w:firstLineChars="0"/>
                    <w:jc w:val="center"/>
                    <w:rPr>
                      <w:color w:val="auto"/>
                      <w:sz w:val="21"/>
                      <w:szCs w:val="21"/>
                      <w:highlight w:val="none"/>
                    </w:rPr>
                  </w:pPr>
                </w:p>
              </w:tc>
              <w:tc>
                <w:tcPr>
                  <w:tcW w:w="897" w:type="pct"/>
                  <w:tcBorders>
                    <w:tl2br w:val="nil"/>
                    <w:tr2bl w:val="nil"/>
                  </w:tcBorders>
                  <w:vAlign w:val="center"/>
                </w:tcPr>
                <w:p>
                  <w:pPr>
                    <w:spacing w:line="240" w:lineRule="auto"/>
                    <w:ind w:left="0" w:leftChars="0"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水稳站用水</w:t>
                  </w:r>
                </w:p>
              </w:tc>
              <w:tc>
                <w:tcPr>
                  <w:tcW w:w="861" w:type="pct"/>
                  <w:tcBorders>
                    <w:tl2br w:val="nil"/>
                    <w:tr2bl w:val="nil"/>
                  </w:tcBorders>
                  <w:vAlign w:val="center"/>
                </w:tcPr>
                <w:p>
                  <w:pPr>
                    <w:spacing w:line="240" w:lineRule="auto"/>
                    <w:ind w:left="0" w:leftChars="0"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27.39</w:t>
                  </w:r>
                </w:p>
              </w:tc>
              <w:tc>
                <w:tcPr>
                  <w:tcW w:w="779" w:type="pct"/>
                  <w:tcBorders>
                    <w:tl2br w:val="nil"/>
                    <w:tr2bl w:val="nil"/>
                  </w:tcBorders>
                  <w:vAlign w:val="center"/>
                </w:tcPr>
                <w:p>
                  <w:pPr>
                    <w:spacing w:line="240" w:lineRule="auto"/>
                    <w:ind w:left="0" w:leftChars="0" w:firstLine="0" w:firstLineChars="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w:t>
                  </w:r>
                </w:p>
              </w:tc>
              <w:tc>
                <w:tcPr>
                  <w:tcW w:w="600" w:type="pct"/>
                  <w:tcBorders>
                    <w:tl2br w:val="nil"/>
                    <w:tr2bl w:val="nil"/>
                  </w:tcBorders>
                  <w:vAlign w:val="center"/>
                </w:tcPr>
                <w:p>
                  <w:pPr>
                    <w:spacing w:line="240" w:lineRule="auto"/>
                    <w:ind w:left="0" w:leftChars="0"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27.39</w:t>
                  </w:r>
                </w:p>
              </w:tc>
              <w:tc>
                <w:tcPr>
                  <w:tcW w:w="633" w:type="pct"/>
                  <w:tcBorders>
                    <w:tl2br w:val="nil"/>
                    <w:tr2bl w:val="nil"/>
                  </w:tcBorders>
                  <w:vAlign w:val="center"/>
                </w:tcPr>
                <w:p>
                  <w:pPr>
                    <w:spacing w:line="240" w:lineRule="auto"/>
                    <w:ind w:left="0" w:leftChars="0" w:firstLine="0" w:firstLineChars="0"/>
                    <w:jc w:val="center"/>
                    <w:rPr>
                      <w:rFonts w:hint="eastAsia"/>
                      <w:color w:val="auto"/>
                      <w:sz w:val="21"/>
                      <w:szCs w:val="21"/>
                      <w:highlight w:val="none"/>
                      <w:lang w:val="en-US" w:eastAsia="zh-CN"/>
                    </w:rPr>
                  </w:pPr>
                  <w:r>
                    <w:rPr>
                      <w:rFonts w:hint="eastAsia"/>
                      <w:color w:val="auto"/>
                      <w:sz w:val="21"/>
                      <w:szCs w:val="21"/>
                      <w:highlight w:val="none"/>
                      <w:lang w:val="en-US" w:eastAsia="zh-CN"/>
                    </w:rPr>
                    <w:t>27.39</w:t>
                  </w:r>
                </w:p>
              </w:tc>
              <w:tc>
                <w:tcPr>
                  <w:tcW w:w="561" w:type="pct"/>
                  <w:tcBorders>
                    <w:tl2br w:val="nil"/>
                    <w:tr2bl w:val="nil"/>
                  </w:tcBorders>
                  <w:vAlign w:val="center"/>
                </w:tcPr>
                <w:p>
                  <w:pPr>
                    <w:spacing w:line="240" w:lineRule="auto"/>
                    <w:ind w:left="0" w:leftChars="0" w:firstLine="0" w:firstLineChars="0"/>
                    <w:jc w:val="center"/>
                    <w:rPr>
                      <w:rFonts w:hint="default"/>
                      <w:color w:val="auto"/>
                      <w:sz w:val="21"/>
                      <w:szCs w:val="21"/>
                      <w:highlight w:val="none"/>
                      <w:lang w:val="en-US" w:eastAsia="zh-CN"/>
                    </w:rPr>
                  </w:pPr>
                  <w:r>
                    <w:rPr>
                      <w:rFonts w:hint="eastAsia"/>
                      <w:color w:val="auto"/>
                      <w:sz w:val="21"/>
                      <w:szCs w:val="21"/>
                      <w:highlight w:val="none"/>
                      <w:lang w:val="en-US" w:eastAsia="zh-CN"/>
                    </w:rPr>
                    <w:t>0</w:t>
                  </w:r>
                </w:p>
              </w:tc>
              <w:tc>
                <w:tcPr>
                  <w:tcW w:w="478" w:type="pct"/>
                  <w:tcBorders>
                    <w:tl2br w:val="nil"/>
                    <w:tr2bl w:val="nil"/>
                  </w:tcBorders>
                  <w:vAlign w:val="center"/>
                </w:tcPr>
                <w:p>
                  <w:pPr>
                    <w:widowControl/>
                    <w:spacing w:line="240" w:lineRule="auto"/>
                    <w:ind w:left="0" w:leftChars="0" w:firstLine="0" w:firstLineChars="0"/>
                    <w:jc w:val="center"/>
                    <w:textAlignment w:val="center"/>
                    <w:rPr>
                      <w:rFonts w:hint="eastAsia"/>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 w:type="pct"/>
                  <w:vMerge w:val="continue"/>
                  <w:tcBorders>
                    <w:tl2br w:val="nil"/>
                    <w:tr2bl w:val="nil"/>
                  </w:tcBorders>
                  <w:vAlign w:val="center"/>
                </w:tcPr>
                <w:p>
                  <w:pPr>
                    <w:spacing w:line="240" w:lineRule="auto"/>
                    <w:ind w:left="0" w:leftChars="0" w:firstLine="0" w:firstLineChars="0"/>
                    <w:jc w:val="center"/>
                    <w:rPr>
                      <w:color w:val="auto"/>
                      <w:sz w:val="21"/>
                      <w:szCs w:val="21"/>
                      <w:highlight w:val="none"/>
                    </w:rPr>
                  </w:pPr>
                </w:p>
              </w:tc>
              <w:tc>
                <w:tcPr>
                  <w:tcW w:w="897" w:type="pct"/>
                  <w:tcBorders>
                    <w:tl2br w:val="nil"/>
                    <w:tr2bl w:val="nil"/>
                  </w:tcBorders>
                  <w:vAlign w:val="center"/>
                </w:tcPr>
                <w:p>
                  <w:pPr>
                    <w:spacing w:line="240" w:lineRule="auto"/>
                    <w:ind w:left="0" w:leftChars="0" w:firstLine="0" w:firstLineChars="0"/>
                    <w:jc w:val="center"/>
                    <w:rPr>
                      <w:rFonts w:hint="eastAsia" w:eastAsia="宋体"/>
                      <w:color w:val="auto"/>
                      <w:sz w:val="21"/>
                      <w:szCs w:val="21"/>
                      <w:highlight w:val="none"/>
                      <w:lang w:eastAsia="zh-CN"/>
                    </w:rPr>
                  </w:pPr>
                  <w:r>
                    <w:rPr>
                      <w:rFonts w:hint="eastAsia"/>
                      <w:color w:val="auto"/>
                      <w:sz w:val="21"/>
                      <w:szCs w:val="21"/>
                      <w:highlight w:val="none"/>
                      <w:lang w:eastAsia="zh-CN"/>
                    </w:rPr>
                    <w:t>车辆冲洗用水</w:t>
                  </w:r>
                </w:p>
              </w:tc>
              <w:tc>
                <w:tcPr>
                  <w:tcW w:w="861" w:type="pct"/>
                  <w:tcBorders>
                    <w:tl2br w:val="nil"/>
                    <w:tr2bl w:val="nil"/>
                  </w:tcBorders>
                  <w:vAlign w:val="center"/>
                </w:tcPr>
                <w:p>
                  <w:pPr>
                    <w:widowControl/>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0.4</w:t>
                  </w:r>
                </w:p>
              </w:tc>
              <w:tc>
                <w:tcPr>
                  <w:tcW w:w="779" w:type="pct"/>
                  <w:tcBorders>
                    <w:tl2br w:val="nil"/>
                    <w:tr2bl w:val="nil"/>
                  </w:tcBorders>
                  <w:vAlign w:val="center"/>
                </w:tcPr>
                <w:p>
                  <w:pPr>
                    <w:widowControl/>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1.8</w:t>
                  </w:r>
                </w:p>
              </w:tc>
              <w:tc>
                <w:tcPr>
                  <w:tcW w:w="600" w:type="pct"/>
                  <w:tcBorders>
                    <w:tl2br w:val="nil"/>
                    <w:tr2bl w:val="nil"/>
                  </w:tcBorders>
                  <w:vAlign w:val="center"/>
                </w:tcPr>
                <w:p>
                  <w:pPr>
                    <w:widowControl/>
                    <w:spacing w:line="240" w:lineRule="auto"/>
                    <w:ind w:left="0" w:leftChars="0" w:firstLine="0" w:firstLineChars="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2.2</w:t>
                  </w:r>
                </w:p>
              </w:tc>
              <w:tc>
                <w:tcPr>
                  <w:tcW w:w="633" w:type="pct"/>
                  <w:tcBorders>
                    <w:tl2br w:val="nil"/>
                    <w:tr2bl w:val="nil"/>
                  </w:tcBorders>
                  <w:vAlign w:val="center"/>
                </w:tcPr>
                <w:p>
                  <w:pPr>
                    <w:widowControl/>
                    <w:spacing w:line="240" w:lineRule="auto"/>
                    <w:ind w:left="0" w:leftChars="0" w:firstLine="0" w:firstLineChars="0"/>
                    <w:jc w:val="center"/>
                    <w:textAlignment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0.4</w:t>
                  </w:r>
                </w:p>
              </w:tc>
              <w:tc>
                <w:tcPr>
                  <w:tcW w:w="561" w:type="pct"/>
                  <w:tcBorders>
                    <w:tl2br w:val="nil"/>
                    <w:tr2bl w:val="nil"/>
                  </w:tcBorders>
                  <w:vAlign w:val="center"/>
                </w:tcPr>
                <w:p>
                  <w:pPr>
                    <w:widowControl/>
                    <w:spacing w:line="240" w:lineRule="auto"/>
                    <w:ind w:left="0" w:leftChars="0" w:firstLine="0" w:firstLineChars="0"/>
                    <w:jc w:val="center"/>
                    <w:textAlignment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c>
                <w:tcPr>
                  <w:tcW w:w="478" w:type="pct"/>
                  <w:tcBorders>
                    <w:tl2br w:val="nil"/>
                    <w:tr2bl w:val="nil"/>
                  </w:tcBorders>
                  <w:vAlign w:val="center"/>
                </w:tcPr>
                <w:p>
                  <w:pPr>
                    <w:widowControl/>
                    <w:spacing w:line="240" w:lineRule="auto"/>
                    <w:ind w:left="0" w:leftChars="0" w:firstLine="0" w:firstLineChars="0"/>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87" w:type="pct"/>
                  <w:vMerge w:val="continue"/>
                  <w:tcBorders>
                    <w:tl2br w:val="nil"/>
                    <w:tr2bl w:val="nil"/>
                  </w:tcBorders>
                  <w:vAlign w:val="center"/>
                </w:tcPr>
                <w:p>
                  <w:pPr>
                    <w:spacing w:line="240" w:lineRule="auto"/>
                    <w:ind w:left="0" w:leftChars="0" w:firstLine="0" w:firstLineChars="0"/>
                    <w:jc w:val="center"/>
                    <w:rPr>
                      <w:color w:val="auto"/>
                      <w:sz w:val="21"/>
                      <w:szCs w:val="21"/>
                      <w:highlight w:val="none"/>
                    </w:rPr>
                  </w:pPr>
                </w:p>
              </w:tc>
              <w:tc>
                <w:tcPr>
                  <w:tcW w:w="897" w:type="pct"/>
                  <w:tcBorders>
                    <w:tl2br w:val="nil"/>
                    <w:tr2bl w:val="nil"/>
                  </w:tcBorders>
                  <w:vAlign w:val="center"/>
                </w:tcPr>
                <w:p>
                  <w:pPr>
                    <w:spacing w:line="240" w:lineRule="auto"/>
                    <w:ind w:left="0" w:leftChars="0" w:firstLine="0" w:firstLineChars="0"/>
                    <w:jc w:val="center"/>
                    <w:rPr>
                      <w:rFonts w:hint="eastAsia"/>
                      <w:color w:val="auto"/>
                      <w:sz w:val="21"/>
                      <w:szCs w:val="21"/>
                      <w:highlight w:val="none"/>
                      <w:lang w:eastAsia="zh-CN"/>
                    </w:rPr>
                  </w:pPr>
                  <w:r>
                    <w:rPr>
                      <w:rFonts w:hint="eastAsia"/>
                      <w:color w:val="auto"/>
                      <w:sz w:val="21"/>
                      <w:szCs w:val="21"/>
                      <w:highlight w:val="none"/>
                      <w:lang w:eastAsia="zh-CN"/>
                    </w:rPr>
                    <w:t>搅拌机组冲洗水</w:t>
                  </w:r>
                </w:p>
              </w:tc>
              <w:tc>
                <w:tcPr>
                  <w:tcW w:w="861" w:type="pct"/>
                  <w:tcBorders>
                    <w:tl2br w:val="nil"/>
                    <w:tr2bl w:val="nil"/>
                  </w:tcBorders>
                  <w:vAlign w:val="center"/>
                </w:tcPr>
                <w:p>
                  <w:pPr>
                    <w:widowControl/>
                    <w:spacing w:line="240" w:lineRule="auto"/>
                    <w:ind w:left="0" w:leftChars="0" w:firstLine="0" w:firstLineChars="0"/>
                    <w:jc w:val="center"/>
                    <w:textAlignment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0.8</w:t>
                  </w:r>
                </w:p>
              </w:tc>
              <w:tc>
                <w:tcPr>
                  <w:tcW w:w="779" w:type="pct"/>
                  <w:tcBorders>
                    <w:tl2br w:val="nil"/>
                    <w:tr2bl w:val="nil"/>
                  </w:tcBorders>
                  <w:vAlign w:val="center"/>
                </w:tcPr>
                <w:p>
                  <w:pPr>
                    <w:widowControl/>
                    <w:spacing w:line="240" w:lineRule="auto"/>
                    <w:ind w:left="0" w:leftChars="0" w:firstLine="0" w:firstLineChars="0"/>
                    <w:jc w:val="center"/>
                    <w:textAlignment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3.2</w:t>
                  </w:r>
                </w:p>
              </w:tc>
              <w:tc>
                <w:tcPr>
                  <w:tcW w:w="600" w:type="pct"/>
                  <w:tcBorders>
                    <w:tl2br w:val="nil"/>
                    <w:tr2bl w:val="nil"/>
                  </w:tcBorders>
                  <w:vAlign w:val="center"/>
                </w:tcPr>
                <w:p>
                  <w:pPr>
                    <w:widowControl/>
                    <w:spacing w:line="240" w:lineRule="auto"/>
                    <w:ind w:left="0" w:leftChars="0" w:firstLine="0" w:firstLineChars="0"/>
                    <w:jc w:val="center"/>
                    <w:textAlignment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4</w:t>
                  </w:r>
                </w:p>
              </w:tc>
              <w:tc>
                <w:tcPr>
                  <w:tcW w:w="633" w:type="pct"/>
                  <w:tcBorders>
                    <w:tl2br w:val="nil"/>
                    <w:tr2bl w:val="nil"/>
                  </w:tcBorders>
                  <w:vAlign w:val="center"/>
                </w:tcPr>
                <w:p>
                  <w:pPr>
                    <w:widowControl/>
                    <w:spacing w:line="240" w:lineRule="auto"/>
                    <w:ind w:left="0" w:leftChars="0" w:firstLine="0" w:firstLineChars="0"/>
                    <w:jc w:val="center"/>
                    <w:textAlignment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0.8</w:t>
                  </w:r>
                </w:p>
              </w:tc>
              <w:tc>
                <w:tcPr>
                  <w:tcW w:w="561" w:type="pct"/>
                  <w:tcBorders>
                    <w:tl2br w:val="nil"/>
                    <w:tr2bl w:val="nil"/>
                  </w:tcBorders>
                  <w:vAlign w:val="center"/>
                </w:tcPr>
                <w:p>
                  <w:pPr>
                    <w:widowControl/>
                    <w:spacing w:line="240" w:lineRule="auto"/>
                    <w:ind w:left="0" w:leftChars="0" w:firstLine="0" w:firstLineChars="0"/>
                    <w:jc w:val="center"/>
                    <w:textAlignment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c>
                <w:tcPr>
                  <w:tcW w:w="478" w:type="pct"/>
                  <w:tcBorders>
                    <w:tl2br w:val="nil"/>
                    <w:tr2bl w:val="nil"/>
                  </w:tcBorders>
                  <w:vAlign w:val="center"/>
                </w:tcPr>
                <w:p>
                  <w:pPr>
                    <w:widowControl/>
                    <w:spacing w:line="240" w:lineRule="auto"/>
                    <w:ind w:left="0" w:leftChars="0" w:firstLine="0" w:firstLineChars="0"/>
                    <w:jc w:val="center"/>
                    <w:textAlignment w:val="center"/>
                    <w:rPr>
                      <w:rFonts w:hint="eastAsia" w:cs="Times New Roman"/>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87" w:type="pct"/>
                  <w:vMerge w:val="continue"/>
                  <w:tcBorders>
                    <w:tl2br w:val="nil"/>
                    <w:tr2bl w:val="nil"/>
                  </w:tcBorders>
                  <w:vAlign w:val="center"/>
                </w:tcPr>
                <w:p>
                  <w:pPr>
                    <w:spacing w:line="240" w:lineRule="auto"/>
                    <w:ind w:left="0" w:leftChars="0" w:firstLine="0" w:firstLineChars="0"/>
                    <w:jc w:val="center"/>
                    <w:rPr>
                      <w:rFonts w:hint="eastAsia" w:eastAsia="宋体"/>
                      <w:color w:val="auto"/>
                      <w:sz w:val="21"/>
                      <w:szCs w:val="21"/>
                      <w:highlight w:val="none"/>
                      <w:lang w:eastAsia="zh-CN"/>
                    </w:rPr>
                  </w:pPr>
                </w:p>
              </w:tc>
              <w:tc>
                <w:tcPr>
                  <w:tcW w:w="897" w:type="pct"/>
                  <w:tcBorders>
                    <w:tl2br w:val="nil"/>
                    <w:tr2bl w:val="nil"/>
                  </w:tcBorders>
                  <w:vAlign w:val="center"/>
                </w:tcPr>
                <w:p>
                  <w:pPr>
                    <w:spacing w:line="240" w:lineRule="auto"/>
                    <w:ind w:left="0" w:leftChars="0" w:firstLine="0" w:firstLineChars="0"/>
                    <w:jc w:val="center"/>
                    <w:rPr>
                      <w:rFonts w:hint="eastAsia"/>
                      <w:color w:val="auto"/>
                      <w:sz w:val="21"/>
                      <w:szCs w:val="21"/>
                      <w:highlight w:val="none"/>
                      <w:lang w:eastAsia="zh-CN"/>
                    </w:rPr>
                  </w:pPr>
                  <w:r>
                    <w:rPr>
                      <w:rFonts w:hint="eastAsia"/>
                      <w:color w:val="auto"/>
                      <w:sz w:val="21"/>
                      <w:szCs w:val="21"/>
                      <w:highlight w:val="none"/>
                      <w:lang w:eastAsia="zh-CN"/>
                    </w:rPr>
                    <w:t>抑尘用水</w:t>
                  </w:r>
                </w:p>
              </w:tc>
              <w:tc>
                <w:tcPr>
                  <w:tcW w:w="861" w:type="pct"/>
                  <w:tcBorders>
                    <w:tl2br w:val="nil"/>
                    <w:tr2bl w:val="nil"/>
                  </w:tcBorders>
                  <w:vAlign w:val="center"/>
                </w:tcPr>
                <w:p>
                  <w:pPr>
                    <w:widowControl/>
                    <w:spacing w:line="240" w:lineRule="auto"/>
                    <w:ind w:left="0" w:leftChars="0" w:firstLine="0" w:firstLineChars="0"/>
                    <w:jc w:val="center"/>
                    <w:textAlignment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2.1</w:t>
                  </w:r>
                </w:p>
              </w:tc>
              <w:tc>
                <w:tcPr>
                  <w:tcW w:w="779" w:type="pct"/>
                  <w:tcBorders>
                    <w:tl2br w:val="nil"/>
                    <w:tr2bl w:val="nil"/>
                  </w:tcBorders>
                  <w:vAlign w:val="center"/>
                </w:tcPr>
                <w:p>
                  <w:pPr>
                    <w:widowControl/>
                    <w:spacing w:line="240" w:lineRule="auto"/>
                    <w:ind w:left="0" w:leftChars="0" w:firstLine="0" w:firstLineChars="0"/>
                    <w:jc w:val="center"/>
                    <w:textAlignment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c>
                <w:tcPr>
                  <w:tcW w:w="600" w:type="pct"/>
                  <w:tcBorders>
                    <w:tl2br w:val="nil"/>
                    <w:tr2bl w:val="nil"/>
                  </w:tcBorders>
                  <w:vAlign w:val="center"/>
                </w:tcPr>
                <w:p>
                  <w:pPr>
                    <w:widowControl/>
                    <w:spacing w:line="240" w:lineRule="auto"/>
                    <w:ind w:left="0" w:leftChars="0" w:firstLine="0" w:firstLineChars="0"/>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2.1</w:t>
                  </w:r>
                </w:p>
              </w:tc>
              <w:tc>
                <w:tcPr>
                  <w:tcW w:w="633" w:type="pct"/>
                  <w:tcBorders>
                    <w:tl2br w:val="nil"/>
                    <w:tr2bl w:val="nil"/>
                  </w:tcBorders>
                  <w:vAlign w:val="center"/>
                </w:tcPr>
                <w:p>
                  <w:pPr>
                    <w:widowControl/>
                    <w:spacing w:line="240" w:lineRule="auto"/>
                    <w:ind w:left="0" w:leftChars="0" w:firstLine="0" w:firstLineChars="0"/>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2.1</w:t>
                  </w:r>
                </w:p>
              </w:tc>
              <w:tc>
                <w:tcPr>
                  <w:tcW w:w="561" w:type="pct"/>
                  <w:tcBorders>
                    <w:tl2br w:val="nil"/>
                    <w:tr2bl w:val="nil"/>
                  </w:tcBorders>
                  <w:vAlign w:val="center"/>
                </w:tcPr>
                <w:p>
                  <w:pPr>
                    <w:widowControl/>
                    <w:spacing w:line="240" w:lineRule="auto"/>
                    <w:ind w:left="0" w:leftChars="0" w:firstLine="0" w:firstLineChars="0"/>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0</w:t>
                  </w:r>
                </w:p>
              </w:tc>
              <w:tc>
                <w:tcPr>
                  <w:tcW w:w="478" w:type="pct"/>
                  <w:tcBorders>
                    <w:tl2br w:val="nil"/>
                    <w:tr2bl w:val="nil"/>
                  </w:tcBorders>
                  <w:vAlign w:val="center"/>
                </w:tcPr>
                <w:p>
                  <w:pPr>
                    <w:widowControl/>
                    <w:spacing w:line="240" w:lineRule="auto"/>
                    <w:ind w:left="0" w:leftChars="0" w:firstLine="0" w:firstLineChars="0"/>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87" w:type="pct"/>
                  <w:vMerge w:val="continue"/>
                  <w:tcBorders>
                    <w:tl2br w:val="nil"/>
                    <w:tr2bl w:val="nil"/>
                  </w:tcBorders>
                  <w:vAlign w:val="center"/>
                </w:tcPr>
                <w:p>
                  <w:pPr>
                    <w:spacing w:line="240" w:lineRule="auto"/>
                    <w:ind w:left="0" w:leftChars="0" w:firstLine="0" w:firstLineChars="0"/>
                    <w:jc w:val="center"/>
                    <w:rPr>
                      <w:color w:val="auto"/>
                      <w:sz w:val="21"/>
                      <w:szCs w:val="21"/>
                      <w:highlight w:val="none"/>
                    </w:rPr>
                  </w:pPr>
                </w:p>
              </w:tc>
              <w:tc>
                <w:tcPr>
                  <w:tcW w:w="897" w:type="pct"/>
                  <w:tcBorders>
                    <w:tl2br w:val="nil"/>
                    <w:tr2bl w:val="nil"/>
                  </w:tcBorders>
                  <w:vAlign w:val="center"/>
                </w:tcPr>
                <w:p>
                  <w:pPr>
                    <w:spacing w:line="240" w:lineRule="auto"/>
                    <w:ind w:left="0" w:leftChars="0" w:firstLine="0" w:firstLineChars="0"/>
                    <w:jc w:val="center"/>
                    <w:rPr>
                      <w:rFonts w:hint="eastAsia" w:eastAsia="宋体"/>
                      <w:color w:val="auto"/>
                      <w:sz w:val="21"/>
                      <w:szCs w:val="21"/>
                      <w:highlight w:val="none"/>
                      <w:lang w:eastAsia="zh-CN"/>
                    </w:rPr>
                  </w:pPr>
                  <w:r>
                    <w:rPr>
                      <w:rFonts w:hint="eastAsia"/>
                      <w:color w:val="auto"/>
                      <w:sz w:val="21"/>
                      <w:szCs w:val="21"/>
                      <w:highlight w:val="none"/>
                      <w:lang w:eastAsia="zh-CN"/>
                    </w:rPr>
                    <w:t>实验室用水</w:t>
                  </w:r>
                </w:p>
              </w:tc>
              <w:tc>
                <w:tcPr>
                  <w:tcW w:w="861" w:type="pct"/>
                  <w:tcBorders>
                    <w:tl2br w:val="nil"/>
                    <w:tr2bl w:val="nil"/>
                  </w:tcBorders>
                  <w:vAlign w:val="center"/>
                </w:tcPr>
                <w:p>
                  <w:pPr>
                    <w:widowControl/>
                    <w:spacing w:line="240" w:lineRule="auto"/>
                    <w:ind w:left="0" w:leftChars="0" w:firstLine="0" w:firstLineChars="0"/>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0.5</w:t>
                  </w:r>
                </w:p>
              </w:tc>
              <w:tc>
                <w:tcPr>
                  <w:tcW w:w="779" w:type="pct"/>
                  <w:tcBorders>
                    <w:tl2br w:val="nil"/>
                    <w:tr2bl w:val="nil"/>
                  </w:tcBorders>
                  <w:vAlign w:val="center"/>
                </w:tcPr>
                <w:p>
                  <w:pPr>
                    <w:widowControl/>
                    <w:spacing w:line="240" w:lineRule="auto"/>
                    <w:ind w:left="0" w:leftChars="0" w:firstLine="0" w:firstLineChars="0"/>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w:t>
                  </w:r>
                </w:p>
              </w:tc>
              <w:tc>
                <w:tcPr>
                  <w:tcW w:w="600" w:type="pct"/>
                  <w:tcBorders>
                    <w:tl2br w:val="nil"/>
                    <w:tr2bl w:val="nil"/>
                  </w:tcBorders>
                  <w:vAlign w:val="center"/>
                </w:tcPr>
                <w:p>
                  <w:pPr>
                    <w:widowControl/>
                    <w:spacing w:line="240" w:lineRule="auto"/>
                    <w:ind w:left="0" w:leftChars="0" w:firstLine="0" w:firstLineChars="0"/>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w:t>
                  </w:r>
                </w:p>
              </w:tc>
              <w:tc>
                <w:tcPr>
                  <w:tcW w:w="633" w:type="pct"/>
                  <w:tcBorders>
                    <w:tl2br w:val="nil"/>
                    <w:tr2bl w:val="nil"/>
                  </w:tcBorders>
                  <w:vAlign w:val="center"/>
                </w:tcPr>
                <w:p>
                  <w:pPr>
                    <w:widowControl/>
                    <w:spacing w:line="240" w:lineRule="auto"/>
                    <w:ind w:left="0" w:leftChars="0" w:firstLine="0" w:firstLineChars="0"/>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0.5</w:t>
                  </w:r>
                </w:p>
              </w:tc>
              <w:tc>
                <w:tcPr>
                  <w:tcW w:w="561" w:type="pct"/>
                  <w:tcBorders>
                    <w:tl2br w:val="nil"/>
                    <w:tr2bl w:val="nil"/>
                  </w:tcBorders>
                  <w:vAlign w:val="center"/>
                </w:tcPr>
                <w:p>
                  <w:pPr>
                    <w:widowControl/>
                    <w:spacing w:line="240" w:lineRule="auto"/>
                    <w:ind w:left="0" w:leftChars="0" w:firstLine="0" w:firstLineChars="0"/>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0</w:t>
                  </w:r>
                </w:p>
              </w:tc>
              <w:tc>
                <w:tcPr>
                  <w:tcW w:w="478" w:type="pct"/>
                  <w:tcBorders>
                    <w:tl2br w:val="nil"/>
                    <w:tr2bl w:val="nil"/>
                  </w:tcBorders>
                  <w:vAlign w:val="center"/>
                </w:tcPr>
                <w:p>
                  <w:pPr>
                    <w:widowControl/>
                    <w:spacing w:line="240" w:lineRule="auto"/>
                    <w:ind w:left="0" w:leftChars="0" w:firstLine="0" w:firstLineChars="0"/>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84" w:type="pct"/>
                  <w:gridSpan w:val="2"/>
                  <w:tcBorders>
                    <w:tl2br w:val="nil"/>
                    <w:tr2bl w:val="nil"/>
                  </w:tcBorders>
                  <w:vAlign w:val="center"/>
                </w:tcPr>
                <w:p>
                  <w:pPr>
                    <w:spacing w:line="240" w:lineRule="auto"/>
                    <w:ind w:left="0" w:leftChars="0" w:firstLine="0" w:firstLineChars="0"/>
                    <w:jc w:val="center"/>
                    <w:rPr>
                      <w:rFonts w:hint="eastAsia"/>
                      <w:color w:val="auto"/>
                      <w:sz w:val="21"/>
                      <w:szCs w:val="21"/>
                      <w:highlight w:val="none"/>
                      <w:lang w:eastAsia="zh-CN"/>
                    </w:rPr>
                  </w:pPr>
                  <w:r>
                    <w:rPr>
                      <w:rFonts w:hint="eastAsia"/>
                      <w:color w:val="auto"/>
                      <w:sz w:val="21"/>
                      <w:szCs w:val="21"/>
                      <w:highlight w:val="none"/>
                      <w:lang w:eastAsia="zh-CN"/>
                    </w:rPr>
                    <w:t>生活用水</w:t>
                  </w:r>
                </w:p>
              </w:tc>
              <w:tc>
                <w:tcPr>
                  <w:tcW w:w="861" w:type="pct"/>
                  <w:tcBorders>
                    <w:tl2br w:val="nil"/>
                    <w:tr2bl w:val="nil"/>
                  </w:tcBorders>
                  <w:vAlign w:val="center"/>
                </w:tcPr>
                <w:p>
                  <w:pPr>
                    <w:widowControl/>
                    <w:spacing w:line="240" w:lineRule="auto"/>
                    <w:ind w:left="0" w:leftChars="0" w:firstLine="0" w:firstLineChars="0"/>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2.4</w:t>
                  </w:r>
                </w:p>
              </w:tc>
              <w:tc>
                <w:tcPr>
                  <w:tcW w:w="779" w:type="pct"/>
                  <w:tcBorders>
                    <w:tl2br w:val="nil"/>
                    <w:tr2bl w:val="nil"/>
                  </w:tcBorders>
                  <w:vAlign w:val="center"/>
                </w:tcPr>
                <w:p>
                  <w:pPr>
                    <w:widowControl/>
                    <w:spacing w:line="240" w:lineRule="auto"/>
                    <w:ind w:left="0" w:leftChars="0" w:firstLine="0" w:firstLineChars="0"/>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0</w:t>
                  </w:r>
                </w:p>
              </w:tc>
              <w:tc>
                <w:tcPr>
                  <w:tcW w:w="600" w:type="pct"/>
                  <w:tcBorders>
                    <w:tl2br w:val="nil"/>
                    <w:tr2bl w:val="nil"/>
                  </w:tcBorders>
                  <w:vAlign w:val="center"/>
                </w:tcPr>
                <w:p>
                  <w:pPr>
                    <w:widowControl/>
                    <w:spacing w:line="240" w:lineRule="auto"/>
                    <w:ind w:left="0" w:leftChars="0" w:firstLine="0" w:firstLineChars="0"/>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2.4</w:t>
                  </w:r>
                </w:p>
              </w:tc>
              <w:tc>
                <w:tcPr>
                  <w:tcW w:w="633" w:type="pct"/>
                  <w:tcBorders>
                    <w:tl2br w:val="nil"/>
                    <w:tr2bl w:val="nil"/>
                  </w:tcBorders>
                  <w:vAlign w:val="center"/>
                </w:tcPr>
                <w:p>
                  <w:pPr>
                    <w:widowControl/>
                    <w:spacing w:line="240" w:lineRule="auto"/>
                    <w:ind w:left="0" w:leftChars="0" w:firstLine="0" w:firstLineChars="0"/>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0.48</w:t>
                  </w:r>
                </w:p>
              </w:tc>
              <w:tc>
                <w:tcPr>
                  <w:tcW w:w="561" w:type="pct"/>
                  <w:tcBorders>
                    <w:tl2br w:val="nil"/>
                    <w:tr2bl w:val="nil"/>
                  </w:tcBorders>
                  <w:vAlign w:val="center"/>
                </w:tcPr>
                <w:p>
                  <w:pPr>
                    <w:widowControl/>
                    <w:spacing w:line="240" w:lineRule="auto"/>
                    <w:ind w:left="0" w:leftChars="0" w:firstLine="0" w:firstLineChars="0"/>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1.92</w:t>
                  </w:r>
                </w:p>
              </w:tc>
              <w:tc>
                <w:tcPr>
                  <w:tcW w:w="478" w:type="pct"/>
                  <w:tcBorders>
                    <w:tl2br w:val="nil"/>
                    <w:tr2bl w:val="nil"/>
                  </w:tcBorders>
                  <w:vAlign w:val="center"/>
                </w:tcPr>
                <w:p>
                  <w:pPr>
                    <w:widowControl/>
                    <w:spacing w:line="240" w:lineRule="auto"/>
                    <w:ind w:left="0" w:leftChars="0" w:firstLine="0" w:firstLineChars="0"/>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084" w:type="pct"/>
                  <w:gridSpan w:val="2"/>
                  <w:tcBorders>
                    <w:tl2br w:val="nil"/>
                    <w:tr2bl w:val="nil"/>
                  </w:tcBorders>
                  <w:vAlign w:val="center"/>
                </w:tcPr>
                <w:p>
                  <w:pPr>
                    <w:spacing w:line="240" w:lineRule="auto"/>
                    <w:ind w:left="0" w:leftChars="0" w:firstLine="0" w:firstLineChars="0"/>
                    <w:jc w:val="center"/>
                    <w:rPr>
                      <w:rFonts w:hint="eastAsia"/>
                      <w:color w:val="auto"/>
                      <w:sz w:val="21"/>
                      <w:szCs w:val="21"/>
                      <w:highlight w:val="none"/>
                      <w:lang w:eastAsia="zh-CN"/>
                    </w:rPr>
                  </w:pPr>
                  <w:r>
                    <w:rPr>
                      <w:rFonts w:hint="eastAsia"/>
                      <w:color w:val="auto"/>
                      <w:sz w:val="21"/>
                      <w:szCs w:val="21"/>
                      <w:highlight w:val="none"/>
                      <w:lang w:eastAsia="zh-CN"/>
                    </w:rPr>
                    <w:t>合计</w:t>
                  </w:r>
                </w:p>
              </w:tc>
              <w:tc>
                <w:tcPr>
                  <w:tcW w:w="861" w:type="pct"/>
                  <w:tcBorders>
                    <w:tl2br w:val="nil"/>
                    <w:tr2bl w:val="nil"/>
                  </w:tcBorders>
                  <w:vAlign w:val="center"/>
                </w:tcPr>
                <w:p>
                  <w:pPr>
                    <w:widowControl/>
                    <w:spacing w:line="240" w:lineRule="auto"/>
                    <w:ind w:left="0" w:leftChars="0" w:firstLine="0" w:firstLineChars="0"/>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142.68</w:t>
                  </w:r>
                </w:p>
              </w:tc>
              <w:tc>
                <w:tcPr>
                  <w:tcW w:w="779" w:type="pct"/>
                  <w:tcBorders>
                    <w:tl2br w:val="nil"/>
                    <w:tr2bl w:val="nil"/>
                  </w:tcBorders>
                  <w:vAlign w:val="center"/>
                </w:tcPr>
                <w:p>
                  <w:pPr>
                    <w:widowControl/>
                    <w:spacing w:line="240" w:lineRule="auto"/>
                    <w:ind w:left="0" w:leftChars="0" w:firstLine="0" w:firstLineChars="0"/>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5</w:t>
                  </w:r>
                </w:p>
              </w:tc>
              <w:tc>
                <w:tcPr>
                  <w:tcW w:w="600" w:type="pct"/>
                  <w:tcBorders>
                    <w:tl2br w:val="nil"/>
                    <w:tr2bl w:val="nil"/>
                  </w:tcBorders>
                  <w:vAlign w:val="center"/>
                </w:tcPr>
                <w:p>
                  <w:pPr>
                    <w:widowControl/>
                    <w:spacing w:line="240" w:lineRule="auto"/>
                    <w:ind w:left="0" w:leftChars="0" w:firstLine="0" w:firstLineChars="0"/>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147.18</w:t>
                  </w:r>
                </w:p>
              </w:tc>
              <w:tc>
                <w:tcPr>
                  <w:tcW w:w="633" w:type="pct"/>
                  <w:tcBorders>
                    <w:tl2br w:val="nil"/>
                    <w:tr2bl w:val="nil"/>
                  </w:tcBorders>
                  <w:vAlign w:val="center"/>
                </w:tcPr>
                <w:p>
                  <w:pPr>
                    <w:widowControl/>
                    <w:spacing w:line="240" w:lineRule="auto"/>
                    <w:ind w:left="0" w:leftChars="0" w:firstLine="0" w:firstLineChars="0"/>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141.76</w:t>
                  </w:r>
                </w:p>
              </w:tc>
              <w:tc>
                <w:tcPr>
                  <w:tcW w:w="561" w:type="pct"/>
                  <w:tcBorders>
                    <w:tl2br w:val="nil"/>
                    <w:tr2bl w:val="nil"/>
                  </w:tcBorders>
                  <w:vAlign w:val="center"/>
                </w:tcPr>
                <w:p>
                  <w:pPr>
                    <w:widowControl/>
                    <w:spacing w:line="240" w:lineRule="auto"/>
                    <w:ind w:left="0" w:leftChars="0" w:firstLine="0" w:firstLineChars="0"/>
                    <w:jc w:val="center"/>
                    <w:textAlignment w:val="center"/>
                    <w:rPr>
                      <w:rFonts w:hint="default"/>
                      <w:color w:val="auto"/>
                      <w:sz w:val="21"/>
                      <w:szCs w:val="21"/>
                      <w:highlight w:val="none"/>
                      <w:lang w:val="en-US" w:eastAsia="zh-CN"/>
                    </w:rPr>
                  </w:pPr>
                  <w:r>
                    <w:rPr>
                      <w:rFonts w:hint="eastAsia"/>
                      <w:color w:val="auto"/>
                      <w:sz w:val="21"/>
                      <w:szCs w:val="21"/>
                      <w:highlight w:val="none"/>
                      <w:lang w:val="en-US" w:eastAsia="zh-CN"/>
                    </w:rPr>
                    <w:t>1.92</w:t>
                  </w:r>
                </w:p>
              </w:tc>
              <w:tc>
                <w:tcPr>
                  <w:tcW w:w="478" w:type="pct"/>
                  <w:tcBorders>
                    <w:tl2br w:val="nil"/>
                    <w:tr2bl w:val="nil"/>
                  </w:tcBorders>
                  <w:vAlign w:val="center"/>
                </w:tcPr>
                <w:p>
                  <w:pPr>
                    <w:widowControl/>
                    <w:spacing w:line="240" w:lineRule="auto"/>
                    <w:ind w:left="0" w:leftChars="0" w:firstLine="0" w:firstLineChars="0"/>
                    <w:jc w:val="center"/>
                    <w:textAlignment w:val="center"/>
                    <w:rPr>
                      <w:rFonts w:hint="default" w:eastAsia="宋体"/>
                      <w:color w:val="auto"/>
                      <w:sz w:val="21"/>
                      <w:szCs w:val="21"/>
                      <w:highlight w:val="none"/>
                      <w:lang w:val="en-US" w:eastAsia="zh-CN"/>
                    </w:rPr>
                  </w:pPr>
                  <w:r>
                    <w:rPr>
                      <w:rFonts w:hint="eastAsia"/>
                      <w:color w:val="auto"/>
                      <w:sz w:val="21"/>
                      <w:szCs w:val="21"/>
                      <w:highlight w:val="none"/>
                      <w:lang w:val="en-US" w:eastAsia="zh-CN"/>
                    </w:rPr>
                    <w:t>/</w:t>
                  </w:r>
                </w:p>
              </w:tc>
            </w:tr>
          </w:tbl>
          <w:p>
            <w:pPr>
              <w:bidi w:val="0"/>
              <w:ind w:left="0" w:leftChars="0" w:firstLine="0" w:firstLineChars="0"/>
              <w:rPr>
                <w:b/>
                <w:color w:val="000000"/>
                <w:highlight w:val="none"/>
                <w:lang w:eastAsia="zh-CN"/>
              </w:rPr>
            </w:pPr>
            <w:r>
              <w:rPr>
                <w:sz w:val="24"/>
                <w:highlight w:val="none"/>
              </w:rPr>
              <mc:AlternateContent>
                <mc:Choice Requires="wps">
                  <w:drawing>
                    <wp:anchor distT="0" distB="0" distL="114300" distR="114300" simplePos="0" relativeHeight="251660288" behindDoc="0" locked="0" layoutInCell="1" allowOverlap="1">
                      <wp:simplePos x="0" y="0"/>
                      <wp:positionH relativeFrom="column">
                        <wp:posOffset>3893820</wp:posOffset>
                      </wp:positionH>
                      <wp:positionV relativeFrom="paragraph">
                        <wp:posOffset>2292350</wp:posOffset>
                      </wp:positionV>
                      <wp:extent cx="8890" cy="303530"/>
                      <wp:effectExtent l="4445" t="0" r="5715" b="1270"/>
                      <wp:wrapNone/>
                      <wp:docPr id="27" name="直接连接符 27"/>
                      <wp:cNvGraphicFramePr/>
                      <a:graphic xmlns:a="http://schemas.openxmlformats.org/drawingml/2006/main">
                        <a:graphicData uri="http://schemas.microsoft.com/office/word/2010/wordprocessingShape">
                          <wps:wsp>
                            <wps:cNvCnPr/>
                            <wps:spPr>
                              <a:xfrm flipH="1" flipV="1">
                                <a:off x="5779135" y="4553585"/>
                                <a:ext cx="8890" cy="3035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306.6pt;margin-top:180.5pt;height:23.9pt;width:0.7pt;z-index:251660288;mso-width-relative:page;mso-height-relative:page;" filled="f" stroked="t" coordsize="21600,21600" o:gfxdata="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Rurm2gAAAAsBAAAPAAAAAAAAAAEAIAAAACIAAABkcnMv&#10;ZG93bnJldi54bWxQSwECFAAUAAAACACHTuJA6tHITgECAADVAwAADgAAAAAAAAABACAAAAApAQAA&#10;ZHJzL2Uyb0RvYy54bWxQSwUGAAAAAAYABgBZAQAAnAUAAAAA&#10;">
                      <v:fill on="f" focussize="0,0"/>
                      <v:stroke weight="0.5pt" color="#000000 [3200]" miterlimit="8" joinstyle="miter"/>
                      <v:imagedata o:title=""/>
                      <o:lock v:ext="edit" aspectratio="f"/>
                    </v:line>
                  </w:pict>
                </mc:Fallback>
              </mc:AlternateContent>
            </w:r>
            <w:r>
              <w:rPr>
                <w:sz w:val="24"/>
                <w:highlight w:val="none"/>
              </w:rPr>
              <mc:AlternateContent>
                <mc:Choice Requires="wps">
                  <w:drawing>
                    <wp:anchor distT="0" distB="0" distL="114300" distR="114300" simplePos="0" relativeHeight="251661312" behindDoc="0" locked="0" layoutInCell="1" allowOverlap="1">
                      <wp:simplePos x="0" y="0"/>
                      <wp:positionH relativeFrom="column">
                        <wp:posOffset>2066290</wp:posOffset>
                      </wp:positionH>
                      <wp:positionV relativeFrom="paragraph">
                        <wp:posOffset>2599055</wp:posOffset>
                      </wp:positionV>
                      <wp:extent cx="1836420" cy="5080"/>
                      <wp:effectExtent l="0" t="0" r="0" b="0"/>
                      <wp:wrapNone/>
                      <wp:docPr id="29" name="直接连接符 29"/>
                      <wp:cNvGraphicFramePr/>
                      <a:graphic xmlns:a="http://schemas.openxmlformats.org/drawingml/2006/main">
                        <a:graphicData uri="http://schemas.microsoft.com/office/word/2010/wordprocessingShape">
                          <wps:wsp>
                            <wps:cNvCnPr/>
                            <wps:spPr>
                              <a:xfrm flipH="1" flipV="1">
                                <a:off x="3531235" y="5372735"/>
                                <a:ext cx="183642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162.7pt;margin-top:204.65pt;height:0.4pt;width:144.6pt;z-index:251661312;mso-width-relative:page;mso-height-relative:page;" filled="f" stroked="t" coordsize="21600,21600" o:gfxdata="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oSQi/2gAAAAsBAAAPAAAAAAAAAAEAIAAAACIAAABkcnMv&#10;ZG93bnJldi54bWxQSwECFAAUAAAACACHTuJAzlIhggECAADWAwAADgAAAAAAAAABACAAAAApAQAA&#10;ZHJzL2Uyb0RvYy54bWxQSwUGAAAAAAYABgBZAQAAnAUAAAAA&#10;">
                      <v:fill on="f" focussize="0,0"/>
                      <v:stroke weight="0.5pt" color="#000000 [3200]" miterlimit="8" joinstyle="miter"/>
                      <v:imagedata o:title=""/>
                      <o:lock v:ext="edit" aspectratio="f"/>
                    </v:line>
                  </w:pict>
                </mc:Fallback>
              </mc:AlternateContent>
            </w:r>
            <w:r>
              <w:rPr>
                <w:rFonts w:hint="default"/>
                <w:sz w:val="24"/>
                <w:highlight w:val="none"/>
                <w:lang w:val="en-US"/>
              </w:rPr>
              <mc:AlternateContent>
                <mc:Choice Requires="wpc">
                  <w:drawing>
                    <wp:inline distT="0" distB="0" distL="114300" distR="114300">
                      <wp:extent cx="5218430" cy="5567680"/>
                      <wp:effectExtent l="0" t="0" r="1270" b="0"/>
                      <wp:docPr id="2" name="画布 2"/>
                      <wp:cNvGraphicFramePr/>
                      <a:graphic xmlns:a="http://schemas.openxmlformats.org/drawingml/2006/main">
                        <a:graphicData uri="http://schemas.microsoft.com/office/word/2010/wordprocessingCanvas">
                          <wpc:wpc>
                            <wpc:bg/>
                            <wpc:whole/>
                            <wps:wsp>
                              <wps:cNvPr id="78" name="直接箭头连接符 4"/>
                              <wps:cNvCnPr/>
                              <wps:spPr>
                                <a:xfrm>
                                  <a:off x="113665" y="2239010"/>
                                  <a:ext cx="621030"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79" name="文本框 6"/>
                              <wps:cNvSpPr txBox="1"/>
                              <wps:spPr>
                                <a:xfrm>
                                  <a:off x="1534795" y="659130"/>
                                  <a:ext cx="1143000"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eastAsia" w:eastAsia="宋体"/>
                                        <w:sz w:val="21"/>
                                        <w:szCs w:val="21"/>
                                        <w:lang w:eastAsia="zh-CN"/>
                                      </w:rPr>
                                    </w:pPr>
                                    <w:r>
                                      <w:rPr>
                                        <w:rFonts w:hint="eastAsia"/>
                                        <w:sz w:val="21"/>
                                        <w:szCs w:val="21"/>
                                        <w:lang w:eastAsia="zh-CN"/>
                                      </w:rPr>
                                      <w:t>混凝土配料用水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1" name="文本框 8"/>
                              <wps:cNvSpPr txBox="1"/>
                              <wps:spPr>
                                <a:xfrm>
                                  <a:off x="1532255" y="1303655"/>
                                  <a:ext cx="1143000"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eastAsia="zh-CN"/>
                                      </w:rPr>
                                      <w:t>车辆冲洗水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2" name="文本框 9"/>
                              <wps:cNvSpPr txBox="1"/>
                              <wps:spPr>
                                <a:xfrm>
                                  <a:off x="1513205" y="3018155"/>
                                  <a:ext cx="1143000"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eastAsia="zh-CN"/>
                                      </w:rPr>
                                      <w:t>抑尘用水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3" name="文本框 10"/>
                              <wps:cNvSpPr txBox="1"/>
                              <wps:spPr>
                                <a:xfrm>
                                  <a:off x="1577975" y="3691890"/>
                                  <a:ext cx="1143000"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eastAsia="zh-CN"/>
                                      </w:rPr>
                                      <w:t>实验室用水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5" name="直接连接符 22"/>
                              <wps:cNvCnPr/>
                              <wps:spPr>
                                <a:xfrm>
                                  <a:off x="770890" y="789305"/>
                                  <a:ext cx="0" cy="4421505"/>
                                </a:xfrm>
                                <a:prstGeom prst="line">
                                  <a:avLst/>
                                </a:prstGeom>
                              </wps:spPr>
                              <wps:style>
                                <a:lnRef idx="1">
                                  <a:schemeClr val="dk1"/>
                                </a:lnRef>
                                <a:fillRef idx="0">
                                  <a:schemeClr val="dk1"/>
                                </a:fillRef>
                                <a:effectRef idx="0">
                                  <a:schemeClr val="dk1"/>
                                </a:effectRef>
                                <a:fontRef idx="minor">
                                  <a:schemeClr val="tx1"/>
                                </a:fontRef>
                              </wps:style>
                              <wps:bodyPr/>
                            </wps:wsp>
                            <wps:wsp>
                              <wps:cNvPr id="86" name="直接箭头连接符 24"/>
                              <wps:cNvCnPr/>
                              <wps:spPr>
                                <a:xfrm>
                                  <a:off x="791845" y="786130"/>
                                  <a:ext cx="683895" cy="50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89" name="直接箭头连接符 27"/>
                              <wps:cNvCnPr/>
                              <wps:spPr>
                                <a:xfrm flipV="1">
                                  <a:off x="770255" y="1486535"/>
                                  <a:ext cx="743585"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90" name="直接箭头连接符 28"/>
                              <wps:cNvCnPr/>
                              <wps:spPr>
                                <a:xfrm flipV="1">
                                  <a:off x="770890" y="3201035"/>
                                  <a:ext cx="723900" cy="76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91" name="直接箭头连接符 29"/>
                              <wps:cNvCnPr/>
                              <wps:spPr>
                                <a:xfrm flipV="1">
                                  <a:off x="797560" y="3849370"/>
                                  <a:ext cx="753110"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92" name="文本框 30"/>
                              <wps:cNvSpPr txBox="1"/>
                              <wps:spPr>
                                <a:xfrm>
                                  <a:off x="875030" y="561975"/>
                                  <a:ext cx="657860" cy="238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109.09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4" name="文本框 30"/>
                              <wps:cNvSpPr txBox="1"/>
                              <wps:spPr>
                                <a:xfrm>
                                  <a:off x="951865" y="1040130"/>
                                  <a:ext cx="676910"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0.4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5" name="文本框 30"/>
                              <wps:cNvSpPr txBox="1"/>
                              <wps:spPr>
                                <a:xfrm>
                                  <a:off x="950595" y="2975610"/>
                                  <a:ext cx="467360" cy="304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2.1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6" name="文本框 30"/>
                              <wps:cNvSpPr txBox="1"/>
                              <wps:spPr>
                                <a:xfrm>
                                  <a:off x="957580" y="3475355"/>
                                  <a:ext cx="420370"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eastAsia="宋体"/>
                                        <w:sz w:val="21"/>
                                        <w:szCs w:val="21"/>
                                        <w:lang w:val="en-US" w:eastAsia="zh-CN"/>
                                      </w:rPr>
                                      <w:t>0.5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8" name="文本框 30"/>
                              <wps:cNvSpPr txBox="1"/>
                              <wps:spPr>
                                <a:xfrm>
                                  <a:off x="104775" y="1979930"/>
                                  <a:ext cx="676910"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142.68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9" name="曲线连接符 52"/>
                              <wps:cNvCnPr/>
                              <wps:spPr>
                                <a:xfrm rot="16200000">
                                  <a:off x="2155190" y="469900"/>
                                  <a:ext cx="149225" cy="228600"/>
                                </a:xfrm>
                                <a:prstGeom prst="curved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1" name="曲线连接符 54"/>
                              <wps:cNvCnPr/>
                              <wps:spPr>
                                <a:xfrm rot="16200000">
                                  <a:off x="1798955" y="1122680"/>
                                  <a:ext cx="149225" cy="228600"/>
                                </a:xfrm>
                                <a:prstGeom prst="curved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2" name="曲线连接符 55"/>
                              <wps:cNvCnPr/>
                              <wps:spPr>
                                <a:xfrm rot="16200000">
                                  <a:off x="1998980" y="2846705"/>
                                  <a:ext cx="149225" cy="228600"/>
                                </a:xfrm>
                                <a:prstGeom prst="curved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3" name="曲线连接符 56"/>
                              <wps:cNvCnPr/>
                              <wps:spPr>
                                <a:xfrm rot="16200000">
                                  <a:off x="2083435" y="3431540"/>
                                  <a:ext cx="149225" cy="228600"/>
                                </a:xfrm>
                                <a:prstGeom prst="curved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9" name="文本框 7"/>
                              <wps:cNvSpPr txBox="1"/>
                              <wps:spPr>
                                <a:xfrm>
                                  <a:off x="3480435" y="1274445"/>
                                  <a:ext cx="647700"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eastAsia" w:eastAsia="宋体"/>
                                        <w:sz w:val="21"/>
                                        <w:szCs w:val="21"/>
                                        <w:lang w:eastAsia="zh-CN"/>
                                      </w:rPr>
                                    </w:pPr>
                                    <w:r>
                                      <w:rPr>
                                        <w:rFonts w:hint="eastAsia"/>
                                        <w:sz w:val="21"/>
                                        <w:szCs w:val="21"/>
                                        <w:lang w:eastAsia="zh-CN"/>
                                      </w:rPr>
                                      <w:t>沉淀池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1" name="直接箭头连接符 26"/>
                              <wps:cNvCnPr/>
                              <wps:spPr>
                                <a:xfrm flipV="1">
                                  <a:off x="2562225" y="5239385"/>
                                  <a:ext cx="495935" cy="1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12" name="文本框 7"/>
                              <wps:cNvSpPr txBox="1"/>
                              <wps:spPr>
                                <a:xfrm>
                                  <a:off x="3077210" y="5017770"/>
                                  <a:ext cx="647700"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eastAsia" w:eastAsia="宋体"/>
                                        <w:sz w:val="21"/>
                                        <w:szCs w:val="21"/>
                                        <w:lang w:eastAsia="zh-CN"/>
                                      </w:rPr>
                                    </w:pPr>
                                    <w:r>
                                      <w:rPr>
                                        <w:rFonts w:hint="eastAsia"/>
                                        <w:sz w:val="21"/>
                                        <w:szCs w:val="21"/>
                                        <w:lang w:eastAsia="zh-CN"/>
                                      </w:rPr>
                                      <w:t>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3" name="文本框 30"/>
                              <wps:cNvSpPr txBox="1"/>
                              <wps:spPr>
                                <a:xfrm>
                                  <a:off x="2294255" y="342900"/>
                                  <a:ext cx="673735" cy="2482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109.09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4" name="文本框 30"/>
                              <wps:cNvSpPr txBox="1"/>
                              <wps:spPr>
                                <a:xfrm>
                                  <a:off x="2913380" y="713105"/>
                                  <a:ext cx="676910"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7" name="文本框 30"/>
                              <wps:cNvSpPr txBox="1"/>
                              <wps:spPr>
                                <a:xfrm>
                                  <a:off x="1494155" y="1056005"/>
                                  <a:ext cx="676910"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eastAsia="宋体"/>
                                        <w:sz w:val="21"/>
                                        <w:szCs w:val="21"/>
                                        <w:lang w:val="en-US" w:eastAsia="zh-CN"/>
                                      </w:rPr>
                                      <w:t>0.</w:t>
                                    </w:r>
                                    <w:r>
                                      <w:rPr>
                                        <w:rFonts w:hint="eastAsia"/>
                                        <w:sz w:val="21"/>
                                        <w:szCs w:val="21"/>
                                        <w:lang w:val="en-US" w:eastAsia="zh-CN"/>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9" name="文本框 30"/>
                              <wps:cNvSpPr txBox="1"/>
                              <wps:spPr>
                                <a:xfrm>
                                  <a:off x="3256280" y="779780"/>
                                  <a:ext cx="429260" cy="2768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1.8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1" name="文本框 30"/>
                              <wps:cNvSpPr txBox="1"/>
                              <wps:spPr>
                                <a:xfrm>
                                  <a:off x="2606040" y="4927600"/>
                                  <a:ext cx="543560" cy="429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1.92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2" name="文本框 30"/>
                              <wps:cNvSpPr txBox="1"/>
                              <wps:spPr>
                                <a:xfrm>
                                  <a:off x="2103755" y="2741930"/>
                                  <a:ext cx="486410" cy="238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2.1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3" name="文本框 30"/>
                              <wps:cNvSpPr txBox="1"/>
                              <wps:spPr>
                                <a:xfrm>
                                  <a:off x="2412365" y="3356610"/>
                                  <a:ext cx="676910"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eastAsia="宋体"/>
                                        <w:sz w:val="21"/>
                                        <w:szCs w:val="21"/>
                                        <w:lang w:val="en-US" w:eastAsia="zh-CN"/>
                                      </w:rPr>
                                      <w:t>0.5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直接箭头连接符 27"/>
                              <wps:cNvCnPr/>
                              <wps:spPr>
                                <a:xfrm>
                                  <a:off x="779780" y="2136775"/>
                                  <a:ext cx="743585" cy="6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9" name="肘形连接符 9"/>
                              <wps:cNvCnPr>
                                <a:stCxn id="109" idx="0"/>
                                <a:endCxn id="81" idx="0"/>
                              </wps:cNvCnPr>
                              <wps:spPr>
                                <a:xfrm rot="16200000" flipH="1" flipV="1">
                                  <a:off x="2939415" y="438785"/>
                                  <a:ext cx="29210" cy="1700530"/>
                                </a:xfrm>
                                <a:prstGeom prst="bentConnector3">
                                  <a:avLst>
                                    <a:gd name="adj1" fmla="val -815217"/>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 name="文本框 8"/>
                              <wps:cNvSpPr txBox="1"/>
                              <wps:spPr>
                                <a:xfrm>
                                  <a:off x="1513205" y="1951355"/>
                                  <a:ext cx="1143000"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eastAsia="zh-CN"/>
                                      </w:rPr>
                                      <w:t>搅拌机组冲洗水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曲线连接符 55"/>
                              <wps:cNvCnPr/>
                              <wps:spPr>
                                <a:xfrm rot="16200000">
                                  <a:off x="2075180" y="1760855"/>
                                  <a:ext cx="149225" cy="228600"/>
                                </a:xfrm>
                                <a:prstGeom prst="curved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文本框 30"/>
                              <wps:cNvSpPr txBox="1"/>
                              <wps:spPr>
                                <a:xfrm>
                                  <a:off x="989330" y="1884680"/>
                                  <a:ext cx="43942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0.8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30"/>
                              <wps:cNvSpPr txBox="1"/>
                              <wps:spPr>
                                <a:xfrm>
                                  <a:off x="1637030" y="1722755"/>
                                  <a:ext cx="372745" cy="2673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0.8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直接箭头连接符 30"/>
                              <wps:cNvCnPr>
                                <a:endCxn id="10" idx="2"/>
                              </wps:cNvCnPr>
                              <wps:spPr>
                                <a:xfrm flipV="1">
                                  <a:off x="2075815" y="2294255"/>
                                  <a:ext cx="8890" cy="3200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文本框 30"/>
                              <wps:cNvSpPr txBox="1"/>
                              <wps:spPr>
                                <a:xfrm>
                                  <a:off x="2846070" y="1192530"/>
                                  <a:ext cx="429260" cy="2768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1.8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 name="文本框 30"/>
                              <wps:cNvSpPr txBox="1"/>
                              <wps:spPr>
                                <a:xfrm>
                                  <a:off x="2913380" y="1915160"/>
                                  <a:ext cx="429260" cy="2768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3.2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文本框 30"/>
                              <wps:cNvSpPr txBox="1"/>
                              <wps:spPr>
                                <a:xfrm>
                                  <a:off x="2946400" y="2361565"/>
                                  <a:ext cx="429260" cy="2768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3.2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21"/>
                              <wps:cNvSpPr txBox="1"/>
                              <wps:spPr>
                                <a:xfrm>
                                  <a:off x="1598930" y="5037455"/>
                                  <a:ext cx="927100"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eastAsia="zh-CN"/>
                                      </w:rPr>
                                      <w:t>生活用水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30"/>
                              <wps:cNvSpPr txBox="1"/>
                              <wps:spPr>
                                <a:xfrm>
                                  <a:off x="1065530" y="4970780"/>
                                  <a:ext cx="482600"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2.4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直接箭头连接符 25"/>
                              <wps:cNvCnPr/>
                              <wps:spPr>
                                <a:xfrm>
                                  <a:off x="789940" y="5229860"/>
                                  <a:ext cx="826135" cy="76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1" name="曲线连接符 57"/>
                              <wps:cNvCnPr/>
                              <wps:spPr>
                                <a:xfrm rot="16200000">
                                  <a:off x="2094230" y="4837430"/>
                                  <a:ext cx="149225" cy="228600"/>
                                </a:xfrm>
                                <a:prstGeom prst="curved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文本框 30"/>
                              <wps:cNvSpPr txBox="1"/>
                              <wps:spPr>
                                <a:xfrm>
                                  <a:off x="2284730" y="4742180"/>
                                  <a:ext cx="46736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eastAsia="宋体"/>
                                        <w:sz w:val="21"/>
                                        <w:szCs w:val="21"/>
                                        <w:lang w:val="en-US" w:eastAsia="zh-CN"/>
                                      </w:rPr>
                                      <w:t>0.</w:t>
                                    </w:r>
                                    <w:r>
                                      <w:rPr>
                                        <w:rFonts w:hint="eastAsia"/>
                                        <w:sz w:val="21"/>
                                        <w:szCs w:val="21"/>
                                        <w:lang w:val="en-US" w:eastAsia="zh-CN"/>
                                      </w:rPr>
                                      <w:t>48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文本框 7"/>
                              <wps:cNvSpPr txBox="1"/>
                              <wps:spPr>
                                <a:xfrm>
                                  <a:off x="3483610" y="1942465"/>
                                  <a:ext cx="647700"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eastAsia" w:eastAsia="宋体"/>
                                        <w:sz w:val="21"/>
                                        <w:szCs w:val="21"/>
                                        <w:lang w:eastAsia="zh-CN"/>
                                      </w:rPr>
                                    </w:pPr>
                                    <w:r>
                                      <w:rPr>
                                        <w:rFonts w:hint="eastAsia"/>
                                        <w:sz w:val="21"/>
                                        <w:szCs w:val="21"/>
                                        <w:lang w:eastAsia="zh-CN"/>
                                      </w:rPr>
                                      <w:t>沉淀池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直接箭头连接符 27"/>
                              <wps:cNvCnPr/>
                              <wps:spPr>
                                <a:xfrm flipV="1">
                                  <a:off x="2670175" y="1466215"/>
                                  <a:ext cx="743585"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4" name="直接箭头连接符 27"/>
                              <wps:cNvCnPr/>
                              <wps:spPr>
                                <a:xfrm flipV="1">
                                  <a:off x="2687320" y="2115820"/>
                                  <a:ext cx="743585"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5" name="直接箭头连接符 26"/>
                              <wps:cNvCnPr/>
                              <wps:spPr>
                                <a:xfrm flipV="1">
                                  <a:off x="3765550" y="5253355"/>
                                  <a:ext cx="495935" cy="1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34" name="文本框 7"/>
                              <wps:cNvSpPr txBox="1"/>
                              <wps:spPr>
                                <a:xfrm>
                                  <a:off x="4267200" y="5060315"/>
                                  <a:ext cx="864235" cy="3524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污水处理厂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 name="文本框 30"/>
                              <wps:cNvSpPr txBox="1"/>
                              <wps:spPr>
                                <a:xfrm>
                                  <a:off x="3799205" y="4925060"/>
                                  <a:ext cx="600710" cy="429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sz w:val="21"/>
                                        <w:szCs w:val="21"/>
                                        <w:lang w:val="en-US" w:eastAsia="zh-CN"/>
                                      </w:rPr>
                                      <w:t>1.92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 name="直接箭头连接符 29"/>
                              <wps:cNvCnPr/>
                              <wps:spPr>
                                <a:xfrm flipV="1">
                                  <a:off x="795020" y="4509135"/>
                                  <a:ext cx="753110"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8" name="文本框 10"/>
                              <wps:cNvSpPr txBox="1"/>
                              <wps:spPr>
                                <a:xfrm>
                                  <a:off x="1548130" y="4309745"/>
                                  <a:ext cx="1143000"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1"/>
                                        <w:szCs w:val="21"/>
                                        <w:lang w:val="en-US" w:eastAsia="zh-CN"/>
                                      </w:rPr>
                                    </w:pPr>
                                    <w:r>
                                      <w:rPr>
                                        <w:rFonts w:hint="eastAsia" w:eastAsia="宋体"/>
                                        <w:sz w:val="21"/>
                                        <w:szCs w:val="21"/>
                                        <w:lang w:val="en-US" w:eastAsia="zh-CN"/>
                                      </w:rPr>
                                      <w:t>水稳站用水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9" name="曲线连接符 56"/>
                              <wps:cNvCnPr/>
                              <wps:spPr>
                                <a:xfrm rot="16200000">
                                  <a:off x="2092960" y="4119880"/>
                                  <a:ext cx="149225" cy="228600"/>
                                </a:xfrm>
                                <a:prstGeom prst="curved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4" name="文本框 30"/>
                              <wps:cNvSpPr txBox="1"/>
                              <wps:spPr>
                                <a:xfrm>
                                  <a:off x="975995" y="4189095"/>
                                  <a:ext cx="619125"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eastAsia="宋体"/>
                                        <w:sz w:val="21"/>
                                        <w:szCs w:val="21"/>
                                        <w:lang w:val="en-US" w:eastAsia="zh-CN"/>
                                      </w:rPr>
                                      <w:t>27.39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7" name="文本框 30"/>
                              <wps:cNvSpPr txBox="1"/>
                              <wps:spPr>
                                <a:xfrm>
                                  <a:off x="2292350" y="4032885"/>
                                  <a:ext cx="619125"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eastAsia="宋体"/>
                                        <w:sz w:val="21"/>
                                        <w:szCs w:val="21"/>
                                        <w:lang w:val="en-US" w:eastAsia="zh-CN"/>
                                      </w:rPr>
                                    </w:pPr>
                                    <w:r>
                                      <w:rPr>
                                        <w:rFonts w:hint="eastAsia" w:eastAsia="宋体"/>
                                        <w:sz w:val="21"/>
                                        <w:szCs w:val="21"/>
                                        <w:lang w:val="en-US" w:eastAsia="zh-CN"/>
                                      </w:rPr>
                                      <w:t>27.39</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438.4pt;width:410.9pt;" coordsize="5218430,5567680" editas="canvas" o:gfxdata="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">
                      <o:lock v:ext="edit" aspectratio="f"/>
                      <v:shape id="_x0000_s1026" o:spid="_x0000_s1026" style="position:absolute;left:0;top:0;height:5567680;width:5218430;" filled="f" stroked="f" coordsize="21600,21600" o:gfxdata="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">
                        <v:fill on="f" focussize="0,0"/>
                        <v:stroke on="f"/>
                        <v:imagedata o:title=""/>
                        <o:lock v:ext="edit" aspectratio="f"/>
                      </v:shape>
                      <v:shape id="直接箭头连接符 4" o:spid="_x0000_s1026" o:spt="32" type="#_x0000_t32" style="position:absolute;left:113665;top:2239010;height:4445;width:621030;" filled="f" stroked="t" coordsize="21600,21600" o:gfxdata="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3ly1HVAAAABQEAAA8A&#10;AAAAAAAAAQAgAAAAIgAAAGRycy9kb3ducmV2LnhtbFBLAQIUABQAAAAIAIdO4kBwkZfgGgIAAP4D&#10;AAAOAAAAAAAAAAEAIAAAACQBAABkcnMvZTJvRG9jLnhtbFBLBQYAAAAABgAGAFkBAACwBQAAAAA=&#10;">
                        <v:fill on="f" focussize="0,0"/>
                        <v:stroke weight="0.5pt" color="#000000 [3200]" miterlimit="8" joinstyle="miter" endarrow="open"/>
                        <v:imagedata o:title=""/>
                        <o:lock v:ext="edit" aspectratio="f"/>
                      </v:shape>
                      <v:shape id="文本框 6" o:spid="_x0000_s1026" o:spt="202" type="#_x0000_t202" style="position:absolute;left:1534795;top:659130;height:342900;width:1143000;" fillcolor="#FFFFFF [3201]" filled="t" stroked="t" coordsize="21600,21600" o:gfxdata="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Xz&#10;j73SAAAABQEAAA8AAAAAAAAAAQAgAAAAIgAAAGRycy9kb3ducmV2LnhtbFBLAQIUABQAAAAIAIdO&#10;4kACEOh8YgIAAMMEAAAOAAAAAAAAAAEAIAAAACEBAABkcnMvZTJvRG9jLnhtbFBLBQYAAAAABgAG&#10;AFkBAAD1BQAAAAA=&#10;">
                        <v:fill on="t" focussize="0,0"/>
                        <v:stroke weight="0.5pt" color="#000000 [3204]" joinstyle="round"/>
                        <v:imagedata o:title=""/>
                        <o:lock v:ext="edit" aspectratio="f"/>
                        <v:textbox>
                          <w:txbxContent>
                            <w:p>
                              <w:pPr>
                                <w:ind w:left="0" w:leftChars="0" w:firstLine="0" w:firstLineChars="0"/>
                                <w:rPr>
                                  <w:rFonts w:hint="eastAsia" w:eastAsia="宋体"/>
                                  <w:sz w:val="21"/>
                                  <w:szCs w:val="21"/>
                                  <w:lang w:eastAsia="zh-CN"/>
                                </w:rPr>
                              </w:pPr>
                              <w:r>
                                <w:rPr>
                                  <w:rFonts w:hint="eastAsia"/>
                                  <w:sz w:val="21"/>
                                  <w:szCs w:val="21"/>
                                  <w:lang w:eastAsia="zh-CN"/>
                                </w:rPr>
                                <w:t>混凝土配料用水</w:t>
                              </w:r>
                            </w:p>
                          </w:txbxContent>
                        </v:textbox>
                      </v:shape>
                      <v:shape id="文本框 8" o:spid="_x0000_s1026" o:spt="202" type="#_x0000_t202" style="position:absolute;left:1532255;top:1303655;height:342900;width:1143000;" fillcolor="#FFFFFF [3201]" filled="t" stroked="t" coordsize="21600,21600" o:gfxdata="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Xz&#10;j73SAAAABQEAAA8AAAAAAAAAAQAgAAAAIgAAAGRycy9kb3ducmV2LnhtbFBLAQIUABQAAAAIAIdO&#10;4kBBU9JqYgIAAMQEAAAOAAAAAAAAAAEAIAAAACEBAABkcnMvZTJvRG9jLnhtbFBLBQYAAAAABgAG&#10;AFkBAAD1BQAAAAA=&#10;">
                        <v:fill on="t" focussize="0,0"/>
                        <v:stroke weight="0.5pt" color="#000000 [3204]" joinstyle="round"/>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eastAsia="zh-CN"/>
                                </w:rPr>
                                <w:t>车辆冲洗水</w:t>
                              </w:r>
                            </w:p>
                          </w:txbxContent>
                        </v:textbox>
                      </v:shape>
                      <v:shape id="文本框 9" o:spid="_x0000_s1026" o:spt="202" type="#_x0000_t202" style="position:absolute;left:1513205;top:3018155;height:342900;width:1143000;" fillcolor="#FFFFFF [3201]" filled="t" stroked="t" coordsize="21600,21600" o:gfxdata="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1&#10;84+90gAAAAUBAAAPAAAAAAAAAAEAIAAAACIAAABkcnMvZG93bnJldi54bWxQSwECFAAUAAAACACH&#10;TuJABIhsamMCAADEBAAADgAAAAAAAAABACAAAAAhAQAAZHJzL2Uyb0RvYy54bWxQSwUGAAAAAAYA&#10;BgBZAQAA9gUAAAAA&#10;">
                        <v:fill on="t" focussize="0,0"/>
                        <v:stroke weight="0.5pt" color="#000000 [3204]" joinstyle="round"/>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eastAsia="zh-CN"/>
                                </w:rPr>
                                <w:t>抑尘用水</w:t>
                              </w:r>
                            </w:p>
                          </w:txbxContent>
                        </v:textbox>
                      </v:shape>
                      <v:shape id="文本框 10" o:spid="_x0000_s1026" o:spt="202" type="#_x0000_t202" style="position:absolute;left:1577975;top:3691890;height:342900;width:1143000;" fillcolor="#FFFFFF [3201]" filled="t" stroked="t" coordsize="21600,21600" o:gfxdata="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Xz&#10;j73SAAAABQEAAA8AAAAAAAAAAQAgAAAAIgAAAGRycy9kb3ducmV2LnhtbFBLAQIUABQAAAAIAIdO&#10;4kDvpR12YgIAAMUEAAAOAAAAAAAAAAEAIAAAACEBAABkcnMvZTJvRG9jLnhtbFBLBQYAAAAABgAG&#10;AFkBAAD1BQAAAAA=&#10;">
                        <v:fill on="t" focussize="0,0"/>
                        <v:stroke weight="0.5pt" color="#000000 [3204]" joinstyle="round"/>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eastAsia="zh-CN"/>
                                </w:rPr>
                                <w:t>实验室用水</w:t>
                              </w:r>
                            </w:p>
                          </w:txbxContent>
                        </v:textbox>
                      </v:shape>
                      <v:line id="直接连接符 22" o:spid="_x0000_s1026" o:spt="20" style="position:absolute;left:770890;top:789305;height:4421505;width:0;" filled="f" stroked="t" coordsize="21600,21600" o:gfxdata="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xm&#10;cYjTAAAABQEAAA8AAAAAAAAAAQAgAAAAIgAAAGRycy9kb3ducmV2LnhtbFBLAQIUABQAAAAIAIdO&#10;4kAH/47K7wEAAL0DAAAOAAAAAAAAAAEAIAAAACIBAABkcnMvZTJvRG9jLnhtbFBLBQYAAAAABgAG&#10;AFkBAACDBQAAAAA=&#10;">
                        <v:fill on="f" focussize="0,0"/>
                        <v:stroke weight="0.5pt" color="#000000 [3200]" miterlimit="8" joinstyle="miter"/>
                        <v:imagedata o:title=""/>
                        <o:lock v:ext="edit" aspectratio="f"/>
                      </v:line>
                      <v:shape id="直接箭头连接符 24" o:spid="_x0000_s1026" o:spt="32" type="#_x0000_t32" style="position:absolute;left:791845;top:786130;height:5080;width:683895;" filled="f" stroked="t" coordsize="21600,21600" o:gfxdata="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eXLUdUAAAAFAQAA&#10;DwAAAAAAAAABACAAAAAiAAAAZHJzL2Rvd25yZXYueG1sUEsBAhQAFAAAAAgAh07iQLoqeIscAgAA&#10;/gMAAA4AAAAAAAAAAQAgAAAAJAEAAGRycy9lMm9Eb2MueG1sUEsFBgAAAAAGAAYAWQEAALIFAAAA&#10;AA==&#10;">
                        <v:fill on="f" focussize="0,0"/>
                        <v:stroke weight="0.5pt" color="#000000 [3200]" miterlimit="8" joinstyle="miter" endarrow="open"/>
                        <v:imagedata o:title=""/>
                        <o:lock v:ext="edit" aspectratio="f"/>
                      </v:shape>
                      <v:shape id="直接箭头连接符 27" o:spid="_x0000_s1026" o:spt="32" type="#_x0000_t32" style="position:absolute;left:770255;top:1486535;flip:y;height:2540;width:743585;" filled="f" stroked="t" coordsize="21600,21600" o:gfxdata="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p7pe2&#10;1AAAAAUBAAAPAAAAAAAAAAEAIAAAACIAAABkcnMvZG93bnJldi54bWxQSwECFAAUAAAACACHTuJA&#10;lerWASUCAAAJBAAADgAAAAAAAAABACAAAAAjAQAAZHJzL2Uyb0RvYy54bWxQSwUGAAAAAAYABgBZ&#10;AQAAugUAAAAA&#10;">
                        <v:fill on="f" focussize="0,0"/>
                        <v:stroke weight="0.5pt" color="#000000 [3200]" miterlimit="8" joinstyle="miter" endarrow="open"/>
                        <v:imagedata o:title=""/>
                        <o:lock v:ext="edit" aspectratio="f"/>
                      </v:shape>
                      <v:shape id="直接箭头连接符 28" o:spid="_x0000_s1026" o:spt="32" type="#_x0000_t32" style="position:absolute;left:770890;top:3201035;flip:y;height:7620;width:723900;" filled="f" stroked="t" coordsize="21600,21600" o:gfxdata="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nul7bUAAAA&#10;BQEAAA8AAAAAAAAAAQAgAAAAIgAAAGRycy9kb3ducmV2LnhtbFBLAQIUABQAAAAIAIdO4kB5IFia&#10;IQIAAAkEAAAOAAAAAAAAAAEAIAAAACMBAABkcnMvZTJvRG9jLnhtbFBLBQYAAAAABgAGAFkBAAC2&#10;BQAAAAA=&#10;">
                        <v:fill on="f" focussize="0,0"/>
                        <v:stroke weight="0.5pt" color="#000000 [3200]" miterlimit="8" joinstyle="miter" endarrow="open"/>
                        <v:imagedata o:title=""/>
                        <o:lock v:ext="edit" aspectratio="f"/>
                      </v:shape>
                      <v:shape id="直接箭头连接符 29" o:spid="_x0000_s1026" o:spt="32" type="#_x0000_t32" style="position:absolute;left:797560;top:3849370;flip:y;height:2540;width:753110;" filled="f" stroked="t" coordsize="21600,21600" o:gfxdata="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nul7bU&#10;AAAABQEAAA8AAAAAAAAAAQAgAAAAIgAAAGRycy9kb3ducmV2LnhtbFBLAQIUABQAAAAIAIdO4kD3&#10;SSLuJAIAAAkEAAAOAAAAAAAAAAEAIAAAACMBAABkcnMvZTJvRG9jLnhtbFBLBQYAAAAABgAGAFkB&#10;AAC5BQAAAAA=&#10;">
                        <v:fill on="f" focussize="0,0"/>
                        <v:stroke weight="0.5pt" color="#000000 [3200]" miterlimit="8" joinstyle="miter" endarrow="open"/>
                        <v:imagedata o:title=""/>
                        <o:lock v:ext="edit" aspectratio="f"/>
                      </v:shape>
                      <v:shape id="文本框 30" o:spid="_x0000_s1026" o:spt="202" type="#_x0000_t202" style="position:absolute;left:875030;top:561975;height:238760;width:657860;" filled="f" stroked="f" coordsize="21600,21600" o:gfxdata="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blZqvWAAAABQEAAA8AAAAAAAAAAQAgAAAA&#10;IgAAAGRycy9kb3ducmV2LnhtbFBLAQIUABQAAAAIAIdO4kCDMnhARgIAAHEEAAAOAAAAAAAAAAEA&#10;IAAAACUBAABkcnMvZTJvRG9jLnhtbFBLBQYAAAAABgAGAFkBAADdBQ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109.09</w:t>
                              </w:r>
                            </w:p>
                          </w:txbxContent>
                        </v:textbox>
                      </v:shape>
                      <v:shape id="文本框 30" o:spid="_x0000_s1026" o:spt="202" type="#_x0000_t202" style="position:absolute;left:951865;top:1040130;height:295275;width:676910;" filled="f" stroked="f" coordsize="21600,21600" o:gfxdata="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m5War1gAAAAUBAAAPAAAAAAAAAAEAIAAA&#10;ACIAAABkcnMvZG93bnJldi54bWxQSwECFAAUAAAACACHTuJAcmW6wkcCAAByBAAADgAAAAAAAAAB&#10;ACAAAAAlAQAAZHJzL2Uyb0RvYy54bWxQSwUGAAAAAAYABgBZAQAA3gU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0.4</w:t>
                              </w:r>
                            </w:p>
                          </w:txbxContent>
                        </v:textbox>
                      </v:shape>
                      <v:shape id="文本框 30" o:spid="_x0000_s1026" o:spt="202" type="#_x0000_t202" style="position:absolute;left:950595;top:2975610;height:304165;width:467360;" filled="f" stroked="f" coordsize="21600,21600" o:gfxdata="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m5War1gAAAAUBAAAPAAAAAAAAAAEAIAAA&#10;ACIAAABkcnMvZG93bnJldi54bWxQSwECFAAUAAAACACHTuJATTN+skcCAAByBAAADgAAAAAAAAAB&#10;ACAAAAAlAQAAZHJzL2Uyb0RvYy54bWxQSwUGAAAAAAYABgBZAQAA3gU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2.1</w:t>
                              </w:r>
                            </w:p>
                          </w:txbxContent>
                        </v:textbox>
                      </v:shape>
                      <v:shape id="文本框 30" o:spid="_x0000_s1026" o:spt="202" type="#_x0000_t202" style="position:absolute;left:957580;top:3475355;height:288925;width:420370;" filled="f" stroked="f" coordsize="21600,21600" o:gfxdata="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blZqvWAAAABQEAAA8AAAAAAAAAAQAg&#10;AAAAIgAAAGRycy9kb3ducmV2LnhtbFBLAQIUABQAAAAIAIdO4kBoGLcZSQIAAHIEAAAOAAAAAAAA&#10;AAEAIAAAACUBAABkcnMvZTJvRG9jLnhtbFBLBQYAAAAABgAGAFkBAADgBQ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eastAsia="宋体"/>
                                  <w:sz w:val="21"/>
                                  <w:szCs w:val="21"/>
                                  <w:lang w:val="en-US" w:eastAsia="zh-CN"/>
                                </w:rPr>
                                <w:t>0.5</w:t>
                              </w:r>
                            </w:p>
                          </w:txbxContent>
                        </v:textbox>
                      </v:shape>
                      <v:shape id="文本框 30" o:spid="_x0000_s1026" o:spt="202" type="#_x0000_t202" style="position:absolute;left:104775;top:1979930;height:295275;width:676910;" filled="f" stroked="f" coordsize="21600,21600" o:gfxdata="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puVmq9YAAAAFAQAADwAAAAAAAAABACAAAAAi&#10;AAAAZHJzL2Rvd25yZXYueG1sUEsBAhQAFAAAAAgAh07iQCt+vTRFAgAAcgQAAA4AAAAAAAAAAQAg&#10;AAAAJQEAAGRycy9lMm9Eb2MueG1sUEsFBgAAAAAGAAYAWQEAANwFA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142.68</w:t>
                              </w:r>
                            </w:p>
                          </w:txbxContent>
                        </v:textbox>
                      </v:shape>
                      <v:shape id="曲线连接符 52" o:spid="_x0000_s1026" o:spt="37" type="#_x0000_t37" style="position:absolute;left:2155190;top:469900;height:228600;width:149225;rotation:-5898240f;" filled="f" stroked="t" coordsize="21600,21600" o:gfxdata="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2oXZg9UAAAAFAQAADwAA&#10;AAAAAAABACAAAAAiAAAAZHJzL2Rvd25yZXYueG1sUEsBAhQAFAAAAAgAh07iQHfmYaoZAgAA9gMA&#10;AA4AAAAAAAAAAQAgAAAAJAEAAGRycy9lMm9Eb2MueG1sUEsFBgAAAAAGAAYAWQEAAK8FAAAAAA==&#10;">
                        <v:fill on="f" focussize="0,0"/>
                        <v:stroke weight="0.5pt" color="#000000 [3213]" miterlimit="8" joinstyle="miter" endarrow="open"/>
                        <v:imagedata o:title=""/>
                        <o:lock v:ext="edit" aspectratio="f"/>
                      </v:shape>
                      <v:shape id="曲线连接符 54" o:spid="_x0000_s1026" o:spt="37" type="#_x0000_t37" style="position:absolute;left:1798955;top:1122680;height:228600;width:149225;rotation:-5898240f;" filled="f" stroked="t" coordsize="21600,21600" o:gfxdata="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2oXZg9UAAAAFAQAADwAA&#10;AAAAAAABACAAAAAiAAAAZHJzL2Rvd25yZXYueG1sUEsBAhQAFAAAAAgAh07iQDqpCmIZAgAA+AMA&#10;AA4AAAAAAAAAAQAgAAAAJAEAAGRycy9lMm9Eb2MueG1sUEsFBgAAAAAGAAYAWQEAAK8FAAAAAA==&#10;">
                        <v:fill on="f" focussize="0,0"/>
                        <v:stroke weight="0.5pt" color="#000000 [3213]" miterlimit="8" joinstyle="miter" endarrow="open"/>
                        <v:imagedata o:title=""/>
                        <o:lock v:ext="edit" aspectratio="f"/>
                      </v:shape>
                      <v:shape id="曲线连接符 55" o:spid="_x0000_s1026" o:spt="37" type="#_x0000_t37" style="position:absolute;left:1998980;top:2846705;height:228600;width:149225;rotation:-5898240f;" filled="f" stroked="t" coordsize="21600,21600" o:gfxdata="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ahdmD1QAAAAUBAAAP&#10;AAAAAAAAAAEAIAAAACIAAABkcnMvZG93bnJldi54bWxQSwECFAAUAAAACACHTuJAvtGAWhsCAAD4&#10;AwAADgAAAAAAAAABACAAAAAkAQAAZHJzL2Uyb0RvYy54bWxQSwUGAAAAAAYABgBZAQAAsQUAAAAA&#10;">
                        <v:fill on="f" focussize="0,0"/>
                        <v:stroke weight="0.5pt" color="#000000 [3213]" miterlimit="8" joinstyle="miter" endarrow="open"/>
                        <v:imagedata o:title=""/>
                        <o:lock v:ext="edit" aspectratio="f"/>
                      </v:shape>
                      <v:shape id="曲线连接符 56" o:spid="_x0000_s1026" o:spt="37" type="#_x0000_t37" style="position:absolute;left:2083435;top:3431540;height:228600;width:149225;rotation:-5898240f;" filled="f" stroked="t" coordsize="21600,21600" o:gfxdata="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qF2YPVAAAABQEAAA8A&#10;AAAAAAAAAQAgAAAAIgAAAGRycy9kb3ducmV2LnhtbFBLAQIUABQAAAAIAIdO4kBH6scHGgIAAPgD&#10;AAAOAAAAAAAAAAEAIAAAACQBAABkcnMvZTJvRG9jLnhtbFBLBQYAAAAABgAGAFkBAACwBQAAAAA=&#10;">
                        <v:fill on="f" focussize="0,0"/>
                        <v:stroke weight="0.5pt" color="#000000 [3213]" miterlimit="8" joinstyle="miter" endarrow="open"/>
                        <v:imagedata o:title=""/>
                        <o:lock v:ext="edit" aspectratio="f"/>
                      </v:shape>
                      <v:shape id="文本框 7" o:spid="_x0000_s1026" o:spt="202" type="#_x0000_t202" style="position:absolute;left:3480435;top:1274445;height:342900;width:647700;" fillcolor="#FFFFFF [3201]" filled="t" stroked="t" coordsize="21600,21600" o:gfxdata="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1&#10;84+90gAAAAUBAAAPAAAAAAAAAAEAIAAAACIAAABkcnMvZG93bnJldi54bWxQSwECFAAUAAAACACH&#10;TuJAvtvKZWMCAADEBAAADgAAAAAAAAABACAAAAAhAQAAZHJzL2Uyb0RvYy54bWxQSwUGAAAAAAYA&#10;BgBZAQAA9gUAAAAA&#10;">
                        <v:fill on="t" focussize="0,0"/>
                        <v:stroke weight="0.5pt" color="#000000 [3204]" joinstyle="round"/>
                        <v:imagedata o:title=""/>
                        <o:lock v:ext="edit" aspectratio="f"/>
                        <v:textbox>
                          <w:txbxContent>
                            <w:p>
                              <w:pPr>
                                <w:ind w:left="0" w:leftChars="0" w:firstLine="0" w:firstLineChars="0"/>
                                <w:rPr>
                                  <w:rFonts w:hint="eastAsia" w:eastAsia="宋体"/>
                                  <w:sz w:val="21"/>
                                  <w:szCs w:val="21"/>
                                  <w:lang w:eastAsia="zh-CN"/>
                                </w:rPr>
                              </w:pPr>
                              <w:r>
                                <w:rPr>
                                  <w:rFonts w:hint="eastAsia"/>
                                  <w:sz w:val="21"/>
                                  <w:szCs w:val="21"/>
                                  <w:lang w:eastAsia="zh-CN"/>
                                </w:rPr>
                                <w:t>沉淀池</w:t>
                              </w:r>
                            </w:p>
                          </w:txbxContent>
                        </v:textbox>
                      </v:shape>
                      <v:shape id="直接箭头连接符 26" o:spid="_x0000_s1026" o:spt="32" type="#_x0000_t32" style="position:absolute;left:2562225;top:5239385;flip:y;height:1270;width:495935;" filled="f" stroked="t" coordsize="21600,21600" o:gfxdata="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nu&#10;l7bUAAAABQEAAA8AAAAAAAAAAQAgAAAAIgAAAGRycy9kb3ducmV2LnhtbFBLAQIUABQAAAAIAIdO&#10;4kDHS62bJwIAAAsEAAAOAAAAAAAAAAEAIAAAACMBAABkcnMvZTJvRG9jLnhtbFBLBQYAAAAABgAG&#10;AFkBAAC8BQAAAAA=&#10;">
                        <v:fill on="f" focussize="0,0"/>
                        <v:stroke weight="0.5pt" color="#000000 [3200]" miterlimit="8" joinstyle="miter" endarrow="open"/>
                        <v:imagedata o:title=""/>
                        <o:lock v:ext="edit" aspectratio="f"/>
                      </v:shape>
                      <v:shape id="文本框 7" o:spid="_x0000_s1026" o:spt="202" type="#_x0000_t202" style="position:absolute;left:3077210;top:5017770;height:342900;width:647700;" fillcolor="#FFFFFF [3201]" filled="t" stroked="t" coordsize="21600,21600" o:gfxdata="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tfOP&#10;vdIAAAAFAQAADwAAAAAAAAABACAAAAAiAAAAZHJzL2Rvd25yZXYueG1sUEsBAhQAFAAAAAgAh07i&#10;QPZ3xDFhAgAAxAQAAA4AAAAAAAAAAQAgAAAAIQEAAGRycy9lMm9Eb2MueG1sUEsFBgAAAAAGAAYA&#10;WQEAAPQFAAAAAA==&#10;">
                        <v:fill on="t" focussize="0,0"/>
                        <v:stroke weight="0.5pt" color="#000000 [3204]" joinstyle="round"/>
                        <v:imagedata o:title=""/>
                        <o:lock v:ext="edit" aspectratio="f"/>
                        <v:textbox>
                          <w:txbxContent>
                            <w:p>
                              <w:pPr>
                                <w:ind w:left="0" w:leftChars="0" w:firstLine="0" w:firstLineChars="0"/>
                                <w:rPr>
                                  <w:rFonts w:hint="eastAsia" w:eastAsia="宋体"/>
                                  <w:sz w:val="21"/>
                                  <w:szCs w:val="21"/>
                                  <w:lang w:eastAsia="zh-CN"/>
                                </w:rPr>
                              </w:pPr>
                              <w:r>
                                <w:rPr>
                                  <w:rFonts w:hint="eastAsia"/>
                                  <w:sz w:val="21"/>
                                  <w:szCs w:val="21"/>
                                  <w:lang w:eastAsia="zh-CN"/>
                                </w:rPr>
                                <w:t>化粪池</w:t>
                              </w:r>
                            </w:p>
                          </w:txbxContent>
                        </v:textbox>
                      </v:shape>
                      <v:shape id="文本框 30" o:spid="_x0000_s1026" o:spt="202" type="#_x0000_t202" style="position:absolute;left:2294255;top:342900;height:248285;width:673735;" filled="f" stroked="f" coordsize="21600,21600" o:gfxdata="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m5War1gAAAAUBAAAPAAAAAAAAAAEAIAAA&#10;ACIAAABkcnMvZG93bnJldi54bWxQSwECFAAUAAAACACHTuJAzUhTmkcCAABzBAAADgAAAAAAAAAB&#10;ACAAAAAlAQAAZHJzL2Uyb0RvYy54bWxQSwUGAAAAAAYABgBZAQAA3gU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109.09</w:t>
                              </w:r>
                            </w:p>
                          </w:txbxContent>
                        </v:textbox>
                      </v:shape>
                      <v:shape id="文本框 30" o:spid="_x0000_s1026" o:spt="202" type="#_x0000_t202" style="position:absolute;left:2913380;top:713105;height:295275;width:676910;" filled="f" stroked="f" coordsize="21600,21600" o:gfxdata="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m5War1gAAAAUBAAAPAAAAAAAAAAEAIAAA&#10;ACIAAABkcnMvZG93bnJldi54bWxQSwECFAAUAAAACACHTuJAYuKn7UcCAABzBAAADgAAAAAAAAAB&#10;ACAAAAAlAQAAZHJzL2Uyb0RvYy54bWxQSwUGAAAAAAYABgBZAQAA3gUAAAAA&#10;">
                        <v:fill on="f" focussize="0,0"/>
                        <v:stroke on="f" weight="0.5pt"/>
                        <v:imagedata o:title=""/>
                        <o:lock v:ext="edit" aspectratio="f"/>
                        <v:textbox>
                          <w:txbxContent>
                            <w:p>
                              <w:pPr>
                                <w:rPr>
                                  <w:rFonts w:hint="default"/>
                                  <w:lang w:val="en-US" w:eastAsia="zh-CN"/>
                                </w:rPr>
                              </w:pPr>
                            </w:p>
                          </w:txbxContent>
                        </v:textbox>
                      </v:shape>
                      <v:shape id="文本框 30" o:spid="_x0000_s1026" o:spt="202" type="#_x0000_t202" style="position:absolute;left:1494155;top:1056005;height:295275;width:676910;" filled="f" stroked="f" coordsize="21600,21600" o:gfxdata="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uVmq9YAAAAFAQAADwAAAAAAAAABACAA&#10;AAAiAAAAZHJzL2Rvd25yZXYueG1sUEsBAhQAFAAAAAgAh07iQPP0A9dIAgAAdAQAAA4AAAAAAAAA&#10;AQAgAAAAJQEAAGRycy9lMm9Eb2MueG1sUEsFBgAAAAAGAAYAWQEAAN8FA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eastAsia="宋体"/>
                                  <w:sz w:val="21"/>
                                  <w:szCs w:val="21"/>
                                  <w:lang w:val="en-US" w:eastAsia="zh-CN"/>
                                </w:rPr>
                                <w:t>0.</w:t>
                              </w:r>
                              <w:r>
                                <w:rPr>
                                  <w:rFonts w:hint="eastAsia"/>
                                  <w:sz w:val="21"/>
                                  <w:szCs w:val="21"/>
                                  <w:lang w:val="en-US" w:eastAsia="zh-CN"/>
                                </w:rPr>
                                <w:t>4</w:t>
                              </w:r>
                            </w:p>
                          </w:txbxContent>
                        </v:textbox>
                      </v:shape>
                      <v:shape id="文本框 30" o:spid="_x0000_s1026" o:spt="202" type="#_x0000_t202" style="position:absolute;left:3256280;top:779780;height:276860;width:429260;" filled="f" stroked="f" coordsize="21600,21600" o:gfxdata="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m5War1gAAAAUBAAAPAAAAAAAAAAEAIAAAACIA&#10;AABkcnMvZG93bnJldi54bWxQSwECFAAUAAAACACHTuJASSWGk0QCAABzBAAADgAAAAAAAAABACAA&#10;AAAlAQAAZHJzL2Uyb0RvYy54bWxQSwUGAAAAAAYABgBZAQAA2wU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1.8</w:t>
                              </w:r>
                            </w:p>
                          </w:txbxContent>
                        </v:textbox>
                      </v:shape>
                      <v:shape id="文本框 30" o:spid="_x0000_s1026" o:spt="202" type="#_x0000_t202" style="position:absolute;left:2606040;top:4927600;height:429260;width:543560;" filled="f" stroked="f" coordsize="21600,21600" o:gfxdata="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puVmq9YAAAAFAQAADwAAAAAAAAABACAAAAAi&#10;AAAAZHJzL2Rvd25yZXYueG1sUEsBAhQAFAAAAAgAh07iQLQPlqdFAgAAdAQAAA4AAAAAAAAAAQAg&#10;AAAAJQEAAGRycy9lMm9Eb2MueG1sUEsFBgAAAAAGAAYAWQEAANwFA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1.92</w:t>
                              </w:r>
                            </w:p>
                          </w:txbxContent>
                        </v:textbox>
                      </v:shape>
                      <v:shape id="文本框 30" o:spid="_x0000_s1026" o:spt="202" type="#_x0000_t202" style="position:absolute;left:2103755;top:2741930;height:238760;width:486410;" filled="f" stroked="f" coordsize="21600,21600" o:gfxdata="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uVmq9YAAAAFAQAADwAAAAAAAAABACAA&#10;AAAiAAAAZHJzL2Rvd25yZXYueG1sUEsBAhQAFAAAAAgAh07iQPOOKoxIAgAAdAQAAA4AAAAAAAAA&#10;AQAgAAAAJQEAAGRycy9lMm9Eb2MueG1sUEsFBgAAAAAGAAYAWQEAAN8FA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2.1</w:t>
                              </w:r>
                            </w:p>
                          </w:txbxContent>
                        </v:textbox>
                      </v:shape>
                      <v:shape id="文本框 30" o:spid="_x0000_s1026" o:spt="202" type="#_x0000_t202" style="position:absolute;left:2412365;top:3356610;height:295275;width:676910;" filled="f" stroked="f" coordsize="21600,21600" o:gfxdata="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m5War1gAAAAUBAAAPAAAAAAAAAAEAIAAA&#10;ACIAAABkcnMvZG93bnJldi54bWxQSwECFAAUAAAACACHTuJAQ5C0j0cCAAB0BAAADgAAAAAAAAAB&#10;ACAAAAAlAQAAZHJzL2Uyb0RvYy54bWxQSwUGAAAAAAYABgBZAQAA3gU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eastAsia="宋体"/>
                                  <w:sz w:val="21"/>
                                  <w:szCs w:val="21"/>
                                  <w:lang w:val="en-US" w:eastAsia="zh-CN"/>
                                </w:rPr>
                                <w:t>0.5</w:t>
                              </w:r>
                            </w:p>
                          </w:txbxContent>
                        </v:textbox>
                      </v:shape>
                      <v:shape id="直接箭头连接符 27" o:spid="_x0000_s1026" o:spt="32" type="#_x0000_t32" style="position:absolute;left:779780;top:2136775;height:6985;width:743585;" filled="f" stroked="t" coordsize="21600,21600" o:gfxdata="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d5ctR1QAAAAUBAAAP&#10;AAAAAAAAAAEAIAAAACIAAABkcnMvZG93bnJldi54bWxQSwECFAAUAAAACACHTuJAxkuilBsCAAD+&#10;AwAADgAAAAAAAAABACAAAAAkAQAAZHJzL2Uyb0RvYy54bWxQSwUGAAAAAAYABgBZAQAAsQUAAAAA&#10;">
                        <v:fill on="f" focussize="0,0"/>
                        <v:stroke weight="0.5pt" color="#000000 [3200]" miterlimit="8" joinstyle="miter" endarrow="open"/>
                        <v:imagedata o:title=""/>
                        <o:lock v:ext="edit" aspectratio="f"/>
                      </v:shape>
                      <v:shape id="_x0000_s1026" o:spid="_x0000_s1026" o:spt="34" type="#_x0000_t34" style="position:absolute;left:2939415;top:438785;flip:x y;height:1700530;width:29210;rotation:-5898240f;" filled="f" stroked="t" coordsize="21600,21600" o:gfxdata="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VVRyL9QAAAAFAQAA&#10;DwAAAAAAAAABACAAAAAiAAAAZHJzL2Rvd25yZXYueG1sUEsBAhQAFAAAAAgAh07iQN9IwURWAgAA&#10;eAQAAA4AAAAAAAAAAQAgAAAAIwEAAGRycy9lMm9Eb2MueG1sUEsFBgAAAAAGAAYAWQEAAOsFAAAA&#10;AA==&#10;" adj="-176087">
                        <v:fill on="f" focussize="0,0"/>
                        <v:stroke weight="0.5pt" color="#000000 [3213]" miterlimit="8" joinstyle="miter" endarrow="open"/>
                        <v:imagedata o:title=""/>
                        <o:lock v:ext="edit" aspectratio="f"/>
                      </v:shape>
                      <v:shape id="文本框 8" o:spid="_x0000_s1026" o:spt="202" type="#_x0000_t202" style="position:absolute;left:1513205;top:1951355;height:342900;width:1143000;" fillcolor="#FFFFFF [3201]" filled="t" stroked="t" coordsize="21600,21600" o:gfxdata="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tfOP&#10;vdIAAAAFAQAADwAAAAAAAAABACAAAAAiAAAAZHJzL2Rvd25yZXYueG1sUEsBAhQAFAAAAAgAh07i&#10;QGtD9GZhAgAAxAQAAA4AAAAAAAAAAQAgAAAAIQEAAGRycy9lMm9Eb2MueG1sUEsFBgAAAAAGAAYA&#10;WQEAAPQFAAAAAA==&#10;">
                        <v:fill on="t" focussize="0,0"/>
                        <v:stroke weight="0.5pt" color="#000000 [3204]" joinstyle="round"/>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eastAsia="zh-CN"/>
                                </w:rPr>
                                <w:t>搅拌机组冲洗水</w:t>
                              </w:r>
                            </w:p>
                          </w:txbxContent>
                        </v:textbox>
                      </v:shape>
                      <v:shape id="曲线连接符 55" o:spid="_x0000_s1026" o:spt="37" type="#_x0000_t37" style="position:absolute;left:2075180;top:1760855;height:228600;width:149225;rotation:-5898240f;" filled="f" stroked="t" coordsize="21600,21600" o:gfxdata="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ahdmD1QAAAAUBAAAP&#10;AAAAAAAAAAEAIAAAACIAAABkcnMvZG93bnJldi54bWxQSwECFAAUAAAACACHTuJAc8DphhsCAAD3&#10;AwAADgAAAAAAAAABACAAAAAkAQAAZHJzL2Uyb0RvYy54bWxQSwUGAAAAAAYABgBZAQAAsQUAAAAA&#10;">
                        <v:fill on="f" focussize="0,0"/>
                        <v:stroke weight="0.5pt" color="#000000 [3213]" miterlimit="8" joinstyle="miter" endarrow="open"/>
                        <v:imagedata o:title=""/>
                        <o:lock v:ext="edit" aspectratio="f"/>
                      </v:shape>
                      <v:shape id="文本框 30" o:spid="_x0000_s1026" o:spt="202" type="#_x0000_t202" style="position:absolute;left:989330;top:1884680;height:257810;width:439420;" filled="f" stroked="f" coordsize="21600,21600" o:gfxdata="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m5War1gAAAAUBAAAPAAAAAAAAAAEAIAAAACIA&#10;AABkcnMvZG93bnJldi54bWxQSwECFAAUAAAACACHTuJAUvgxIUQCAAByBAAADgAAAAAAAAABACAA&#10;AAAlAQAAZHJzL2Uyb0RvYy54bWxQSwUGAAAAAAYABgBZAQAA2wU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0.8</w:t>
                              </w:r>
                            </w:p>
                          </w:txbxContent>
                        </v:textbox>
                      </v:shape>
                      <v:shape id="文本框 30" o:spid="_x0000_s1026" o:spt="202" type="#_x0000_t202" style="position:absolute;left:1637030;top:1722755;height:267335;width:372745;" filled="f" stroked="f" coordsize="21600,21600" o:gfxdata="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m5War1gAAAAUBAAAPAAAAAAAAAAEAIAAA&#10;ACIAAABkcnMvZG93bnJldi54bWxQSwECFAAUAAAACACHTuJACbxaRUcCAABzBAAADgAAAAAAAAAB&#10;ACAAAAAlAQAAZHJzL2Uyb0RvYy54bWxQSwUGAAAAAAYABgBZAQAA3gU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0.8</w:t>
                              </w:r>
                            </w:p>
                          </w:txbxContent>
                        </v:textbox>
                      </v:shape>
                      <v:shape id="_x0000_s1026" o:spid="_x0000_s1026" o:spt="32" type="#_x0000_t32" style="position:absolute;left:2075815;top:2294255;flip:y;height:320040;width:8890;" filled="f" stroked="t" coordsize="21600,21600" o:gfxdata="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nul7bUAAAABQEAAA8AAAAAAAAAAQAgAAAAIgAAAGRycy9kb3ducmV2LnhtbFBLAQIUABQAAAAI&#10;AIdO4kAv+aSdKgIAACAEAAAOAAAAAAAAAAEAIAAAACMBAABkcnMvZTJvRG9jLnhtbFBLBQYAAAAA&#10;BgAGAFkBAAC/BQAAAAA=&#10;">
                        <v:fill on="f" focussize="0,0"/>
                        <v:stroke weight="0.5pt" color="#000000 [3213]" miterlimit="8" joinstyle="miter" endarrow="open"/>
                        <v:imagedata o:title=""/>
                        <o:lock v:ext="edit" aspectratio="f"/>
                      </v:shape>
                      <v:shape id="文本框 30" o:spid="_x0000_s1026" o:spt="202" type="#_x0000_t202" style="position:absolute;left:2846070;top:1192530;height:276860;width:429260;" filled="f" stroked="f" coordsize="21600,21600" o:gfxdata="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m5War1gAAAAUBAAAPAAAAAAAAAAEAIAAA&#10;ACIAAABkcnMvZG93bnJldi54bWxQSwECFAAUAAAACACHTuJAo0eX5kcCAABzBAAADgAAAAAAAAAB&#10;ACAAAAAlAQAAZHJzL2Uyb0RvYy54bWxQSwUGAAAAAAYABgBZAQAA3gU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1.8</w:t>
                              </w:r>
                            </w:p>
                          </w:txbxContent>
                        </v:textbox>
                      </v:shape>
                      <v:shape id="文本框 30" o:spid="_x0000_s1026" o:spt="202" type="#_x0000_t202" style="position:absolute;left:2913380;top:1915160;height:276860;width:429260;" filled="f" stroked="f" coordsize="21600,21600" o:gfxdata="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m5War1gAAAAUBAAAPAAAAAAAAAAEAIAAA&#10;ACIAAABkcnMvZG93bnJldi54bWxQSwECFAAUAAAACACHTuJA0e1r1kcCAABzBAAADgAAAAAAAAAB&#10;ACAAAAAlAQAAZHJzL2Uyb0RvYy54bWxQSwUGAAAAAAYABgBZAQAA3gU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3.2</w:t>
                              </w:r>
                            </w:p>
                          </w:txbxContent>
                        </v:textbox>
                      </v:shape>
                      <v:shape id="文本框 30" o:spid="_x0000_s1026" o:spt="202" type="#_x0000_t202" style="position:absolute;left:2946400;top:2361565;height:276860;width:429260;" filled="f" stroked="f" coordsize="21600,21600" o:gfxdata="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puVmq9YAAAAFAQAADwAAAAAAAAABACAAAAAi&#10;AAAAZHJzL2Rvd25yZXYueG1sUEsBAhQAFAAAAAgAh07iQI1TCihFAgAAcwQAAA4AAAAAAAAAAQAg&#10;AAAAJQEAAGRycy9lMm9Eb2MueG1sUEsFBgAAAAAGAAYAWQEAANwFA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3.2</w:t>
                              </w:r>
                            </w:p>
                          </w:txbxContent>
                        </v:textbox>
                      </v:shape>
                      <v:shape id="文本框 21" o:spid="_x0000_s1026" o:spt="202" type="#_x0000_t202" style="position:absolute;left:1598930;top:5037455;height:342900;width:927100;" fillcolor="#FFFFFF [3201]" filled="t" stroked="t" coordsize="21600,21600" o:gfxdata="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1&#10;84+90gAAAAUBAAAPAAAAAAAAAAEAIAAAACIAAABkcnMvZG93bnJldi54bWxQSwECFAAUAAAACACH&#10;TuJAN0H7xGMCAADEBAAADgAAAAAAAAABACAAAAAhAQAAZHJzL2Uyb0RvYy54bWxQSwUGAAAAAAYA&#10;BgBZAQAA9gUAAAAA&#10;">
                        <v:fill on="t" focussize="0,0"/>
                        <v:stroke weight="0.5pt" color="#000000 [3204]" joinstyle="round"/>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eastAsia="zh-CN"/>
                                </w:rPr>
                                <w:t>生活用水</w:t>
                              </w:r>
                            </w:p>
                          </w:txbxContent>
                        </v:textbox>
                      </v:shape>
                      <v:shape id="文本框 30" o:spid="_x0000_s1026" o:spt="202" type="#_x0000_t202" style="position:absolute;left:1065530;top:4970780;height:295275;width:482600;" filled="f" stroked="f" coordsize="21600,21600" o:gfxdata="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blZqvWAAAABQEAAA8AAAAAAAAAAQAgAAAA&#10;IgAAAGRycy9kb3ducmV2LnhtbFBLAQIUABQAAAAIAIdO4kDZLqsMRgIAAHMEAAAOAAAAAAAAAAEA&#10;IAAAACUBAABkcnMvZTJvRG9jLnhtbFBLBQYAAAAABgAGAFkBAADdBQ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2.4</w:t>
                              </w:r>
                            </w:p>
                          </w:txbxContent>
                        </v:textbox>
                      </v:shape>
                      <v:shape id="直接箭头连接符 25" o:spid="_x0000_s1026" o:spt="32" type="#_x0000_t32" style="position:absolute;left:789940;top:5229860;height:7620;width:826135;" filled="f" stroked="t" coordsize="21600,21600" o:gfxdata="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eXLUdUAAAAF&#10;AQAADwAAAAAAAAABACAAAAAiAAAAZHJzL2Rvd25yZXYueG1sUEsBAhQAFAAAAAgAh07iQDnjYRsf&#10;AgAA/wMAAA4AAAAAAAAAAQAgAAAAJAEAAGRycy9lMm9Eb2MueG1sUEsFBgAAAAAGAAYAWQEAALUF&#10;AAAAAA==&#10;">
                        <v:fill on="f" focussize="0,0"/>
                        <v:stroke weight="0.5pt" color="#000000 [3200]" miterlimit="8" joinstyle="miter" endarrow="open"/>
                        <v:imagedata o:title=""/>
                        <o:lock v:ext="edit" aspectratio="f"/>
                      </v:shape>
                      <v:shape id="曲线连接符 57" o:spid="_x0000_s1026" o:spt="37" type="#_x0000_t37" style="position:absolute;left:2094230;top:4837430;height:228600;width:149225;rotation:-5898240f;" filled="f" stroked="t" coordsize="21600,21600" o:gfxdata="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qF2YPVAAAABQEAAA8A&#10;AAAAAAAAAQAgAAAAIgAAAGRycy9kb3ducmV2LnhtbFBLAQIUABQAAAAIAIdO4kCh2esDGgIAAPcD&#10;AAAOAAAAAAAAAAEAIAAAACQBAABkcnMvZTJvRG9jLnhtbFBLBQYAAAAABgAGAFkBAACwBQAAAAA=&#10;">
                        <v:fill on="f" focussize="0,0"/>
                        <v:stroke weight="0.5pt" color="#000000 [3213]" miterlimit="8" joinstyle="miter" endarrow="open"/>
                        <v:imagedata o:title=""/>
                        <o:lock v:ext="edit" aspectratio="f"/>
                      </v:shape>
                      <v:shape id="文本框 30" o:spid="_x0000_s1026" o:spt="202" type="#_x0000_t202" style="position:absolute;left:2284730;top:4742180;height:257810;width:467360;" filled="f" stroked="f" coordsize="21600,21600" o:gfxdata="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uVmq9YAAAAFAQAADwAAAAAAAAABACAA&#10;AAAiAAAAZHJzL2Rvd25yZXYueG1sUEsBAhQAFAAAAAgAh07iQMq5yFNIAgAAcwQAAA4AAAAAAAAA&#10;AQAgAAAAJQEAAGRycy9lMm9Eb2MueG1sUEsFBgAAAAAGAAYAWQEAAN8FA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eastAsia="宋体"/>
                                  <w:sz w:val="21"/>
                                  <w:szCs w:val="21"/>
                                  <w:lang w:val="en-US" w:eastAsia="zh-CN"/>
                                </w:rPr>
                                <w:t>0.</w:t>
                              </w:r>
                              <w:r>
                                <w:rPr>
                                  <w:rFonts w:hint="eastAsia"/>
                                  <w:sz w:val="21"/>
                                  <w:szCs w:val="21"/>
                                  <w:lang w:val="en-US" w:eastAsia="zh-CN"/>
                                </w:rPr>
                                <w:t>48</w:t>
                              </w:r>
                            </w:p>
                          </w:txbxContent>
                        </v:textbox>
                      </v:shape>
                      <v:shape id="文本框 7" o:spid="_x0000_s1026" o:spt="202" type="#_x0000_t202" style="position:absolute;left:3483610;top:1942465;height:342900;width:647700;" fillcolor="#FFFFFF [3201]" filled="t" stroked="t" coordsize="21600,21600" o:gfxdata="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Xz&#10;j73SAAAABQEAAA8AAAAAAAAAAQAgAAAAIgAAAGRycy9kb3ducmV2LnhtbFBLAQIUABQAAAAIAIdO&#10;4kBYKdJ1YgIAAMMEAAAOAAAAAAAAAAEAIAAAACEBAABkcnMvZTJvRG9jLnhtbFBLBQYAAAAABgAG&#10;AFkBAAD1BQAAAAA=&#10;">
                        <v:fill on="t" focussize="0,0"/>
                        <v:stroke weight="0.5pt" color="#000000 [3204]" joinstyle="round"/>
                        <v:imagedata o:title=""/>
                        <o:lock v:ext="edit" aspectratio="f"/>
                        <v:textbox>
                          <w:txbxContent>
                            <w:p>
                              <w:pPr>
                                <w:ind w:left="0" w:leftChars="0" w:firstLine="0" w:firstLineChars="0"/>
                                <w:rPr>
                                  <w:rFonts w:hint="eastAsia" w:eastAsia="宋体"/>
                                  <w:sz w:val="21"/>
                                  <w:szCs w:val="21"/>
                                  <w:lang w:eastAsia="zh-CN"/>
                                </w:rPr>
                              </w:pPr>
                              <w:r>
                                <w:rPr>
                                  <w:rFonts w:hint="eastAsia"/>
                                  <w:sz w:val="21"/>
                                  <w:szCs w:val="21"/>
                                  <w:lang w:eastAsia="zh-CN"/>
                                </w:rPr>
                                <w:t>沉淀池</w:t>
                              </w:r>
                            </w:p>
                          </w:txbxContent>
                        </v:textbox>
                      </v:shape>
                      <v:shape id="直接箭头连接符 27" o:spid="_x0000_s1026" o:spt="32" type="#_x0000_t32" style="position:absolute;left:2670175;top:1466215;flip:y;height:2540;width:743585;" filled="f" stroked="t" coordsize="21600,21600" o:gfxdata="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e6X&#10;ttQAAAAFAQAADwAAAAAAAAABACAAAAAiAAAAZHJzL2Rvd25yZXYueG1sUEsBAhQAFAAAAAgAh07i&#10;QD/EiJAmAgAACgQAAA4AAAAAAAAAAQAgAAAAIwEAAGRycy9lMm9Eb2MueG1sUEsFBgAAAAAGAAYA&#10;WQEAALsFAAAAAA==&#10;">
                        <v:fill on="f" focussize="0,0"/>
                        <v:stroke weight="0.5pt" color="#000000 [3200]" miterlimit="8" joinstyle="miter" endarrow="open"/>
                        <v:imagedata o:title=""/>
                        <o:lock v:ext="edit" aspectratio="f"/>
                      </v:shape>
                      <v:shape id="直接箭头连接符 27" o:spid="_x0000_s1026" o:spt="32" type="#_x0000_t32" style="position:absolute;left:2687320;top:2115820;flip:y;height:2540;width:743585;" filled="f" stroked="t" coordsize="21600,21600" o:gfxdata="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e6XttQA&#10;AAAFAQAADwAAAAAAAAABACAAAAAiAAAAZHJzL2Rvd25yZXYueG1sUEsBAhQAFAAAAAgAh07iQDkO&#10;wIQjAgAACgQAAA4AAAAAAAAAAQAgAAAAIwEAAGRycy9lMm9Eb2MueG1sUEsFBgAAAAAGAAYAWQEA&#10;ALgFAAAAAA==&#10;">
                        <v:fill on="f" focussize="0,0"/>
                        <v:stroke weight="0.5pt" color="#000000 [3200]" miterlimit="8" joinstyle="miter" endarrow="open"/>
                        <v:imagedata o:title=""/>
                        <o:lock v:ext="edit" aspectratio="f"/>
                      </v:shape>
                      <v:shape id="直接箭头连接符 26" o:spid="_x0000_s1026" o:spt="32" type="#_x0000_t32" style="position:absolute;left:3765550;top:5253355;flip:y;height:1270;width:495935;" filled="f" stroked="t" coordsize="21600,21600" o:gfxdata="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nu&#10;l7bUAAAABQEAAA8AAAAAAAAAAQAgAAAAIgAAAGRycy9kb3ducmV2LnhtbFBLAQIUABQAAAAIAIdO&#10;4kBU68scJwIAAAoEAAAOAAAAAAAAAAEAIAAAACMBAABkcnMvZTJvRG9jLnhtbFBLBQYAAAAABgAG&#10;AFkBAAC8BQAAAAA=&#10;">
                        <v:fill on="f" focussize="0,0"/>
                        <v:stroke weight="0.5pt" color="#000000 [3200]" miterlimit="8" joinstyle="miter" endarrow="open"/>
                        <v:imagedata o:title=""/>
                        <o:lock v:ext="edit" aspectratio="f"/>
                      </v:shape>
                      <v:shape id="文本框 7" o:spid="_x0000_s1026" o:spt="202" type="#_x0000_t202" style="position:absolute;left:4267200;top:5060315;height:352425;width:864235;" fillcolor="#FFFFFF [3201]" filled="t" stroked="t" coordsize="21600,21600" o:gfxdata="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tfOPvdIAAAAFAQAADwAAAAAAAAABACAAAAAiAAAAZHJzL2Rvd25yZXYueG1sUEsBAhQAFAAA&#10;AAgAh07iQIhnRhxnAgAAwwQAAA4AAAAAAAAAAQAgAAAAIQEAAGRycy9lMm9Eb2MueG1sUEsFBgAA&#10;AAAGAAYAWQEAAPoFAAAAAA==&#10;">
                        <v:fill on="t" focussize="0,0"/>
                        <v:stroke weight="0.5pt" color="#000000 [3204]" joinstyle="round"/>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污水处理厂</w:t>
                              </w:r>
                            </w:p>
                          </w:txbxContent>
                        </v:textbox>
                      </v:shape>
                      <v:shape id="文本框 30" o:spid="_x0000_s1026" o:spt="202" type="#_x0000_t202" style="position:absolute;left:3799205;top:4925060;height:429260;width:600710;" filled="f" stroked="f" coordsize="21600,21600" o:gfxdata="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uVmq9YAAAAFAQAADwAAAAAAAAABACAA&#10;AAAiAAAAZHJzL2Rvd25yZXYueG1sUEsBAhQAFAAAAAgAh07iQKTIoQZIAgAAcwQAAA4AAAAAAAAA&#10;AQAgAAAAJQEAAGRycy9lMm9Eb2MueG1sUEsFBgAAAAAGAAYAWQEAAN8FA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sz w:val="21"/>
                                  <w:szCs w:val="21"/>
                                  <w:lang w:val="en-US" w:eastAsia="zh-CN"/>
                                </w:rPr>
                                <w:t>1.92</w:t>
                              </w:r>
                            </w:p>
                          </w:txbxContent>
                        </v:textbox>
                      </v:shape>
                      <v:shape id="直接箭头连接符 29" o:spid="_x0000_s1026" o:spt="32" type="#_x0000_t32" style="position:absolute;left:795020;top:4509135;flip:y;height:2540;width:753110;" filled="f" stroked="t" coordsize="21600,21600" o:gfxdata="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e6X&#10;ttQAAAAFAQAADwAAAAAAAAABACAAAAAiAAAAZHJzL2Rvd25yZXYueG1sUEsBAhQAFAAAAAgAh07i&#10;QGWJp4gmAgAACQQAAA4AAAAAAAAAAQAgAAAAIwEAAGRycy9lMm9Eb2MueG1sUEsFBgAAAAAGAAYA&#10;WQEAALsFAAAAAA==&#10;">
                        <v:fill on="f" focussize="0,0"/>
                        <v:stroke weight="0.5pt" color="#000000 [3200]" miterlimit="8" joinstyle="miter" endarrow="open"/>
                        <v:imagedata o:title=""/>
                        <o:lock v:ext="edit" aspectratio="f"/>
                      </v:shape>
                      <v:shape id="文本框 10" o:spid="_x0000_s1026" o:spt="202" type="#_x0000_t202" style="position:absolute;left:1548130;top:4309745;height:342900;width:1143000;" fillcolor="#FFFFFF [3201]" filled="t" stroked="t" coordsize="21600,21600" o:gfxdata="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tfOP&#10;vdIAAAAFAQAADwAAAAAAAAABACAAAAAiAAAAZHJzL2Rvd25yZXYueG1sUEsBAhQAFAAAAAgAh07i&#10;QIOkROFhAgAAxQQAAA4AAAAAAAAAAQAgAAAAIQEAAGRycy9lMm9Eb2MueG1sUEsFBgAAAAAGAAYA&#10;WQEAAPQFAAAAAA==&#10;">
                        <v:fill on="t" focussize="0,0"/>
                        <v:stroke weight="0.5pt" color="#000000 [3204]" joinstyle="round"/>
                        <v:imagedata o:title=""/>
                        <o:lock v:ext="edit" aspectratio="f"/>
                        <v:textbox>
                          <w:txbxContent>
                            <w:p>
                              <w:pPr>
                                <w:ind w:left="0" w:leftChars="0" w:firstLine="0" w:firstLineChars="0"/>
                                <w:jc w:val="center"/>
                                <w:rPr>
                                  <w:rFonts w:hint="default" w:eastAsia="宋体"/>
                                  <w:sz w:val="21"/>
                                  <w:szCs w:val="21"/>
                                  <w:lang w:val="en-US" w:eastAsia="zh-CN"/>
                                </w:rPr>
                              </w:pPr>
                              <w:r>
                                <w:rPr>
                                  <w:rFonts w:hint="eastAsia" w:eastAsia="宋体"/>
                                  <w:sz w:val="21"/>
                                  <w:szCs w:val="21"/>
                                  <w:lang w:val="en-US" w:eastAsia="zh-CN"/>
                                </w:rPr>
                                <w:t>水稳站用水</w:t>
                              </w:r>
                            </w:p>
                          </w:txbxContent>
                        </v:textbox>
                      </v:shape>
                      <v:shape id="曲线连接符 56" o:spid="_x0000_s1026" o:spt="37" type="#_x0000_t37" style="position:absolute;left:2092960;top:4119880;height:228600;width:149225;rotation:-5898240f;" filled="f" stroked="t" coordsize="21600,21600" o:gfxdata="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qF2YPVAAAABQEAAA8A&#10;AAAAAAAAAQAgAAAAIgAAAGRycy9kb3ducmV2LnhtbFBLAQIUABQAAAAIAIdO4kBIzMG5GgIAAPcD&#10;AAAOAAAAAAAAAAEAIAAAACQBAABkcnMvZTJvRG9jLnhtbFBLBQYAAAAABgAGAFkBAACwBQAAAAA=&#10;">
                        <v:fill on="f" focussize="0,0"/>
                        <v:stroke weight="0.5pt" color="#000000 [3213]" miterlimit="8" joinstyle="miter" endarrow="open"/>
                        <v:imagedata o:title=""/>
                        <o:lock v:ext="edit" aspectratio="f"/>
                      </v:shape>
                      <v:shape id="文本框 30" o:spid="_x0000_s1026" o:spt="202" type="#_x0000_t202" style="position:absolute;left:975995;top:4189095;height:288925;width:619125;" filled="f" stroked="f" coordsize="21600,21600" o:gfxdata="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puVmq9YAAAAFAQAADwAAAAAAAAABACAAAAAi&#10;AAAAZHJzL2Rvd25yZXYueG1sUEsBAhQAFAAAAAgAh07iQPmMTDJFAgAAcgQAAA4AAAAAAAAAAQAg&#10;AAAAJQEAAGRycy9lMm9Eb2MueG1sUEsFBgAAAAAGAAYAWQEAANwFA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eastAsia="宋体"/>
                                  <w:sz w:val="21"/>
                                  <w:szCs w:val="21"/>
                                  <w:lang w:val="en-US" w:eastAsia="zh-CN"/>
                                </w:rPr>
                                <w:t>27.39</w:t>
                              </w:r>
                            </w:p>
                          </w:txbxContent>
                        </v:textbox>
                      </v:shape>
                      <v:shape id="文本框 30" o:spid="_x0000_s1026" o:spt="202" type="#_x0000_t202" style="position:absolute;left:2292350;top:4032885;height:288925;width:619125;" filled="f" stroked="f" coordsize="21600,21600" o:gfxdata="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m5War1gAAAAUBAAAPAAAAAAAAAAEAIAAAACIA&#10;AABkcnMvZG93bnJldi54bWxQSwECFAAUAAAACACHTuJAhYJEMEQCAABzBAAADgAAAAAAAAABACAA&#10;AAAlAQAAZHJzL2Uyb0RvYy54bWxQSwUGAAAAAAYABgBZAQAA2wUAAAAA&#10;">
                        <v:fill on="f" focussize="0,0"/>
                        <v:stroke on="f" weight="0.5pt"/>
                        <v:imagedata o:title=""/>
                        <o:lock v:ext="edit" aspectratio="f"/>
                        <v:textbox>
                          <w:txbxContent>
                            <w:p>
                              <w:pPr>
                                <w:ind w:left="0" w:leftChars="0" w:firstLine="0" w:firstLineChars="0"/>
                                <w:rPr>
                                  <w:rFonts w:hint="default" w:eastAsia="宋体"/>
                                  <w:sz w:val="21"/>
                                  <w:szCs w:val="21"/>
                                  <w:lang w:val="en-US" w:eastAsia="zh-CN"/>
                                </w:rPr>
                              </w:pPr>
                              <w:r>
                                <w:rPr>
                                  <w:rFonts w:hint="eastAsia" w:eastAsia="宋体"/>
                                  <w:sz w:val="21"/>
                                  <w:szCs w:val="21"/>
                                  <w:lang w:val="en-US" w:eastAsia="zh-CN"/>
                                </w:rPr>
                                <w:t>27.39</w:t>
                              </w:r>
                            </w:p>
                          </w:txbxContent>
                        </v:textbox>
                      </v:shape>
                      <w10:wrap type="none"/>
                      <w10:anchorlock/>
                    </v:group>
                  </w:pict>
                </mc:Fallback>
              </mc:AlternateContent>
            </w:r>
          </w:p>
          <w:p>
            <w:pPr>
              <w:widowControl w:val="0"/>
              <w:ind w:firstLine="2891" w:firstLineChars="1200"/>
              <w:jc w:val="both"/>
              <w:rPr>
                <w:rFonts w:hint="default"/>
                <w:b/>
                <w:color w:val="000000"/>
                <w:highlight w:val="none"/>
                <w:lang w:val="en-US" w:eastAsia="zh-CN"/>
              </w:rPr>
            </w:pPr>
            <w:r>
              <w:rPr>
                <w:b/>
                <w:color w:val="000000"/>
                <w:highlight w:val="none"/>
                <w:lang w:eastAsia="zh-CN"/>
              </w:rPr>
              <w:t>图</w:t>
            </w:r>
            <w:r>
              <w:rPr>
                <w:rFonts w:hint="eastAsia"/>
                <w:b/>
                <w:color w:val="000000"/>
                <w:highlight w:val="none"/>
                <w:lang w:eastAsia="zh-CN"/>
              </w:rPr>
              <w:t>2-</w:t>
            </w:r>
            <w:r>
              <w:rPr>
                <w:rFonts w:hint="eastAsia"/>
                <w:b/>
                <w:color w:val="000000"/>
                <w:highlight w:val="none"/>
                <w:lang w:val="en-US" w:eastAsia="zh-CN"/>
              </w:rPr>
              <w:t>1</w:t>
            </w:r>
            <w:r>
              <w:rPr>
                <w:rFonts w:hint="eastAsia"/>
                <w:b/>
                <w:color w:val="000000"/>
                <w:highlight w:val="none"/>
                <w:lang w:eastAsia="zh-CN"/>
              </w:rPr>
              <w:t xml:space="preserve">   项目水平衡</w:t>
            </w:r>
            <w:r>
              <w:rPr>
                <w:b/>
                <w:color w:val="000000"/>
                <w:highlight w:val="none"/>
                <w:lang w:eastAsia="zh-CN"/>
              </w:rPr>
              <w:t>图</w:t>
            </w:r>
            <w:r>
              <w:rPr>
                <w:rFonts w:hint="eastAsia"/>
                <w:b/>
                <w:color w:val="000000"/>
                <w:highlight w:val="none"/>
                <w:lang w:val="en-US" w:eastAsia="zh-CN"/>
              </w:rPr>
              <w:t xml:space="preserve"> m</w:t>
            </w:r>
            <w:r>
              <w:rPr>
                <w:rFonts w:hint="eastAsia"/>
                <w:b/>
                <w:color w:val="000000"/>
                <w:highlight w:val="none"/>
                <w:vertAlign w:val="superscript"/>
                <w:lang w:val="en-US" w:eastAsia="zh-CN"/>
              </w:rPr>
              <w:t>3</w:t>
            </w:r>
            <w:r>
              <w:rPr>
                <w:rFonts w:hint="eastAsia"/>
                <w:b/>
                <w:color w:val="000000"/>
                <w:highlight w:val="none"/>
                <w:lang w:val="en-US" w:eastAsia="zh-CN"/>
              </w:rPr>
              <w:t>/d</w:t>
            </w:r>
          </w:p>
          <w:p>
            <w:pPr>
              <w:bidi w:val="0"/>
              <w:ind w:left="0" w:leftChars="0" w:firstLine="0" w:firstLineChars="0"/>
              <w:rPr>
                <w:rFonts w:hint="default"/>
                <w:b/>
                <w:bCs/>
                <w:highlight w:val="none"/>
              </w:rPr>
            </w:pPr>
            <w:r>
              <w:rPr>
                <w:rFonts w:hint="eastAsia"/>
                <w:b/>
                <w:bCs/>
                <w:highlight w:val="none"/>
                <w:lang w:val="en-US" w:eastAsia="zh-CN"/>
              </w:rPr>
              <w:t xml:space="preserve">6.2 </w:t>
            </w:r>
            <w:r>
              <w:rPr>
                <w:rFonts w:hint="default"/>
                <w:b/>
                <w:bCs/>
                <w:highlight w:val="none"/>
              </w:rPr>
              <w:t>排水</w:t>
            </w:r>
          </w:p>
          <w:p>
            <w:pPr>
              <w:bidi w:val="0"/>
              <w:rPr>
                <w:rFonts w:hint="eastAsia"/>
                <w:highlight w:val="none"/>
                <w:lang w:val="en-US" w:eastAsia="zh-CN"/>
              </w:rPr>
            </w:pPr>
            <w:r>
              <w:rPr>
                <w:rFonts w:hint="eastAsia"/>
                <w:highlight w:val="none"/>
                <w:lang w:val="en-US" w:eastAsia="zh-CN"/>
              </w:rPr>
              <w:t>本项目生产废水主要为车辆冲洗废水、搅拌罐冲洗废水经沉淀池沉淀后回用于冲洗工序。无生产废水外排。</w:t>
            </w:r>
          </w:p>
          <w:p>
            <w:pPr>
              <w:bidi w:val="0"/>
              <w:rPr>
                <w:rFonts w:hint="default"/>
                <w:highlight w:val="none"/>
                <w:lang w:val="en-US" w:eastAsia="zh-CN"/>
              </w:rPr>
            </w:pPr>
            <w:r>
              <w:rPr>
                <w:rFonts w:hint="eastAsia"/>
                <w:highlight w:val="none"/>
                <w:lang w:val="en-US" w:eastAsia="zh-CN"/>
              </w:rPr>
              <w:t>本项目生活污水产生量为</w:t>
            </w:r>
            <w:r>
              <w:rPr>
                <w:rFonts w:hint="eastAsia"/>
                <w:sz w:val="24"/>
                <w:szCs w:val="24"/>
                <w:highlight w:val="none"/>
                <w:lang w:val="en-US" w:eastAsia="zh-CN"/>
              </w:rPr>
              <w:t>1.92m³/d（528m³/a）</w:t>
            </w:r>
            <w:r>
              <w:rPr>
                <w:rFonts w:hint="eastAsia"/>
                <w:highlight w:val="none"/>
                <w:lang w:val="en-US" w:eastAsia="zh-CN"/>
              </w:rPr>
              <w:t>，这部分排水进入项目区防渗</w:t>
            </w:r>
            <w:r>
              <w:rPr>
                <w:rFonts w:hint="eastAsia"/>
                <w:color w:val="auto"/>
                <w:highlight w:val="none"/>
                <w:lang w:val="en-US" w:eastAsia="zh-CN"/>
              </w:rPr>
              <w:t>化粪池，定期抽运至伊拉湖镇污水处理厂处理。</w:t>
            </w:r>
          </w:p>
          <w:p>
            <w:pPr>
              <w:bidi w:val="0"/>
              <w:ind w:left="0" w:leftChars="0" w:firstLine="0" w:firstLineChars="0"/>
              <w:rPr>
                <w:rFonts w:hint="default"/>
                <w:b/>
                <w:bCs/>
                <w:highlight w:val="none"/>
              </w:rPr>
            </w:pPr>
            <w:r>
              <w:rPr>
                <w:rFonts w:hint="eastAsia"/>
                <w:b/>
                <w:bCs/>
                <w:highlight w:val="none"/>
                <w:lang w:val="en-US" w:eastAsia="zh-CN"/>
              </w:rPr>
              <w:t xml:space="preserve">6.3 </w:t>
            </w:r>
            <w:r>
              <w:rPr>
                <w:rFonts w:hint="default"/>
                <w:b/>
                <w:bCs/>
                <w:highlight w:val="none"/>
              </w:rPr>
              <w:t>供电</w:t>
            </w:r>
          </w:p>
          <w:p>
            <w:pPr>
              <w:pStyle w:val="30"/>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highlight w:val="none"/>
                <w:lang w:val="en-US" w:eastAsia="zh-CN"/>
              </w:rPr>
            </w:pPr>
            <w:bookmarkStart w:id="3" w:name="_Toc99950929"/>
            <w:bookmarkStart w:id="4" w:name="_Toc99975461"/>
            <w:r>
              <w:rPr>
                <w:rFonts w:hint="eastAsia" w:ascii="Times New Roman" w:hAnsi="Times New Roman" w:eastAsia="宋体" w:cs="Times New Roman"/>
                <w:color w:val="auto"/>
                <w:kern w:val="2"/>
                <w:sz w:val="24"/>
                <w:szCs w:val="24"/>
                <w:highlight w:val="none"/>
                <w:lang w:val="en-US" w:eastAsia="zh-CN" w:bidi="ar-SA"/>
              </w:rPr>
              <w:t>包括动力、照明、通讯等，按设计参数购置1台变压器自附近园区电网接引，各施工配电点电源自变压器临时设置点处放射性接引，能够满足项目供电需求</w:t>
            </w:r>
            <w:r>
              <w:rPr>
                <w:rFonts w:hint="eastAsia" w:ascii="Times New Roman" w:hAnsi="Times New Roman" w:eastAsia="宋体" w:cs="Times New Roman"/>
                <w:color w:val="auto"/>
                <w:highlight w:val="none"/>
                <w:lang w:val="en-US" w:eastAsia="zh-CN"/>
              </w:rPr>
              <w:t>。</w:t>
            </w:r>
          </w:p>
          <w:p>
            <w:pPr>
              <w:pStyle w:val="30"/>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 xml:space="preserve">6.4 </w:t>
            </w:r>
            <w:r>
              <w:rPr>
                <w:rFonts w:hint="default" w:ascii="Times New Roman" w:hAnsi="Times New Roman" w:eastAsia="宋体" w:cs="Times New Roman"/>
                <w:b/>
                <w:bCs/>
                <w:kern w:val="2"/>
                <w:sz w:val="24"/>
                <w:szCs w:val="24"/>
                <w:highlight w:val="none"/>
                <w:lang w:val="en-US" w:eastAsia="zh-CN" w:bidi="ar-SA"/>
              </w:rPr>
              <w:t>采暖</w:t>
            </w:r>
          </w:p>
          <w:p>
            <w:pPr>
              <w:numPr>
                <w:ilvl w:val="0"/>
                <w:numId w:val="0"/>
              </w:numPr>
              <w:spacing w:line="360" w:lineRule="auto"/>
              <w:ind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本项目冬季不生产，不存在供暖问题</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值班人员供暖由</w:t>
            </w:r>
            <w:r>
              <w:rPr>
                <w:rFonts w:hint="eastAsia" w:ascii="宋体" w:hAnsi="宋体" w:cs="宋体"/>
                <w:color w:val="auto"/>
                <w:kern w:val="2"/>
                <w:sz w:val="24"/>
                <w:szCs w:val="24"/>
                <w:highlight w:val="none"/>
                <w:lang w:val="en-US" w:eastAsia="zh-CN" w:bidi="ar-SA"/>
              </w:rPr>
              <w:t>电暖器</w:t>
            </w:r>
            <w:r>
              <w:rPr>
                <w:rFonts w:hint="eastAsia" w:ascii="宋体" w:hAnsi="宋体" w:eastAsia="宋体" w:cs="宋体"/>
                <w:color w:val="auto"/>
                <w:kern w:val="2"/>
                <w:sz w:val="24"/>
                <w:szCs w:val="24"/>
                <w:highlight w:val="none"/>
                <w:lang w:val="en-US" w:eastAsia="zh-CN" w:bidi="ar-SA"/>
              </w:rPr>
              <w:t>供给，浴室热水采用电热水器。</w:t>
            </w:r>
          </w:p>
          <w:p>
            <w:pPr>
              <w:numPr>
                <w:ilvl w:val="0"/>
                <w:numId w:val="0"/>
              </w:numPr>
              <w:spacing w:line="360" w:lineRule="auto"/>
              <w:rPr>
                <w:rFonts w:hint="eastAsia" w:ascii="Times New Roman" w:hAnsi="Times New Roman" w:cs="Times New Roman"/>
                <w:b/>
                <w:bCs/>
                <w:color w:val="auto"/>
                <w:kern w:val="0"/>
                <w:sz w:val="24"/>
                <w:szCs w:val="24"/>
                <w:highlight w:val="none"/>
                <w:lang w:val="en-US" w:eastAsia="zh-CN" w:bidi="ar-SA"/>
              </w:rPr>
            </w:pPr>
            <w:r>
              <w:rPr>
                <w:rFonts w:hint="eastAsia" w:cs="Times New Roman"/>
                <w:b/>
                <w:bCs/>
                <w:color w:val="auto"/>
                <w:kern w:val="0"/>
                <w:sz w:val="24"/>
                <w:szCs w:val="24"/>
                <w:highlight w:val="none"/>
                <w:lang w:val="en-US" w:eastAsia="zh-CN" w:bidi="ar-SA"/>
              </w:rPr>
              <w:t xml:space="preserve">7 </w:t>
            </w:r>
            <w:r>
              <w:rPr>
                <w:rFonts w:hint="eastAsia" w:ascii="Times New Roman" w:hAnsi="Times New Roman" w:cs="Times New Roman"/>
                <w:b/>
                <w:bCs/>
                <w:color w:val="auto"/>
                <w:kern w:val="0"/>
                <w:sz w:val="24"/>
                <w:szCs w:val="24"/>
                <w:highlight w:val="none"/>
                <w:lang w:val="en-US" w:eastAsia="zh-CN" w:bidi="ar-SA"/>
              </w:rPr>
              <w:t>总平面布置</w:t>
            </w:r>
          </w:p>
          <w:p>
            <w:pPr>
              <w:bidi w:val="0"/>
              <w:rPr>
                <w:rFonts w:hint="default"/>
                <w:highlight w:val="none"/>
                <w:lang w:val="en-US" w:eastAsia="zh-CN"/>
              </w:rPr>
            </w:pPr>
            <w:r>
              <w:rPr>
                <w:rFonts w:hint="default" w:ascii="Times New Roman" w:hAnsi="Times New Roman" w:eastAsia="宋体" w:cs="Times New Roman"/>
                <w:snapToGrid w:val="0"/>
                <w:color w:val="auto"/>
                <w:kern w:val="0"/>
                <w:sz w:val="24"/>
                <w:szCs w:val="24"/>
                <w:highlight w:val="none"/>
              </w:rPr>
              <w:t>本项目在总平面设计中，根据地区特点及工艺流程等要求，因地制宜</w:t>
            </w:r>
            <w:r>
              <w:rPr>
                <w:rFonts w:hint="eastAsia" w:cs="Times New Roman"/>
                <w:snapToGrid w:val="0"/>
                <w:color w:val="auto"/>
                <w:kern w:val="0"/>
                <w:sz w:val="24"/>
                <w:szCs w:val="24"/>
                <w:highlight w:val="none"/>
                <w:lang w:eastAsia="zh-CN"/>
              </w:rPr>
              <w:t>地</w:t>
            </w:r>
            <w:r>
              <w:rPr>
                <w:rFonts w:hint="default" w:ascii="Times New Roman" w:hAnsi="Times New Roman" w:eastAsia="宋体" w:cs="Times New Roman"/>
                <w:snapToGrid w:val="0"/>
                <w:color w:val="auto"/>
                <w:kern w:val="0"/>
                <w:sz w:val="24"/>
                <w:szCs w:val="24"/>
                <w:highlight w:val="none"/>
              </w:rPr>
              <w:t>实施了生产及生活区分区布置，</w:t>
            </w:r>
            <w:r>
              <w:rPr>
                <w:rFonts w:hint="eastAsia" w:ascii="Times New Roman" w:hAnsi="Times New Roman" w:eastAsia="宋体" w:cs="Times New Roman"/>
                <w:snapToGrid w:val="0"/>
                <w:color w:val="auto"/>
                <w:kern w:val="0"/>
                <w:sz w:val="24"/>
                <w:szCs w:val="24"/>
                <w:highlight w:val="none"/>
                <w:lang w:val="en-US" w:eastAsia="zh-CN"/>
              </w:rPr>
              <w:t>项目区主导风向为</w:t>
            </w:r>
            <w:r>
              <w:rPr>
                <w:rFonts w:hint="eastAsia" w:cs="Times New Roman"/>
                <w:snapToGrid w:val="0"/>
                <w:color w:val="auto"/>
                <w:kern w:val="0"/>
                <w:sz w:val="24"/>
                <w:szCs w:val="24"/>
                <w:highlight w:val="none"/>
                <w:lang w:val="en-US" w:eastAsia="zh-CN"/>
              </w:rPr>
              <w:t>西风、西北风，设备</w:t>
            </w:r>
            <w:r>
              <w:rPr>
                <w:rFonts w:hint="default" w:ascii="Times New Roman" w:hAnsi="Times New Roman" w:eastAsia="宋体" w:cs="Times New Roman"/>
                <w:snapToGrid w:val="0"/>
                <w:color w:val="auto"/>
                <w:kern w:val="0"/>
                <w:sz w:val="24"/>
                <w:szCs w:val="24"/>
                <w:highlight w:val="none"/>
              </w:rPr>
              <w:t>生产区</w:t>
            </w:r>
            <w:r>
              <w:rPr>
                <w:rFonts w:hint="eastAsia" w:cs="Times New Roman"/>
                <w:snapToGrid w:val="0"/>
                <w:color w:val="auto"/>
                <w:kern w:val="0"/>
                <w:sz w:val="24"/>
                <w:szCs w:val="24"/>
                <w:highlight w:val="none"/>
                <w:lang w:eastAsia="zh-CN"/>
              </w:rPr>
              <w:t>位于厂区中部，原料堆场位于厂区</w:t>
            </w:r>
            <w:r>
              <w:rPr>
                <w:rFonts w:hint="eastAsia" w:cs="Times New Roman"/>
                <w:snapToGrid w:val="0"/>
                <w:color w:val="auto"/>
                <w:kern w:val="0"/>
                <w:sz w:val="24"/>
                <w:szCs w:val="24"/>
                <w:highlight w:val="none"/>
                <w:lang w:val="en-US" w:eastAsia="zh-CN"/>
              </w:rPr>
              <w:t>北</w:t>
            </w:r>
            <w:r>
              <w:rPr>
                <w:rFonts w:hint="eastAsia" w:cs="Times New Roman"/>
                <w:snapToGrid w:val="0"/>
                <w:color w:val="auto"/>
                <w:kern w:val="0"/>
                <w:sz w:val="24"/>
                <w:szCs w:val="24"/>
                <w:highlight w:val="none"/>
                <w:lang w:eastAsia="zh-CN"/>
              </w:rPr>
              <w:t>侧，常年主要风向的</w:t>
            </w:r>
            <w:r>
              <w:rPr>
                <w:rFonts w:hint="eastAsia" w:cs="Times New Roman"/>
                <w:snapToGrid w:val="0"/>
                <w:color w:val="auto"/>
                <w:kern w:val="0"/>
                <w:sz w:val="24"/>
                <w:szCs w:val="24"/>
                <w:highlight w:val="none"/>
                <w:lang w:val="en-US" w:eastAsia="zh-CN"/>
              </w:rPr>
              <w:t>侧风向</w:t>
            </w:r>
            <w:r>
              <w:rPr>
                <w:rFonts w:hint="eastAsia" w:cs="Times New Roman"/>
                <w:snapToGrid w:val="0"/>
                <w:color w:val="auto"/>
                <w:kern w:val="0"/>
                <w:sz w:val="24"/>
                <w:szCs w:val="24"/>
                <w:highlight w:val="none"/>
                <w:lang w:eastAsia="zh-CN"/>
              </w:rPr>
              <w:t>，</w:t>
            </w:r>
            <w:r>
              <w:rPr>
                <w:rFonts w:hint="eastAsia" w:ascii="Times New Roman" w:hAnsi="Times New Roman" w:eastAsia="宋体" w:cs="Times New Roman"/>
                <w:snapToGrid w:val="0"/>
                <w:color w:val="auto"/>
                <w:kern w:val="0"/>
                <w:sz w:val="24"/>
                <w:szCs w:val="24"/>
                <w:highlight w:val="none"/>
                <w:lang w:val="en-US" w:eastAsia="zh-CN"/>
              </w:rPr>
              <w:t>布置</w:t>
            </w:r>
            <w:r>
              <w:rPr>
                <w:rFonts w:hint="default" w:ascii="Times New Roman" w:hAnsi="Times New Roman" w:eastAsia="宋体" w:cs="Times New Roman"/>
                <w:snapToGrid w:val="0"/>
                <w:color w:val="auto"/>
                <w:kern w:val="0"/>
                <w:sz w:val="24"/>
                <w:szCs w:val="24"/>
                <w:highlight w:val="none"/>
              </w:rPr>
              <w:t>满足相关规范要求</w:t>
            </w:r>
            <w:r>
              <w:rPr>
                <w:rFonts w:hint="eastAsia" w:ascii="Times New Roman" w:hAnsi="Times New Roman" w:eastAsia="宋体" w:cs="Times New Roman"/>
                <w:snapToGrid w:val="0"/>
                <w:color w:val="auto"/>
                <w:kern w:val="0"/>
                <w:sz w:val="24"/>
                <w:szCs w:val="24"/>
                <w:highlight w:val="none"/>
                <w:lang w:eastAsia="zh-CN"/>
              </w:rPr>
              <w:t>，</w:t>
            </w:r>
            <w:r>
              <w:rPr>
                <w:rFonts w:hint="default" w:ascii="Times New Roman" w:hAnsi="Times New Roman" w:eastAsia="宋体" w:cs="Times New Roman"/>
                <w:snapToGrid w:val="0"/>
                <w:color w:val="auto"/>
                <w:kern w:val="0"/>
                <w:sz w:val="24"/>
                <w:szCs w:val="24"/>
                <w:highlight w:val="none"/>
              </w:rPr>
              <w:t>功能分区明确，充分考虑了功能关系，卫生、通风等因素，做到了人流、货流分区，清污分区，路网畅通，管线短捷，建筑群体关系协调，符合环保相关要求。</w:t>
            </w:r>
            <w:r>
              <w:rPr>
                <w:rFonts w:hint="eastAsia" w:ascii="Times New Roman" w:hAnsi="Times New Roman" w:eastAsia="宋体" w:cs="Times New Roman"/>
                <w:snapToGrid w:val="0"/>
                <w:color w:val="auto"/>
                <w:kern w:val="0"/>
                <w:sz w:val="24"/>
                <w:szCs w:val="24"/>
                <w:highlight w:val="none"/>
                <w:lang w:val="en-US" w:eastAsia="zh-CN"/>
              </w:rPr>
              <w:t>本项目总平面布置图见附图4</w:t>
            </w:r>
            <w:r>
              <w:rPr>
                <w:rFonts w:hint="default"/>
                <w:color w:val="auto"/>
                <w:highlight w:val="none"/>
              </w:rPr>
              <w:t>。</w:t>
            </w:r>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4" w:type="dxa"/>
            <w:tcBorders>
              <w:tl2br w:val="nil"/>
              <w:tr2bl w:val="nil"/>
            </w:tcBorders>
            <w:noWrap w:val="0"/>
            <w:vAlign w:val="center"/>
          </w:tcPr>
          <w:p>
            <w:pPr>
              <w:pStyle w:val="31"/>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工艺流程和产排污环节</w:t>
            </w:r>
          </w:p>
        </w:tc>
        <w:tc>
          <w:tcPr>
            <w:tcW w:w="8197" w:type="dxa"/>
            <w:tcBorders>
              <w:tl2br w:val="nil"/>
              <w:tr2bl w:val="nil"/>
            </w:tcBorders>
            <w:noWrap w:val="0"/>
            <w:vAlign w:val="top"/>
          </w:tcPr>
          <w:p>
            <w:pPr>
              <w:numPr>
                <w:ilvl w:val="0"/>
                <w:numId w:val="3"/>
              </w:numPr>
              <w:bidi w:val="0"/>
              <w:ind w:left="0" w:leftChars="0" w:firstLine="0" w:firstLineChars="0"/>
              <w:rPr>
                <w:rFonts w:hint="eastAsia"/>
                <w:b/>
                <w:bCs/>
              </w:rPr>
            </w:pPr>
            <w:r>
              <w:rPr>
                <w:rFonts w:hint="eastAsia"/>
                <w:b/>
                <w:bCs/>
              </w:rPr>
              <w:t>施工期</w:t>
            </w:r>
          </w:p>
          <w:p>
            <w:pPr>
              <w:widowControl w:val="0"/>
              <w:autoSpaceDE w:val="0"/>
              <w:autoSpaceDN w:val="0"/>
              <w:adjustRightInd w:val="0"/>
              <w:snapToGrid w:val="0"/>
              <w:spacing w:line="460" w:lineRule="exact"/>
              <w:ind w:left="0" w:leftChars="0" w:firstLine="0" w:firstLineChars="0"/>
              <w:jc w:val="both"/>
              <w:rPr>
                <w:b/>
                <w:bCs/>
                <w:lang w:eastAsia="zh-CN"/>
              </w:rPr>
            </w:pPr>
            <w:r>
              <w:rPr>
                <w:b/>
                <w:bCs/>
                <w:lang w:eastAsia="zh-CN"/>
              </w:rPr>
              <w:t>1.1 工艺流程</w:t>
            </w:r>
          </w:p>
          <w:p>
            <w:pPr>
              <w:widowControl w:val="0"/>
              <w:autoSpaceDE w:val="0"/>
              <w:autoSpaceDN w:val="0"/>
              <w:adjustRightInd w:val="0"/>
              <w:snapToGrid w:val="0"/>
              <w:spacing w:line="460" w:lineRule="exact"/>
              <w:ind w:firstLine="480"/>
              <w:jc w:val="both"/>
              <w:rPr>
                <w:lang w:eastAsia="zh-CN"/>
              </w:rPr>
            </w:pPr>
            <w:r>
              <w:rPr>
                <w:lang w:eastAsia="zh-CN"/>
              </w:rPr>
              <w:t>本项目为新建项目，用地内无任何生产及建筑物设施，施工期主要活动为场地平整及地基开挖、生产厂房及车间建筑设施建设、设备安装、工程验收等工序，施工期的产污工艺流程及产污位置如下图</w:t>
            </w:r>
            <w:r>
              <w:rPr>
                <w:rFonts w:hint="eastAsia"/>
                <w:lang w:val="en-US" w:eastAsia="zh-CN"/>
              </w:rPr>
              <w:t>2-2</w:t>
            </w:r>
            <w:r>
              <w:rPr>
                <w:lang w:eastAsia="zh-CN"/>
              </w:rPr>
              <w:t>。</w:t>
            </w:r>
          </w:p>
          <w:p>
            <w:pPr>
              <w:pStyle w:val="22"/>
              <w:ind w:left="480" w:firstLine="480"/>
              <w:rPr>
                <w:lang w:eastAsia="zh-CN"/>
              </w:rPr>
            </w:pPr>
          </w:p>
          <w:p>
            <w:pPr>
              <w:widowControl w:val="0"/>
              <w:ind w:firstLine="0" w:firstLineChars="0"/>
              <w:jc w:val="center"/>
              <w:rPr>
                <w:lang w:eastAsia="zh-CN"/>
              </w:rPr>
            </w:pPr>
            <w:r>
              <w:rPr>
                <w:lang w:eastAsia="zh-CN"/>
              </w:rPr>
              <w:drawing>
                <wp:inline distT="0" distB="0" distL="114300" distR="114300">
                  <wp:extent cx="4992370" cy="2450465"/>
                  <wp:effectExtent l="0" t="0" r="17780" b="6985"/>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pic:cNvPicPr>
                        </pic:nvPicPr>
                        <pic:blipFill>
                          <a:blip r:embed="rId10"/>
                          <a:stretch>
                            <a:fillRect/>
                          </a:stretch>
                        </pic:blipFill>
                        <pic:spPr>
                          <a:xfrm>
                            <a:off x="0" y="0"/>
                            <a:ext cx="4992370" cy="2450465"/>
                          </a:xfrm>
                          <a:prstGeom prst="rect">
                            <a:avLst/>
                          </a:prstGeom>
                          <a:noFill/>
                          <a:ln>
                            <a:noFill/>
                          </a:ln>
                        </pic:spPr>
                      </pic:pic>
                    </a:graphicData>
                  </a:graphic>
                </wp:inline>
              </w:drawing>
            </w:r>
          </w:p>
          <w:p>
            <w:pPr>
              <w:widowControl w:val="0"/>
              <w:ind w:firstLine="482"/>
              <w:jc w:val="center"/>
              <w:rPr>
                <w:b/>
                <w:bCs/>
                <w:lang w:eastAsia="zh-CN"/>
              </w:rPr>
            </w:pPr>
            <w:r>
              <w:rPr>
                <w:b/>
                <w:bCs/>
                <w:lang w:eastAsia="zh-CN"/>
              </w:rPr>
              <w:t>图</w:t>
            </w:r>
            <w:r>
              <w:rPr>
                <w:rFonts w:hint="eastAsia"/>
                <w:b/>
                <w:bCs/>
                <w:lang w:eastAsia="zh-CN"/>
              </w:rPr>
              <w:t>2-</w:t>
            </w:r>
            <w:r>
              <w:rPr>
                <w:rFonts w:hint="eastAsia"/>
                <w:b/>
                <w:bCs/>
                <w:lang w:val="en-US" w:eastAsia="zh-CN"/>
              </w:rPr>
              <w:t>2</w:t>
            </w:r>
            <w:r>
              <w:rPr>
                <w:rFonts w:hint="eastAsia"/>
                <w:b/>
                <w:bCs/>
                <w:lang w:eastAsia="zh-CN"/>
              </w:rPr>
              <w:t xml:space="preserve">   </w:t>
            </w:r>
            <w:r>
              <w:rPr>
                <w:b/>
                <w:bCs/>
                <w:lang w:eastAsia="zh-CN"/>
              </w:rPr>
              <w:t>施工期工艺流程及产污环节图</w:t>
            </w:r>
          </w:p>
          <w:p>
            <w:pPr>
              <w:pStyle w:val="3"/>
              <w:widowControl w:val="0"/>
              <w:jc w:val="both"/>
              <w:rPr>
                <w:sz w:val="24"/>
                <w:szCs w:val="24"/>
              </w:rPr>
            </w:pPr>
            <w:r>
              <w:rPr>
                <w:sz w:val="24"/>
                <w:szCs w:val="24"/>
              </w:rPr>
              <w:t>1.2 产污环节</w:t>
            </w:r>
          </w:p>
          <w:p>
            <w:pPr>
              <w:pStyle w:val="3"/>
              <w:widowControl w:val="0"/>
              <w:ind w:firstLine="480" w:firstLineChars="200"/>
              <w:jc w:val="both"/>
              <w:rPr>
                <w:b w:val="0"/>
                <w:bCs/>
                <w:sz w:val="24"/>
                <w:szCs w:val="24"/>
              </w:rPr>
            </w:pPr>
            <w:r>
              <w:rPr>
                <w:b w:val="0"/>
                <w:bCs/>
                <w:sz w:val="24"/>
                <w:szCs w:val="24"/>
              </w:rPr>
              <w:t>废气：主要来自施工作业产生的扬尘。</w:t>
            </w:r>
          </w:p>
          <w:p>
            <w:pPr>
              <w:pStyle w:val="3"/>
              <w:widowControl w:val="0"/>
              <w:ind w:firstLine="480" w:firstLineChars="200"/>
              <w:jc w:val="both"/>
              <w:rPr>
                <w:b w:val="0"/>
                <w:bCs/>
                <w:sz w:val="24"/>
                <w:szCs w:val="24"/>
              </w:rPr>
            </w:pPr>
            <w:r>
              <w:rPr>
                <w:b w:val="0"/>
                <w:bCs/>
                <w:sz w:val="24"/>
                <w:szCs w:val="24"/>
              </w:rPr>
              <w:t>废水：主要包括少量施工废水及</w:t>
            </w:r>
            <w:r>
              <w:rPr>
                <w:rFonts w:hint="eastAsia"/>
                <w:b w:val="0"/>
                <w:bCs/>
                <w:sz w:val="24"/>
                <w:szCs w:val="24"/>
                <w:lang w:eastAsia="zh-CN"/>
              </w:rPr>
              <w:t>生活污水</w:t>
            </w:r>
            <w:r>
              <w:rPr>
                <w:b w:val="0"/>
                <w:bCs/>
                <w:sz w:val="24"/>
                <w:szCs w:val="24"/>
              </w:rPr>
              <w:t>。</w:t>
            </w:r>
          </w:p>
          <w:p>
            <w:pPr>
              <w:pStyle w:val="3"/>
              <w:widowControl w:val="0"/>
              <w:ind w:firstLine="480" w:firstLineChars="200"/>
              <w:jc w:val="both"/>
              <w:rPr>
                <w:b w:val="0"/>
                <w:bCs/>
                <w:sz w:val="24"/>
                <w:szCs w:val="24"/>
              </w:rPr>
            </w:pPr>
            <w:r>
              <w:rPr>
                <w:b w:val="0"/>
                <w:bCs/>
                <w:sz w:val="24"/>
                <w:szCs w:val="24"/>
              </w:rPr>
              <w:t>噪声：主要来源于施工作业机械产生的机械噪声。</w:t>
            </w:r>
          </w:p>
          <w:p>
            <w:pPr>
              <w:pStyle w:val="3"/>
              <w:widowControl w:val="0"/>
              <w:ind w:firstLine="480" w:firstLineChars="200"/>
              <w:jc w:val="both"/>
              <w:rPr>
                <w:b w:val="0"/>
                <w:bCs/>
                <w:sz w:val="24"/>
                <w:szCs w:val="24"/>
              </w:rPr>
            </w:pPr>
            <w:r>
              <w:rPr>
                <w:b w:val="0"/>
                <w:bCs/>
                <w:sz w:val="24"/>
                <w:szCs w:val="24"/>
              </w:rPr>
              <w:t>固体废物：主要为建筑废渣、废弃设备包装材料等固体废物，以及施工人员生活垃圾等。</w:t>
            </w:r>
          </w:p>
          <w:p>
            <w:pPr>
              <w:numPr>
                <w:ilvl w:val="0"/>
                <w:numId w:val="3"/>
              </w:numPr>
              <w:spacing w:line="360" w:lineRule="auto"/>
              <w:ind w:left="0" w:leftChars="0" w:firstLine="0" w:firstLineChars="0"/>
              <w:rPr>
                <w:rFonts w:hint="default"/>
                <w:b/>
                <w:bCs/>
                <w:lang w:val="en-US" w:eastAsia="zh-CN"/>
              </w:rPr>
            </w:pPr>
            <w:r>
              <w:rPr>
                <w:rFonts w:hint="eastAsia"/>
                <w:b/>
                <w:bCs/>
                <w:lang w:val="en-US" w:eastAsia="zh-CN"/>
              </w:rPr>
              <w:t>运营期</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left"/>
              <w:textAlignment w:val="baseline"/>
              <w:rPr>
                <w:rFonts w:hint="default"/>
                <w:color w:val="auto"/>
                <w:lang w:val="en-US" w:eastAsia="zh-CN"/>
              </w:rPr>
            </w:pPr>
            <w:r>
              <w:rPr>
                <w:rFonts w:hint="eastAsia"/>
                <w:color w:val="auto"/>
                <w:lang w:eastAsia="zh-CN"/>
              </w:rPr>
              <w:t>混凝土生产</w:t>
            </w:r>
            <w:r>
              <w:rPr>
                <w:rFonts w:hint="eastAsia"/>
                <w:color w:val="auto"/>
              </w:rPr>
              <w:t>项目工艺流程</w:t>
            </w:r>
            <w:r>
              <w:rPr>
                <w:rFonts w:hint="eastAsia"/>
                <w:color w:val="auto"/>
                <w:lang w:val="en-US" w:eastAsia="zh-CN"/>
              </w:rPr>
              <w:t>及产污环节图</w:t>
            </w:r>
            <w:r>
              <w:rPr>
                <w:rFonts w:hint="eastAsia"/>
                <w:color w:val="auto"/>
              </w:rPr>
              <w:t>见图</w:t>
            </w:r>
            <w:r>
              <w:rPr>
                <w:rFonts w:hint="eastAsia"/>
                <w:color w:val="auto"/>
                <w:lang w:val="en-US" w:eastAsia="zh-CN"/>
              </w:rPr>
              <w:t>2-3。</w:t>
            </w:r>
          </w:p>
          <w:p>
            <w:pPr>
              <w:widowControl/>
              <w:spacing w:line="360" w:lineRule="auto"/>
              <w:ind w:left="0" w:leftChars="0" w:right="0" w:rightChars="0" w:firstLine="0" w:firstLineChars="0"/>
              <w:jc w:val="center"/>
              <w:rPr>
                <w:rFonts w:hint="eastAsia"/>
                <w:lang w:eastAsia="zh-CN"/>
              </w:rPr>
            </w:pPr>
            <w:r>
              <w:rPr>
                <w:rFonts w:hint="eastAsia" w:ascii="Times New Roman" w:hAnsi="Times New Roman" w:eastAsia="宋体" w:cs="Times New Roman"/>
                <w:color w:val="auto"/>
                <w:kern w:val="0"/>
                <w:sz w:val="24"/>
                <w:lang w:eastAsia="zh-CN"/>
              </w:rPr>
              <w:drawing>
                <wp:anchor distT="0" distB="0" distL="114300" distR="114300" simplePos="0" relativeHeight="251662336" behindDoc="0" locked="0" layoutInCell="1" allowOverlap="1">
                  <wp:simplePos x="0" y="0"/>
                  <wp:positionH relativeFrom="column">
                    <wp:posOffset>313690</wp:posOffset>
                  </wp:positionH>
                  <wp:positionV relativeFrom="paragraph">
                    <wp:posOffset>81280</wp:posOffset>
                  </wp:positionV>
                  <wp:extent cx="4353560" cy="3526790"/>
                  <wp:effectExtent l="0" t="0" r="0" b="16510"/>
                  <wp:wrapTopAndBottom/>
                  <wp:docPr id="6" name="ECB019B1-382A-4266-B25C-5B523AA43C14-1" descr="C:/Users/86180/AppData/Local/Temp/wps.euTlAG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B019B1-382A-4266-B25C-5B523AA43C14-1" descr="C:/Users/86180/AppData/Local/Temp/wps.euTlAGwps"/>
                          <pic:cNvPicPr>
                            <a:picLocks noChangeAspect="1"/>
                          </pic:cNvPicPr>
                        </pic:nvPicPr>
                        <pic:blipFill>
                          <a:blip r:embed="rId11"/>
                          <a:srcRect b="2811"/>
                          <a:stretch>
                            <a:fillRect/>
                          </a:stretch>
                        </pic:blipFill>
                        <pic:spPr>
                          <a:xfrm>
                            <a:off x="0" y="0"/>
                            <a:ext cx="4353560" cy="3526790"/>
                          </a:xfrm>
                          <a:prstGeom prst="rect">
                            <a:avLst/>
                          </a:prstGeom>
                        </pic:spPr>
                      </pic:pic>
                    </a:graphicData>
                  </a:graphic>
                </wp:anchor>
              </w:drawing>
            </w:r>
          </w:p>
          <w:p>
            <w:pPr>
              <w:pStyle w:val="31"/>
              <w:bidi w:val="0"/>
              <w:jc w:val="center"/>
              <w:rPr>
                <w:rFonts w:hint="default"/>
                <w:b/>
                <w:bCs/>
              </w:rPr>
            </w:pPr>
            <w:r>
              <w:rPr>
                <w:b/>
                <w:bCs/>
              </w:rPr>
              <w:t>图</w:t>
            </w:r>
            <w:r>
              <w:rPr>
                <w:rFonts w:hint="eastAsia"/>
                <w:b/>
                <w:bCs/>
                <w:lang w:val="en-US" w:eastAsia="zh-CN"/>
              </w:rPr>
              <w:t xml:space="preserve">2-3 </w:t>
            </w:r>
            <w:r>
              <w:rPr>
                <w:b/>
                <w:bCs/>
              </w:rPr>
              <w:t xml:space="preserve"> </w:t>
            </w:r>
            <w:r>
              <w:rPr>
                <w:rFonts w:hint="eastAsia"/>
                <w:b/>
                <w:bCs/>
              </w:rPr>
              <w:t xml:space="preserve"> </w:t>
            </w:r>
            <w:r>
              <w:rPr>
                <w:rFonts w:hint="default"/>
                <w:b/>
                <w:bCs/>
              </w:rPr>
              <w:t>运营期</w:t>
            </w:r>
            <w:r>
              <w:rPr>
                <w:rFonts w:hint="eastAsia"/>
                <w:b/>
                <w:bCs/>
                <w:lang w:eastAsia="zh-CN"/>
              </w:rPr>
              <w:t>混凝土</w:t>
            </w:r>
            <w:r>
              <w:rPr>
                <w:rFonts w:hint="default"/>
                <w:b/>
                <w:bCs/>
              </w:rPr>
              <w:t>工艺流程及产污环节图</w:t>
            </w:r>
          </w:p>
          <w:p>
            <w:pPr>
              <w:pStyle w:val="31"/>
              <w:bidi w:val="0"/>
              <w:jc w:val="center"/>
              <w:rPr>
                <w:rFonts w:hint="default"/>
              </w:rPr>
            </w:pPr>
          </w:p>
          <w:p>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leftChars="0" w:right="0" w:firstLine="480" w:firstLineChars="200"/>
              <w:jc w:val="left"/>
              <w:rPr>
                <w:rFonts w:hint="eastAsia"/>
                <w:lang w:val="en-US" w:eastAsia="zh-CN"/>
              </w:rPr>
            </w:pPr>
            <w:r>
              <w:rPr>
                <w:rFonts w:hint="eastAsia"/>
                <w:lang w:eastAsia="zh-CN"/>
              </w:rPr>
              <w:t>混凝土</w:t>
            </w:r>
            <w:r>
              <w:rPr>
                <w:rFonts w:hint="default"/>
              </w:rPr>
              <w:t>工艺流程说明：</w:t>
            </w:r>
            <w:r>
              <w:rPr>
                <w:rFonts w:hint="eastAsia"/>
                <w:lang w:val="en-US" w:eastAsia="zh-CN"/>
              </w:rPr>
              <w:t xml:space="preserve"> </w:t>
            </w:r>
          </w:p>
          <w:p>
            <w:pPr>
              <w:bidi w:val="0"/>
              <w:jc w:val="left"/>
              <w:rPr>
                <w:rFonts w:hint="default"/>
              </w:rPr>
            </w:pPr>
            <w:r>
              <w:rPr>
                <w:rFonts w:hint="eastAsia"/>
                <w:lang w:val="en-US" w:eastAsia="zh-CN"/>
              </w:rPr>
              <w:t>（</w:t>
            </w:r>
            <w:r>
              <w:rPr>
                <w:rFonts w:hint="default"/>
                <w:lang w:val="en-US" w:eastAsia="zh-CN"/>
              </w:rPr>
              <w:t>1</w:t>
            </w:r>
            <w:r>
              <w:rPr>
                <w:rFonts w:hint="eastAsia"/>
                <w:lang w:val="en-US" w:eastAsia="zh-CN"/>
              </w:rPr>
              <w:t xml:space="preserve">）原料输送及存储 </w:t>
            </w:r>
          </w:p>
          <w:p>
            <w:pPr>
              <w:bidi w:val="0"/>
              <w:ind w:left="0" w:leftChars="0" w:firstLine="480" w:firstLineChars="200"/>
              <w:jc w:val="left"/>
              <w:rPr>
                <w:rFonts w:hint="default"/>
              </w:rPr>
            </w:pPr>
            <w:r>
              <w:rPr>
                <w:rFonts w:hint="eastAsia"/>
                <w:lang w:val="en-US" w:eastAsia="zh-CN"/>
              </w:rPr>
              <w:t>砂、石料：外购砂石料由汽车拉运至砂石料堆场暂存，</w:t>
            </w:r>
            <w:r>
              <w:rPr>
                <w:rFonts w:hint="eastAsia" w:cs="Times New Roman"/>
                <w:b w:val="0"/>
                <w:bCs w:val="0"/>
                <w:color w:val="auto"/>
                <w:kern w:val="0"/>
                <w:sz w:val="24"/>
                <w:szCs w:val="24"/>
                <w:lang w:val="en-US" w:eastAsia="zh-CN" w:bidi="ar"/>
              </w:rPr>
              <w:t>主机楼</w:t>
            </w:r>
            <w:r>
              <w:rPr>
                <w:rFonts w:hint="default" w:ascii="Times New Roman" w:hAnsi="Times New Roman" w:eastAsia="宋体" w:cs="Times New Roman"/>
                <w:b w:val="0"/>
                <w:bCs w:val="0"/>
                <w:color w:val="auto"/>
                <w:kern w:val="0"/>
                <w:sz w:val="24"/>
                <w:szCs w:val="24"/>
                <w:lang w:val="en-US" w:eastAsia="zh-CN" w:bidi="ar"/>
              </w:rPr>
              <w:t>封闭，</w:t>
            </w:r>
            <w:r>
              <w:rPr>
                <w:rFonts w:hint="eastAsia" w:cs="Times New Roman"/>
                <w:b w:val="0"/>
                <w:bCs w:val="0"/>
                <w:color w:val="auto"/>
                <w:kern w:val="0"/>
                <w:sz w:val="24"/>
                <w:szCs w:val="24"/>
                <w:lang w:val="en-US" w:eastAsia="zh-CN" w:bidi="ar"/>
              </w:rPr>
              <w:t>输送皮带全封闭，砂子、小石料场采用全封闭措施，大石堆料场采取半封闭+防风抑尘网并定期洒水降尘</w:t>
            </w:r>
            <w:r>
              <w:rPr>
                <w:rFonts w:hint="eastAsia"/>
                <w:lang w:val="en-US" w:eastAsia="zh-CN"/>
              </w:rPr>
              <w:t>，定期洒水降尘。</w:t>
            </w:r>
            <w:r>
              <w:rPr>
                <w:rFonts w:hint="default" w:ascii="Times New Roman" w:hAnsi="Times New Roman" w:eastAsia="宋体" w:cs="Times New Roman"/>
                <w:b w:val="0"/>
                <w:bCs w:val="0"/>
                <w:color w:val="auto"/>
                <w:kern w:val="0"/>
                <w:sz w:val="24"/>
                <w:szCs w:val="24"/>
                <w:lang w:val="en-US" w:eastAsia="zh-CN" w:bidi="ar"/>
              </w:rPr>
              <w:t>运输车辆加盖篷布，运输道路定期洒水降尘。</w:t>
            </w:r>
          </w:p>
          <w:p>
            <w:pPr>
              <w:bidi w:val="0"/>
              <w:ind w:left="0" w:leftChars="0" w:firstLine="480" w:firstLineChars="200"/>
              <w:jc w:val="left"/>
              <w:rPr>
                <w:rFonts w:hint="default"/>
              </w:rPr>
            </w:pPr>
            <w:r>
              <w:rPr>
                <w:rFonts w:hint="eastAsia"/>
                <w:lang w:val="en-US" w:eastAsia="zh-CN"/>
              </w:rPr>
              <w:t>水泥及粉煤灰：购进的水泥、粉煤灰用专用罐车运至厂区，用空压机输送至水泥筒仓、粉煤灰筒仓内，每座筒仓顶部配套袋式除尘器。</w:t>
            </w:r>
          </w:p>
          <w:p>
            <w:pPr>
              <w:bidi w:val="0"/>
              <w:jc w:val="left"/>
              <w:rPr>
                <w:rFonts w:hint="eastAsia"/>
                <w:lang w:val="en-US" w:eastAsia="zh-CN"/>
              </w:rPr>
            </w:pPr>
            <w:r>
              <w:rPr>
                <w:rFonts w:hint="eastAsia"/>
                <w:lang w:val="en-US" w:eastAsia="zh-CN"/>
              </w:rPr>
              <w:t>外加剂：外加剂罐泵入至搅拌机组。</w:t>
            </w:r>
          </w:p>
          <w:p>
            <w:pPr>
              <w:bidi w:val="0"/>
              <w:jc w:val="left"/>
              <w:rPr>
                <w:rFonts w:hint="default"/>
              </w:rPr>
            </w:pPr>
            <w:r>
              <w:rPr>
                <w:rFonts w:hint="eastAsia"/>
                <w:lang w:val="en-US" w:eastAsia="zh-CN"/>
              </w:rPr>
              <w:t xml:space="preserve">此工序主要产生的污染环节及产污为水泥、粉煤灰输送粉尘，车辆运输粉尘，砂、石料卸料及堆放粉尘。 </w:t>
            </w:r>
          </w:p>
          <w:p>
            <w:pPr>
              <w:bidi w:val="0"/>
              <w:jc w:val="left"/>
              <w:rPr>
                <w:rFonts w:hint="default"/>
              </w:rPr>
            </w:pPr>
            <w:r>
              <w:rPr>
                <w:rFonts w:hint="eastAsia"/>
                <w:lang w:val="en-US" w:eastAsia="zh-CN"/>
              </w:rPr>
              <w:t>（</w:t>
            </w:r>
            <w:r>
              <w:rPr>
                <w:rFonts w:hint="default"/>
                <w:lang w:val="en-US" w:eastAsia="zh-CN"/>
              </w:rPr>
              <w:t>2</w:t>
            </w:r>
            <w:r>
              <w:rPr>
                <w:rFonts w:hint="eastAsia"/>
                <w:lang w:val="en-US" w:eastAsia="zh-CN"/>
              </w:rPr>
              <w:t xml:space="preserve">）上料 </w:t>
            </w:r>
          </w:p>
          <w:p>
            <w:pPr>
              <w:bidi w:val="0"/>
              <w:jc w:val="left"/>
              <w:rPr>
                <w:rFonts w:hint="default"/>
              </w:rPr>
            </w:pPr>
            <w:r>
              <w:rPr>
                <w:rFonts w:hint="eastAsia"/>
                <w:lang w:val="en-US" w:eastAsia="zh-CN"/>
              </w:rPr>
              <w:t>原料砂子、石子通过装载机卸至砂、石料仓后，通过料仓底部漏斗缓慢漏入至下方输送带，经输送带送至料斗，料斗通过提升机送至上料口进入搅拌机组。同时，通过自动控制设备将水泥、粉煤灰、外加剂和水按比例泵入搅拌机组，原料加料过程搅拌机缓慢转动。</w:t>
            </w:r>
          </w:p>
          <w:p>
            <w:pPr>
              <w:bidi w:val="0"/>
              <w:jc w:val="left"/>
              <w:rPr>
                <w:rFonts w:hint="default"/>
              </w:rPr>
            </w:pPr>
            <w:r>
              <w:rPr>
                <w:rFonts w:hint="eastAsia"/>
                <w:lang w:val="en-US" w:eastAsia="zh-CN"/>
              </w:rPr>
              <w:t>此工序主要产生的污染环节及产污为砂、石料仓卸料粉尘，上料口卸料粉尘。</w:t>
            </w:r>
          </w:p>
          <w:p>
            <w:pPr>
              <w:bidi w:val="0"/>
              <w:jc w:val="left"/>
              <w:rPr>
                <w:rFonts w:hint="default"/>
              </w:rPr>
            </w:pPr>
            <w:r>
              <w:rPr>
                <w:rFonts w:hint="eastAsia"/>
                <w:lang w:val="en-US" w:eastAsia="zh-CN"/>
              </w:rPr>
              <w:t>（</w:t>
            </w:r>
            <w:r>
              <w:rPr>
                <w:rFonts w:hint="default"/>
                <w:lang w:val="en-US" w:eastAsia="zh-CN"/>
              </w:rPr>
              <w:t>3</w:t>
            </w:r>
            <w:r>
              <w:rPr>
                <w:rFonts w:hint="eastAsia"/>
                <w:lang w:val="en-US" w:eastAsia="zh-CN"/>
              </w:rPr>
              <w:t>）搅拌</w:t>
            </w:r>
          </w:p>
          <w:p>
            <w:pPr>
              <w:bidi w:val="0"/>
              <w:ind w:left="0" w:leftChars="0" w:firstLine="480" w:firstLineChars="200"/>
              <w:jc w:val="left"/>
              <w:rPr>
                <w:rFonts w:hint="default"/>
                <w:lang w:val="en-US" w:eastAsia="zh-CN"/>
              </w:rPr>
            </w:pPr>
            <w:r>
              <w:rPr>
                <w:rFonts w:hint="eastAsia"/>
                <w:lang w:val="en-US" w:eastAsia="zh-CN"/>
              </w:rPr>
              <w:t>原料送入搅拌机后，搅拌机由缓而急不断旋转，使粉煤灰、水泥、砂、石子、外加剂及水均匀地混合在一起得到合格混凝土产品，不合格产品回用。</w:t>
            </w:r>
          </w:p>
          <w:p>
            <w:pPr>
              <w:bidi w:val="0"/>
              <w:jc w:val="both"/>
              <w:rPr>
                <w:rFonts w:hint="default"/>
                <w:lang w:val="en-US" w:eastAsia="zh-CN"/>
              </w:rPr>
            </w:pPr>
            <w:r>
              <w:rPr>
                <w:rFonts w:hint="eastAsia"/>
                <w:lang w:val="en-US" w:eastAsia="zh-CN"/>
              </w:rPr>
              <w:t>此工序主要产生的污染环节及产污为搅拌粉尘。</w:t>
            </w:r>
          </w:p>
          <w:p>
            <w:pPr>
              <w:bidi w:val="0"/>
              <w:jc w:val="both"/>
              <w:rPr>
                <w:rFonts w:hint="default"/>
                <w:lang w:val="en-US" w:eastAsia="zh-CN"/>
              </w:rPr>
            </w:pPr>
            <w:r>
              <w:rPr>
                <w:rFonts w:hint="eastAsia"/>
                <w:lang w:val="en-US" w:eastAsia="zh-CN"/>
              </w:rPr>
              <w:t>（</w:t>
            </w:r>
            <w:r>
              <w:rPr>
                <w:rFonts w:hint="default"/>
                <w:lang w:val="en-US" w:eastAsia="zh-CN"/>
              </w:rPr>
              <w:t>4</w:t>
            </w:r>
            <w:r>
              <w:rPr>
                <w:rFonts w:hint="eastAsia"/>
                <w:lang w:val="en-US" w:eastAsia="zh-CN"/>
              </w:rPr>
              <w:t>）成品运输</w:t>
            </w:r>
          </w:p>
          <w:p>
            <w:pPr>
              <w:bidi w:val="0"/>
              <w:ind w:left="0" w:leftChars="0" w:firstLine="480" w:firstLineChars="200"/>
              <w:jc w:val="both"/>
              <w:rPr>
                <w:rFonts w:hint="default"/>
                <w:lang w:val="en-US" w:eastAsia="zh-CN"/>
              </w:rPr>
            </w:pPr>
            <w:r>
              <w:rPr>
                <w:rFonts w:hint="eastAsia"/>
                <w:lang w:val="en-US" w:eastAsia="zh-CN"/>
              </w:rPr>
              <w:t>原料经搅拌机混合后，将罐车驶入搅拌机下部。为减少运输汽车量，在厂区及进出道路定期洒水抑尘外，减速行驶，可进一步减少运输起尘。</w:t>
            </w:r>
          </w:p>
          <w:p>
            <w:pPr>
              <w:bidi w:val="0"/>
              <w:jc w:val="both"/>
              <w:rPr>
                <w:rFonts w:hint="default"/>
              </w:rPr>
            </w:pPr>
            <w:r>
              <w:rPr>
                <w:rFonts w:hint="eastAsia"/>
                <w:lang w:val="en-US" w:eastAsia="zh-CN"/>
              </w:rPr>
              <w:t>此工序主要产生的污染环节及产污为运输粉尘，车辆冲洗废水。</w:t>
            </w:r>
          </w:p>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480" w:firstLineChars="200"/>
              <w:jc w:val="left"/>
              <w:textAlignment w:val="baseline"/>
              <w:rPr>
                <w:rFonts w:hint="default"/>
                <w:lang w:val="en-US" w:eastAsia="zh-CN"/>
              </w:rPr>
            </w:pPr>
            <w:r>
              <w:rPr>
                <w:rFonts w:hint="eastAsia"/>
                <w:lang w:eastAsia="zh-CN"/>
              </w:rPr>
              <w:t>水稳料生产</w:t>
            </w:r>
            <w:r>
              <w:rPr>
                <w:rFonts w:hint="eastAsia"/>
              </w:rPr>
              <w:t>项目工艺流程</w:t>
            </w:r>
            <w:r>
              <w:rPr>
                <w:rFonts w:hint="eastAsia"/>
                <w:lang w:val="en-US" w:eastAsia="zh-CN"/>
              </w:rPr>
              <w:t>及产污环节图</w:t>
            </w:r>
            <w:r>
              <w:rPr>
                <w:rFonts w:hint="eastAsia"/>
              </w:rPr>
              <w:t>见图</w:t>
            </w:r>
            <w:r>
              <w:rPr>
                <w:rFonts w:hint="eastAsia"/>
                <w:lang w:val="en-US" w:eastAsia="zh-CN"/>
              </w:rPr>
              <w:t>2-4.</w:t>
            </w:r>
          </w:p>
          <w:p>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leftChars="0" w:right="0" w:firstLine="480" w:firstLineChars="200"/>
              <w:jc w:val="left"/>
              <w:rPr>
                <w:rFonts w:hint="eastAsia"/>
                <w:lang w:eastAsia="zh-CN"/>
              </w:rPr>
            </w:pPr>
            <w:r>
              <w:rPr>
                <w:rFonts w:hint="eastAsia"/>
                <w:lang w:eastAsia="zh-CN"/>
              </w:rPr>
              <w:drawing>
                <wp:inline distT="0" distB="0" distL="114300" distR="114300">
                  <wp:extent cx="5275580" cy="3790950"/>
                  <wp:effectExtent l="0" t="0" r="1270" b="0"/>
                  <wp:docPr id="50" name="图片 50" descr="faca184a0041bb97a5713697119c6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faca184a0041bb97a5713697119c6f5"/>
                          <pic:cNvPicPr>
                            <a:picLocks noChangeAspect="1"/>
                          </pic:cNvPicPr>
                        </pic:nvPicPr>
                        <pic:blipFill>
                          <a:blip r:embed="rId12"/>
                          <a:stretch>
                            <a:fillRect/>
                          </a:stretch>
                        </pic:blipFill>
                        <pic:spPr>
                          <a:xfrm>
                            <a:off x="0" y="0"/>
                            <a:ext cx="5275580" cy="3790950"/>
                          </a:xfrm>
                          <a:prstGeom prst="rect">
                            <a:avLst/>
                          </a:prstGeom>
                        </pic:spPr>
                      </pic:pic>
                    </a:graphicData>
                  </a:graphic>
                </wp:inline>
              </w:drawing>
            </w:r>
          </w:p>
          <w:p>
            <w:pPr>
              <w:pStyle w:val="31"/>
              <w:bidi w:val="0"/>
              <w:jc w:val="center"/>
              <w:rPr>
                <w:rFonts w:hint="default"/>
                <w:b/>
                <w:bCs/>
              </w:rPr>
            </w:pPr>
            <w:r>
              <w:rPr>
                <w:b/>
                <w:bCs/>
              </w:rPr>
              <w:t>图</w:t>
            </w:r>
            <w:r>
              <w:rPr>
                <w:rFonts w:hint="eastAsia"/>
                <w:b/>
                <w:bCs/>
                <w:lang w:val="en-US" w:eastAsia="zh-CN"/>
              </w:rPr>
              <w:t xml:space="preserve">2-4 </w:t>
            </w:r>
            <w:r>
              <w:rPr>
                <w:b/>
                <w:bCs/>
              </w:rPr>
              <w:t xml:space="preserve"> </w:t>
            </w:r>
            <w:r>
              <w:rPr>
                <w:rFonts w:hint="eastAsia"/>
                <w:b/>
                <w:bCs/>
              </w:rPr>
              <w:t xml:space="preserve"> </w:t>
            </w:r>
            <w:r>
              <w:rPr>
                <w:rFonts w:hint="default"/>
                <w:b/>
                <w:bCs/>
              </w:rPr>
              <w:t>运营期</w:t>
            </w:r>
            <w:r>
              <w:rPr>
                <w:rFonts w:hint="eastAsia"/>
                <w:b/>
                <w:bCs/>
                <w:lang w:val="en-US" w:eastAsia="zh-CN"/>
              </w:rPr>
              <w:t>水稳料</w:t>
            </w:r>
            <w:r>
              <w:rPr>
                <w:rFonts w:hint="default"/>
                <w:b/>
                <w:bCs/>
              </w:rPr>
              <w:t>工艺流程及产污环节图</w:t>
            </w:r>
          </w:p>
          <w:p>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leftChars="0" w:right="0" w:firstLine="482" w:firstLineChars="200"/>
              <w:jc w:val="left"/>
              <w:rPr>
                <w:rFonts w:hint="eastAsia"/>
                <w:b/>
                <w:bCs/>
                <w:lang w:val="en-US" w:eastAsia="zh-CN"/>
              </w:rPr>
            </w:pPr>
            <w:r>
              <w:rPr>
                <w:rFonts w:hint="eastAsia"/>
                <w:b/>
                <w:bCs/>
                <w:lang w:eastAsia="zh-CN"/>
              </w:rPr>
              <w:t>水稳料</w:t>
            </w:r>
            <w:r>
              <w:rPr>
                <w:rFonts w:hint="default"/>
                <w:b/>
                <w:bCs/>
              </w:rPr>
              <w:t>工艺流程说明：</w:t>
            </w:r>
            <w:r>
              <w:rPr>
                <w:rFonts w:hint="eastAsia"/>
                <w:b/>
                <w:bCs/>
                <w:lang w:val="en-US" w:eastAsia="zh-CN"/>
              </w:rPr>
              <w:t xml:space="preserve"> </w:t>
            </w:r>
          </w:p>
          <w:p>
            <w:pPr>
              <w:bidi w:val="0"/>
              <w:rPr>
                <w:rFonts w:hint="default"/>
                <w:lang w:val="en-US" w:eastAsia="zh-CN"/>
              </w:rPr>
            </w:pPr>
            <w:r>
              <w:rPr>
                <w:rFonts w:hint="default"/>
                <w:lang w:val="en-US" w:eastAsia="zh-CN"/>
              </w:rPr>
              <w:t>水稳料生产线工艺流程主要由原料储存、原料计量、搅拌放料工序组成</w:t>
            </w:r>
          </w:p>
          <w:p>
            <w:pPr>
              <w:bidi w:val="0"/>
              <w:rPr>
                <w:rFonts w:hint="default"/>
                <w:lang w:val="en-US" w:eastAsia="zh-CN"/>
              </w:rPr>
            </w:pPr>
            <w:r>
              <w:rPr>
                <w:rFonts w:hint="eastAsia"/>
                <w:lang w:val="en-US" w:eastAsia="zh-CN"/>
              </w:rPr>
              <w:t>（1）</w:t>
            </w:r>
            <w:r>
              <w:rPr>
                <w:rFonts w:hint="default"/>
                <w:lang w:val="en-US" w:eastAsia="zh-CN"/>
              </w:rPr>
              <w:t>原料储存</w:t>
            </w:r>
          </w:p>
          <w:p>
            <w:pPr>
              <w:bidi w:val="0"/>
              <w:rPr>
                <w:rFonts w:hint="default"/>
                <w:lang w:val="en-US" w:eastAsia="zh-CN"/>
              </w:rPr>
            </w:pPr>
            <w:r>
              <w:rPr>
                <w:rFonts w:hint="default"/>
                <w:lang w:val="en-US" w:eastAsia="zh-CN"/>
              </w:rPr>
              <w:t>水泥采用密闭罐车运至厂区，使用专用输粉管将罐车中的粉料输送到水泥筒仓内储存，碎石经汽车从</w:t>
            </w:r>
            <w:r>
              <w:rPr>
                <w:rFonts w:hint="eastAsia"/>
                <w:lang w:val="en-US" w:eastAsia="zh-CN"/>
              </w:rPr>
              <w:t>厂区</w:t>
            </w:r>
            <w:r>
              <w:rPr>
                <w:rFonts w:hint="default"/>
                <w:lang w:val="en-US" w:eastAsia="zh-CN"/>
              </w:rPr>
              <w:t>外运至</w:t>
            </w:r>
            <w:r>
              <w:rPr>
                <w:rFonts w:hint="eastAsia"/>
                <w:lang w:val="en-US" w:eastAsia="zh-CN"/>
              </w:rPr>
              <w:t>厂区</w:t>
            </w:r>
            <w:r>
              <w:rPr>
                <w:rFonts w:hint="default"/>
                <w:lang w:val="en-US" w:eastAsia="zh-CN"/>
              </w:rPr>
              <w:t>料场内原料堆放场储存。此工序主要产生粉尘。</w:t>
            </w:r>
          </w:p>
          <w:p>
            <w:pPr>
              <w:bidi w:val="0"/>
              <w:rPr>
                <w:rFonts w:hint="default"/>
                <w:lang w:val="en-US" w:eastAsia="zh-CN"/>
              </w:rPr>
            </w:pPr>
            <w:r>
              <w:rPr>
                <w:rFonts w:hint="eastAsia"/>
                <w:lang w:val="en-US" w:eastAsia="zh-CN"/>
              </w:rPr>
              <w:t>（2）</w:t>
            </w:r>
            <w:r>
              <w:rPr>
                <w:rFonts w:hint="default"/>
                <w:lang w:val="en-US" w:eastAsia="zh-CN"/>
              </w:rPr>
              <w:t>计量、配料</w:t>
            </w:r>
          </w:p>
          <w:p>
            <w:pPr>
              <w:bidi w:val="0"/>
              <w:rPr>
                <w:rFonts w:hint="default"/>
                <w:lang w:val="en-US" w:eastAsia="zh-CN"/>
              </w:rPr>
            </w:pPr>
            <w:r>
              <w:rPr>
                <w:rFonts w:hint="default"/>
                <w:lang w:val="en-US" w:eastAsia="zh-CN"/>
              </w:rPr>
              <w:t>石粉、碎石原料通过铲车上料至料斗，经计量后皮带运输送进入搅拌机</w:t>
            </w:r>
            <w:r>
              <w:rPr>
                <w:rFonts w:hint="eastAsia"/>
                <w:lang w:val="en-US" w:eastAsia="zh-CN"/>
              </w:rPr>
              <w:t>，</w:t>
            </w:r>
            <w:r>
              <w:rPr>
                <w:rFonts w:hint="default"/>
                <w:lang w:val="en-US" w:eastAsia="zh-CN"/>
              </w:rPr>
              <w:t>水泥由位于筒库底部的出料口由重力作用经出料口放出，出料口与密闭螺旋输送机连接，原料由螺旋输送机通过密闭管道送至密闭电子计量称内，经电子计量后</w:t>
            </w:r>
            <w:r>
              <w:rPr>
                <w:rFonts w:hint="eastAsia"/>
                <w:lang w:val="en-US" w:eastAsia="zh-CN"/>
              </w:rPr>
              <w:t>，</w:t>
            </w:r>
            <w:r>
              <w:rPr>
                <w:rFonts w:hint="default"/>
                <w:lang w:val="en-US" w:eastAsia="zh-CN"/>
              </w:rPr>
              <w:t>由计量称底部出料口经物料溜管送入搅拌机内</w:t>
            </w:r>
            <w:r>
              <w:rPr>
                <w:rFonts w:hint="eastAsia"/>
                <w:lang w:val="en-US" w:eastAsia="zh-CN"/>
              </w:rPr>
              <w:t>，</w:t>
            </w:r>
            <w:r>
              <w:rPr>
                <w:rFonts w:hint="default"/>
                <w:lang w:val="en-US" w:eastAsia="zh-CN"/>
              </w:rPr>
              <w:t>水则通过泵送计量添加至搅拌机内。搅拌机设置在密闭的厂房内，皮带输送机、物料溜管均为封闭装置。此工序主要产生粉尘、噪声。</w:t>
            </w:r>
          </w:p>
          <w:p>
            <w:pPr>
              <w:bidi w:val="0"/>
              <w:rPr>
                <w:rFonts w:hint="default"/>
                <w:lang w:val="en-US" w:eastAsia="zh-CN"/>
              </w:rPr>
            </w:pPr>
            <w:r>
              <w:rPr>
                <w:rFonts w:hint="eastAsia"/>
                <w:lang w:val="en-US" w:eastAsia="zh-CN"/>
              </w:rPr>
              <w:t>（3）</w:t>
            </w:r>
            <w:r>
              <w:rPr>
                <w:rFonts w:hint="default"/>
                <w:lang w:val="en-US" w:eastAsia="zh-CN"/>
              </w:rPr>
              <w:t>搅拌放料</w:t>
            </w:r>
          </w:p>
          <w:p>
            <w:pPr>
              <w:bidi w:val="0"/>
              <w:rPr>
                <w:rFonts w:hint="default"/>
                <w:lang w:val="en-US" w:eastAsia="zh-CN"/>
              </w:rPr>
            </w:pPr>
            <w:r>
              <w:rPr>
                <w:rFonts w:hint="default"/>
                <w:lang w:val="en-US" w:eastAsia="zh-CN"/>
              </w:rPr>
              <w:t>已按一定比例配比好的石粉、碎石、水泥、水等在搅拌机中搅拌混匀，搅拌完成后由出料口经重力作用直接下泄到罐车内，直接运出厂。本项目搅拌机采用湿法作业，粉尘产生量较小。</w:t>
            </w:r>
          </w:p>
          <w:p>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482" w:firstLineChars="200"/>
              <w:jc w:val="left"/>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产污流程说明：</w:t>
            </w:r>
          </w:p>
          <w:p>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right="0"/>
              <w:jc w:val="left"/>
              <w:rPr>
                <w:rFonts w:hint="eastAsia"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项目产污流程具体如下表2-8。</w:t>
            </w:r>
          </w:p>
          <w:p>
            <w:pPr>
              <w:pStyle w:val="30"/>
              <w:bidi w:val="0"/>
              <w:rPr>
                <w:rFonts w:hint="default"/>
                <w:b/>
                <w:bCs/>
                <w:lang w:val="en-US" w:eastAsia="zh-CN"/>
              </w:rPr>
            </w:pPr>
            <w:r>
              <w:rPr>
                <w:rFonts w:hint="eastAsia"/>
                <w:b/>
                <w:bCs/>
                <w:lang w:val="en-US" w:eastAsia="zh-CN"/>
              </w:rPr>
              <w:t xml:space="preserve">表2-8-   </w:t>
            </w:r>
            <w:r>
              <w:rPr>
                <w:rFonts w:hint="eastAsia"/>
                <w:b/>
                <w:bCs/>
              </w:rPr>
              <w:t>产排污情况</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997"/>
              <w:gridCol w:w="2670"/>
              <w:gridCol w:w="2138"/>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3" w:type="pct"/>
                  <w:noWrap w:val="0"/>
                  <w:vAlign w:val="center"/>
                </w:tcPr>
                <w:p>
                  <w:pPr>
                    <w:pStyle w:val="30"/>
                    <w:bidi w:val="0"/>
                    <w:ind w:left="0" w:leftChars="0" w:right="0" w:rightChars="0" w:firstLine="0" w:firstLineChars="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序号</w:t>
                  </w:r>
                </w:p>
              </w:tc>
              <w:tc>
                <w:tcPr>
                  <w:tcW w:w="625" w:type="pct"/>
                  <w:noWrap w:val="0"/>
                  <w:vAlign w:val="center"/>
                </w:tcPr>
                <w:p>
                  <w:pPr>
                    <w:pStyle w:val="30"/>
                    <w:bidi w:val="0"/>
                    <w:ind w:left="0" w:leftChars="0" w:right="0" w:rightChars="0" w:firstLine="0" w:firstLineChars="0"/>
                    <w:jc w:val="center"/>
                    <w:rPr>
                      <w:rFonts w:hint="default" w:ascii="Times New Roman" w:hAnsi="Times New Roman" w:cs="Times New Roman"/>
                      <w:b/>
                      <w:bCs/>
                      <w:sz w:val="21"/>
                      <w:szCs w:val="21"/>
                    </w:rPr>
                  </w:pPr>
                  <w:r>
                    <w:rPr>
                      <w:rFonts w:hint="default" w:ascii="Times New Roman" w:hAnsi="Times New Roman" w:cs="Times New Roman"/>
                      <w:b/>
                      <w:bCs/>
                      <w:sz w:val="21"/>
                      <w:szCs w:val="21"/>
                    </w:rPr>
                    <w:t>污染物类别</w:t>
                  </w:r>
                </w:p>
              </w:tc>
              <w:tc>
                <w:tcPr>
                  <w:tcW w:w="1675" w:type="pct"/>
                  <w:noWrap w:val="0"/>
                  <w:vAlign w:val="center"/>
                </w:tcPr>
                <w:p>
                  <w:pPr>
                    <w:pStyle w:val="30"/>
                    <w:bidi w:val="0"/>
                    <w:ind w:left="0" w:leftChars="0" w:right="0" w:rightChars="0" w:firstLine="0" w:firstLineChars="0"/>
                    <w:jc w:val="center"/>
                    <w:rPr>
                      <w:rFonts w:hint="default" w:ascii="Times New Roman" w:hAnsi="Times New Roman" w:cs="Times New Roman"/>
                      <w:b/>
                      <w:bCs/>
                      <w:sz w:val="21"/>
                      <w:szCs w:val="21"/>
                    </w:rPr>
                  </w:pPr>
                  <w:r>
                    <w:rPr>
                      <w:rFonts w:hint="default" w:ascii="Times New Roman" w:hAnsi="Times New Roman" w:cs="Times New Roman"/>
                      <w:b/>
                      <w:bCs/>
                      <w:sz w:val="21"/>
                      <w:szCs w:val="21"/>
                    </w:rPr>
                    <w:t>产排污环节</w:t>
                  </w:r>
                </w:p>
              </w:tc>
              <w:tc>
                <w:tcPr>
                  <w:tcW w:w="1341" w:type="pct"/>
                  <w:noWrap w:val="0"/>
                  <w:vAlign w:val="center"/>
                </w:tcPr>
                <w:p>
                  <w:pPr>
                    <w:pStyle w:val="30"/>
                    <w:bidi w:val="0"/>
                    <w:ind w:left="0" w:leftChars="0" w:right="0" w:rightChars="0" w:firstLine="0" w:firstLineChars="0"/>
                    <w:jc w:val="center"/>
                    <w:rPr>
                      <w:rFonts w:hint="default" w:ascii="Times New Roman" w:hAnsi="Times New Roman" w:cs="Times New Roman"/>
                      <w:b/>
                      <w:bCs/>
                      <w:sz w:val="21"/>
                      <w:szCs w:val="21"/>
                    </w:rPr>
                  </w:pPr>
                  <w:r>
                    <w:rPr>
                      <w:rFonts w:hint="default" w:ascii="Times New Roman" w:hAnsi="Times New Roman" w:cs="Times New Roman"/>
                      <w:b/>
                      <w:bCs/>
                      <w:sz w:val="21"/>
                      <w:szCs w:val="21"/>
                    </w:rPr>
                    <w:t>污染物名称</w:t>
                  </w:r>
                </w:p>
              </w:tc>
              <w:tc>
                <w:tcPr>
                  <w:tcW w:w="944" w:type="pct"/>
                  <w:noWrap w:val="0"/>
                  <w:vAlign w:val="center"/>
                </w:tcPr>
                <w:p>
                  <w:pPr>
                    <w:pStyle w:val="30"/>
                    <w:bidi w:val="0"/>
                    <w:ind w:left="0" w:leftChars="0" w:right="0" w:rightChars="0" w:firstLine="0" w:firstLineChars="0"/>
                    <w:jc w:val="center"/>
                    <w:rPr>
                      <w:rFonts w:hint="default" w:ascii="Times New Roman" w:hAnsi="Times New Roman" w:cs="Times New Roman"/>
                      <w:b/>
                      <w:bCs/>
                      <w:sz w:val="21"/>
                      <w:szCs w:val="21"/>
                    </w:rPr>
                  </w:pPr>
                  <w:r>
                    <w:rPr>
                      <w:rFonts w:hint="default" w:ascii="Times New Roman" w:hAnsi="Times New Roman" w:cs="Times New Roman"/>
                      <w:b/>
                      <w:bCs/>
                      <w:sz w:val="21"/>
                      <w:szCs w:val="21"/>
                    </w:rPr>
                    <w:t>污染物因子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3" w:type="pct"/>
                  <w:vMerge w:val="restar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rPr>
                    <w:t>1</w:t>
                  </w:r>
                </w:p>
              </w:tc>
              <w:tc>
                <w:tcPr>
                  <w:tcW w:w="625" w:type="pct"/>
                  <w:vMerge w:val="restar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废气</w:t>
                  </w:r>
                </w:p>
              </w:tc>
              <w:tc>
                <w:tcPr>
                  <w:tcW w:w="1675"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砂石料堆场装卸堆存上料</w:t>
                  </w:r>
                </w:p>
              </w:tc>
              <w:tc>
                <w:tcPr>
                  <w:tcW w:w="1341"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粉尘</w:t>
                  </w:r>
                </w:p>
              </w:tc>
              <w:tc>
                <w:tcPr>
                  <w:tcW w:w="944"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3" w:type="pct"/>
                  <w:vMerge w:val="continue"/>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rPr>
                  </w:pPr>
                </w:p>
              </w:tc>
              <w:tc>
                <w:tcPr>
                  <w:tcW w:w="625" w:type="pct"/>
                  <w:vMerge w:val="continue"/>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rPr>
                  </w:pPr>
                </w:p>
              </w:tc>
              <w:tc>
                <w:tcPr>
                  <w:tcW w:w="1675"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筒库口</w:t>
                  </w:r>
                  <w:r>
                    <w:rPr>
                      <w:rFonts w:hint="default" w:ascii="Times New Roman" w:hAnsi="Times New Roman" w:cs="Times New Roman"/>
                      <w:sz w:val="21"/>
                      <w:szCs w:val="21"/>
                      <w:lang w:val="en-US" w:eastAsia="zh-CN"/>
                    </w:rPr>
                    <w:t>上料</w:t>
                  </w:r>
                </w:p>
              </w:tc>
              <w:tc>
                <w:tcPr>
                  <w:tcW w:w="1341"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粉尘</w:t>
                  </w:r>
                </w:p>
              </w:tc>
              <w:tc>
                <w:tcPr>
                  <w:tcW w:w="944"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3" w:type="pct"/>
                  <w:vMerge w:val="continue"/>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rPr>
                  </w:pPr>
                </w:p>
              </w:tc>
              <w:tc>
                <w:tcPr>
                  <w:tcW w:w="625" w:type="pct"/>
                  <w:vMerge w:val="continue"/>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rPr>
                  </w:pPr>
                </w:p>
              </w:tc>
              <w:tc>
                <w:tcPr>
                  <w:tcW w:w="1675"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廊道运输</w:t>
                  </w:r>
                </w:p>
              </w:tc>
              <w:tc>
                <w:tcPr>
                  <w:tcW w:w="1341"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粉尘</w:t>
                  </w:r>
                </w:p>
              </w:tc>
              <w:tc>
                <w:tcPr>
                  <w:tcW w:w="944"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3" w:type="pct"/>
                  <w:vMerge w:val="continue"/>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rPr>
                  </w:pPr>
                </w:p>
              </w:tc>
              <w:tc>
                <w:tcPr>
                  <w:tcW w:w="625" w:type="pct"/>
                  <w:vMerge w:val="continue"/>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rPr>
                  </w:pPr>
                </w:p>
              </w:tc>
              <w:tc>
                <w:tcPr>
                  <w:tcW w:w="1675"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r>
                    <w:rPr>
                      <w:rFonts w:hint="default" w:ascii="Times New Roman" w:hAnsi="Times New Roman" w:eastAsia="宋体" w:cs="Times New Roman"/>
                      <w:sz w:val="21"/>
                      <w:szCs w:val="21"/>
                    </w:rPr>
                    <w:t>搅拌主机</w:t>
                  </w:r>
                </w:p>
              </w:tc>
              <w:tc>
                <w:tcPr>
                  <w:tcW w:w="1341"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粉尘</w:t>
                  </w:r>
                </w:p>
              </w:tc>
              <w:tc>
                <w:tcPr>
                  <w:tcW w:w="944" w:type="pct"/>
                  <w:tcBorders>
                    <w:tl2br w:val="nil"/>
                    <w:tr2bl w:val="nil"/>
                  </w:tcBorders>
                  <w:noWrap w:val="0"/>
                  <w:vAlign w:val="center"/>
                </w:tcPr>
                <w:p>
                  <w:pPr>
                    <w:pStyle w:val="30"/>
                    <w:bidi w:val="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413" w:type="pct"/>
                  <w:vMerge w:val="continue"/>
                  <w:tcBorders>
                    <w:tl2br w:val="nil"/>
                    <w:tr2bl w:val="nil"/>
                  </w:tcBorders>
                  <w:noWrap w:val="0"/>
                  <w:vAlign w:val="center"/>
                </w:tcPr>
                <w:p>
                  <w:pPr>
                    <w:pStyle w:val="30"/>
                    <w:bidi w:val="0"/>
                    <w:rPr>
                      <w:rFonts w:hint="default" w:ascii="Times New Roman" w:hAnsi="Times New Roman" w:cs="Times New Roman"/>
                      <w:sz w:val="21"/>
                      <w:szCs w:val="21"/>
                    </w:rPr>
                  </w:pPr>
                </w:p>
              </w:tc>
              <w:tc>
                <w:tcPr>
                  <w:tcW w:w="625" w:type="pct"/>
                  <w:vMerge w:val="continue"/>
                  <w:tcBorders>
                    <w:tl2br w:val="nil"/>
                    <w:tr2bl w:val="nil"/>
                  </w:tcBorders>
                  <w:noWrap w:val="0"/>
                  <w:vAlign w:val="center"/>
                </w:tcPr>
                <w:p>
                  <w:pPr>
                    <w:pStyle w:val="30"/>
                    <w:bidi w:val="0"/>
                    <w:rPr>
                      <w:rFonts w:hint="default" w:ascii="Times New Roman" w:hAnsi="Times New Roman" w:cs="Times New Roman"/>
                      <w:sz w:val="21"/>
                      <w:szCs w:val="21"/>
                    </w:rPr>
                  </w:pPr>
                </w:p>
              </w:tc>
              <w:tc>
                <w:tcPr>
                  <w:tcW w:w="1675" w:type="pct"/>
                  <w:tcBorders>
                    <w:tl2br w:val="nil"/>
                    <w:tr2bl w:val="nil"/>
                  </w:tcBorders>
                  <w:noWrap w:val="0"/>
                  <w:vAlign w:val="center"/>
                </w:tcPr>
                <w:p>
                  <w:pPr>
                    <w:pStyle w:val="30"/>
                    <w:bidi w:val="0"/>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车辆运输</w:t>
                  </w:r>
                  <w:r>
                    <w:rPr>
                      <w:rFonts w:hint="default" w:ascii="Times New Roman" w:hAnsi="Times New Roman" w:cs="Times New Roman"/>
                      <w:sz w:val="21"/>
                      <w:szCs w:val="21"/>
                      <w:lang w:eastAsia="zh-CN"/>
                    </w:rPr>
                    <w:t>扬尘</w:t>
                  </w:r>
                </w:p>
              </w:tc>
              <w:tc>
                <w:tcPr>
                  <w:tcW w:w="1341" w:type="pct"/>
                  <w:tcBorders>
                    <w:tl2br w:val="nil"/>
                    <w:tr2bl w:val="nil"/>
                  </w:tcBorders>
                  <w:noWrap w:val="0"/>
                  <w:vAlign w:val="center"/>
                </w:tcPr>
                <w:p>
                  <w:pPr>
                    <w:pStyle w:val="30"/>
                    <w:bidi w:val="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粉尘</w:t>
                  </w:r>
                </w:p>
              </w:tc>
              <w:tc>
                <w:tcPr>
                  <w:tcW w:w="944" w:type="pct"/>
                  <w:tcBorders>
                    <w:tl2br w:val="nil"/>
                    <w:tr2bl w:val="nil"/>
                  </w:tcBorders>
                  <w:noWrap w:val="0"/>
                  <w:vAlign w:val="center"/>
                </w:tcPr>
                <w:p>
                  <w:pPr>
                    <w:pStyle w:val="30"/>
                    <w:bidi w:val="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413" w:type="pct"/>
                  <w:vMerge w:val="continue"/>
                  <w:tcBorders>
                    <w:tl2br w:val="nil"/>
                    <w:tr2bl w:val="nil"/>
                  </w:tcBorders>
                  <w:noWrap w:val="0"/>
                  <w:vAlign w:val="center"/>
                </w:tcPr>
                <w:p>
                  <w:pPr>
                    <w:pStyle w:val="30"/>
                    <w:bidi w:val="0"/>
                    <w:rPr>
                      <w:rFonts w:hint="default" w:ascii="Times New Roman" w:hAnsi="Times New Roman" w:cs="Times New Roman"/>
                      <w:sz w:val="21"/>
                      <w:szCs w:val="21"/>
                    </w:rPr>
                  </w:pPr>
                </w:p>
              </w:tc>
              <w:tc>
                <w:tcPr>
                  <w:tcW w:w="625" w:type="pct"/>
                  <w:vMerge w:val="continue"/>
                  <w:tcBorders>
                    <w:tl2br w:val="nil"/>
                    <w:tr2bl w:val="nil"/>
                  </w:tcBorders>
                  <w:noWrap w:val="0"/>
                  <w:vAlign w:val="center"/>
                </w:tcPr>
                <w:p>
                  <w:pPr>
                    <w:pStyle w:val="30"/>
                    <w:bidi w:val="0"/>
                    <w:rPr>
                      <w:rFonts w:hint="default" w:ascii="Times New Roman" w:hAnsi="Times New Roman" w:cs="Times New Roman"/>
                      <w:sz w:val="21"/>
                      <w:szCs w:val="21"/>
                    </w:rPr>
                  </w:pPr>
                </w:p>
              </w:tc>
              <w:tc>
                <w:tcPr>
                  <w:tcW w:w="1675" w:type="pct"/>
                  <w:tcBorders>
                    <w:tl2br w:val="nil"/>
                    <w:tr2bl w:val="nil"/>
                  </w:tcBorders>
                  <w:noWrap w:val="0"/>
                  <w:vAlign w:val="center"/>
                </w:tcPr>
                <w:p>
                  <w:pPr>
                    <w:pStyle w:val="30"/>
                    <w:bidi w:val="0"/>
                    <w:rPr>
                      <w:rFonts w:hint="default" w:ascii="Times New Roman" w:hAnsi="Times New Roman" w:eastAsia="宋体" w:cs="Times New Roman"/>
                      <w:sz w:val="21"/>
                      <w:szCs w:val="21"/>
                      <w:lang w:val="en-US" w:eastAsia="zh-CN"/>
                    </w:rPr>
                  </w:pPr>
                  <w:r>
                    <w:rPr>
                      <w:rFonts w:hint="eastAsia" w:cs="Times New Roman"/>
                      <w:sz w:val="21"/>
                      <w:szCs w:val="21"/>
                      <w:lang w:val="en-US" w:eastAsia="zh-CN"/>
                    </w:rPr>
                    <w:t>食堂</w:t>
                  </w:r>
                </w:p>
              </w:tc>
              <w:tc>
                <w:tcPr>
                  <w:tcW w:w="1341" w:type="pct"/>
                  <w:tcBorders>
                    <w:tl2br w:val="nil"/>
                    <w:tr2bl w:val="nil"/>
                  </w:tcBorders>
                  <w:noWrap w:val="0"/>
                  <w:vAlign w:val="center"/>
                </w:tcPr>
                <w:p>
                  <w:pPr>
                    <w:pStyle w:val="30"/>
                    <w:bidi w:val="0"/>
                    <w:rPr>
                      <w:rFonts w:hint="default" w:ascii="Times New Roman" w:hAnsi="Times New Roman" w:cs="Times New Roman"/>
                      <w:sz w:val="21"/>
                      <w:szCs w:val="21"/>
                      <w:lang w:val="en-US" w:eastAsia="zh-CN"/>
                    </w:rPr>
                  </w:pPr>
                  <w:r>
                    <w:rPr>
                      <w:rFonts w:hint="eastAsia" w:cs="Times New Roman"/>
                      <w:sz w:val="21"/>
                      <w:szCs w:val="21"/>
                      <w:lang w:val="en-US" w:eastAsia="zh-CN"/>
                    </w:rPr>
                    <w:t>食堂油烟</w:t>
                  </w:r>
                </w:p>
              </w:tc>
              <w:tc>
                <w:tcPr>
                  <w:tcW w:w="944" w:type="pct"/>
                  <w:tcBorders>
                    <w:tl2br w:val="nil"/>
                    <w:tr2bl w:val="nil"/>
                  </w:tcBorders>
                  <w:noWrap w:val="0"/>
                  <w:vAlign w:val="center"/>
                </w:tcPr>
                <w:p>
                  <w:pPr>
                    <w:pStyle w:val="30"/>
                    <w:bidi w:val="0"/>
                    <w:rPr>
                      <w:rFonts w:hint="default" w:ascii="Times New Roman" w:hAnsi="Times New Roman" w:cs="Times New Roman"/>
                      <w:sz w:val="21"/>
                      <w:szCs w:val="21"/>
                      <w:lang w:val="en-US" w:eastAsia="zh-CN"/>
                    </w:rPr>
                  </w:pPr>
                  <w:r>
                    <w:rPr>
                      <w:rFonts w:hint="eastAsia" w:cs="Times New Roman"/>
                      <w:sz w:val="21"/>
                      <w:szCs w:val="21"/>
                      <w:lang w:val="en-US" w:eastAsia="zh-CN"/>
                    </w:rPr>
                    <w:t>食堂油烟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13" w:type="pct"/>
                  <w:vMerge w:val="restar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w:t>
                  </w:r>
                </w:p>
              </w:tc>
              <w:tc>
                <w:tcPr>
                  <w:tcW w:w="625" w:type="pct"/>
                  <w:vMerge w:val="restar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rPr>
                    <w:t>固废</w:t>
                  </w:r>
                </w:p>
              </w:tc>
              <w:tc>
                <w:tcPr>
                  <w:tcW w:w="1675"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人员生活</w:t>
                  </w:r>
                </w:p>
              </w:tc>
              <w:tc>
                <w:tcPr>
                  <w:tcW w:w="1341"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生活垃圾</w:t>
                  </w:r>
                </w:p>
              </w:tc>
              <w:tc>
                <w:tcPr>
                  <w:tcW w:w="944"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413" w:type="pct"/>
                  <w:vMerge w:val="continue"/>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p>
              </w:tc>
              <w:tc>
                <w:tcPr>
                  <w:tcW w:w="625" w:type="pct"/>
                  <w:vMerge w:val="continue"/>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rPr>
                  </w:pPr>
                </w:p>
              </w:tc>
              <w:tc>
                <w:tcPr>
                  <w:tcW w:w="1675"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除尘器收集的粉尘</w:t>
                  </w:r>
                </w:p>
              </w:tc>
              <w:tc>
                <w:tcPr>
                  <w:tcW w:w="1341"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除尘器收集的粉尘</w:t>
                  </w:r>
                </w:p>
              </w:tc>
              <w:tc>
                <w:tcPr>
                  <w:tcW w:w="944"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一般固废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13" w:type="pct"/>
                  <w:vMerge w:val="continue"/>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p>
              </w:tc>
              <w:tc>
                <w:tcPr>
                  <w:tcW w:w="625" w:type="pct"/>
                  <w:vMerge w:val="continue"/>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rPr>
                  </w:pPr>
                </w:p>
              </w:tc>
              <w:tc>
                <w:tcPr>
                  <w:tcW w:w="1675"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沉淀池沉渣</w:t>
                  </w:r>
                </w:p>
              </w:tc>
              <w:tc>
                <w:tcPr>
                  <w:tcW w:w="1341"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废渣</w:t>
                  </w:r>
                </w:p>
              </w:tc>
              <w:tc>
                <w:tcPr>
                  <w:tcW w:w="944"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一般固废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13" w:type="pct"/>
                  <w:vMerge w:val="continue"/>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p>
              </w:tc>
              <w:tc>
                <w:tcPr>
                  <w:tcW w:w="625" w:type="pct"/>
                  <w:vMerge w:val="continue"/>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rPr>
                  </w:pPr>
                </w:p>
              </w:tc>
              <w:tc>
                <w:tcPr>
                  <w:tcW w:w="1675"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维修</w:t>
                  </w:r>
                  <w:r>
                    <w:rPr>
                      <w:rFonts w:hint="eastAsia" w:cs="Times New Roman"/>
                      <w:sz w:val="21"/>
                      <w:szCs w:val="21"/>
                      <w:lang w:val="en-US" w:eastAsia="zh-CN"/>
                    </w:rPr>
                    <w:t>、保养</w:t>
                  </w:r>
                </w:p>
              </w:tc>
              <w:tc>
                <w:tcPr>
                  <w:tcW w:w="1341"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废矿物油</w:t>
                  </w:r>
                  <w:r>
                    <w:rPr>
                      <w:rFonts w:hint="eastAsia" w:cs="Times New Roman"/>
                      <w:sz w:val="21"/>
                      <w:szCs w:val="21"/>
                      <w:lang w:val="en-US" w:eastAsia="zh-CN"/>
                    </w:rPr>
                    <w:t>、含油</w:t>
                  </w:r>
                  <w:r>
                    <w:rPr>
                      <w:rFonts w:hint="default" w:ascii="Times New Roman" w:hAnsi="Times New Roman" w:cs="Times New Roman"/>
                      <w:sz w:val="21"/>
                      <w:szCs w:val="21"/>
                    </w:rPr>
                    <w:t>废劳保用品</w:t>
                  </w:r>
                </w:p>
              </w:tc>
              <w:tc>
                <w:tcPr>
                  <w:tcW w:w="944"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3"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w:t>
                  </w:r>
                </w:p>
              </w:tc>
              <w:tc>
                <w:tcPr>
                  <w:tcW w:w="625"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噪声</w:t>
                  </w:r>
                </w:p>
              </w:tc>
              <w:tc>
                <w:tcPr>
                  <w:tcW w:w="1675"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机械运行、电机运行、物料搅拌等</w:t>
                  </w:r>
                </w:p>
              </w:tc>
              <w:tc>
                <w:tcPr>
                  <w:tcW w:w="1341"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噪声</w:t>
                  </w:r>
                </w:p>
              </w:tc>
              <w:tc>
                <w:tcPr>
                  <w:tcW w:w="944"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等效A声级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3" w:type="pct"/>
                  <w:vMerge w:val="restar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w:t>
                  </w:r>
                </w:p>
              </w:tc>
              <w:tc>
                <w:tcPr>
                  <w:tcW w:w="625" w:type="pct"/>
                  <w:vMerge w:val="restar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废水</w:t>
                  </w:r>
                </w:p>
              </w:tc>
              <w:tc>
                <w:tcPr>
                  <w:tcW w:w="1675"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r>
                    <w:rPr>
                      <w:rFonts w:hint="eastAsia" w:cs="Times New Roman"/>
                      <w:sz w:val="21"/>
                      <w:szCs w:val="21"/>
                      <w:lang w:val="en-US" w:eastAsia="zh-CN"/>
                    </w:rPr>
                    <w:t>设备及车辆冲洗</w:t>
                  </w:r>
                </w:p>
              </w:tc>
              <w:tc>
                <w:tcPr>
                  <w:tcW w:w="1341"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r>
                    <w:rPr>
                      <w:rFonts w:hint="eastAsia" w:cs="Times New Roman"/>
                      <w:sz w:val="21"/>
                      <w:szCs w:val="21"/>
                      <w:lang w:val="en-US" w:eastAsia="zh-CN"/>
                    </w:rPr>
                    <w:t>生产废水</w:t>
                  </w:r>
                </w:p>
              </w:tc>
              <w:tc>
                <w:tcPr>
                  <w:tcW w:w="944"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3" w:type="pct"/>
                  <w:vMerge w:val="continue"/>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p>
              </w:tc>
              <w:tc>
                <w:tcPr>
                  <w:tcW w:w="625" w:type="pct"/>
                  <w:vMerge w:val="continue"/>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p>
              </w:tc>
              <w:tc>
                <w:tcPr>
                  <w:tcW w:w="1675"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r>
                    <w:rPr>
                      <w:rFonts w:hint="eastAsia" w:cs="Times New Roman"/>
                      <w:sz w:val="21"/>
                      <w:szCs w:val="21"/>
                      <w:lang w:val="en-US" w:eastAsia="zh-CN"/>
                    </w:rPr>
                    <w:t>生活污水</w:t>
                  </w:r>
                </w:p>
              </w:tc>
              <w:tc>
                <w:tcPr>
                  <w:tcW w:w="1341"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r>
                    <w:rPr>
                      <w:rFonts w:hint="eastAsia" w:cs="Times New Roman"/>
                      <w:sz w:val="21"/>
                      <w:szCs w:val="21"/>
                      <w:lang w:val="en-US" w:eastAsia="zh-CN"/>
                    </w:rPr>
                    <w:t>生活污水</w:t>
                  </w:r>
                </w:p>
              </w:tc>
              <w:tc>
                <w:tcPr>
                  <w:tcW w:w="944" w:type="pct"/>
                  <w:tcBorders>
                    <w:tl2br w:val="nil"/>
                    <w:tr2bl w:val="nil"/>
                  </w:tcBorders>
                  <w:noWrap w:val="0"/>
                  <w:vAlign w:val="center"/>
                </w:tcPr>
                <w:p>
                  <w:pPr>
                    <w:pStyle w:val="30"/>
                    <w:bidi w:val="0"/>
                    <w:ind w:left="0" w:leftChars="0" w:right="0" w:rightChars="0" w:firstLine="0" w:firstLineChars="0"/>
                    <w:jc w:val="center"/>
                    <w:rPr>
                      <w:rFonts w:hint="default" w:ascii="Times New Roman" w:hAnsi="Times New Roman" w:cs="Times New Roman"/>
                      <w:sz w:val="21"/>
                      <w:szCs w:val="21"/>
                      <w:lang w:val="en-US" w:eastAsia="zh-CN"/>
                    </w:rPr>
                  </w:pPr>
                  <w:r>
                    <w:t>COD、</w:t>
                  </w:r>
                  <w:r>
                    <w:rPr>
                      <w:rFonts w:hint="eastAsia"/>
                      <w:lang w:val="en-US" w:eastAsia="zh-CN"/>
                    </w:rPr>
                    <w:t>BOD、</w:t>
                  </w:r>
                  <w:r>
                    <w:t>NH3-N、SS</w:t>
                  </w:r>
                </w:p>
              </w:tc>
            </w:tr>
          </w:tbl>
          <w:p>
            <w:pPr>
              <w:pStyle w:val="2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8" w:hRule="atLeast"/>
          <w:jc w:val="center"/>
        </w:trPr>
        <w:tc>
          <w:tcPr>
            <w:tcW w:w="864" w:type="dxa"/>
            <w:tcBorders>
              <w:tl2br w:val="nil"/>
              <w:tr2bl w:val="nil"/>
            </w:tcBorders>
            <w:noWrap w:val="0"/>
            <w:vAlign w:val="center"/>
          </w:tcPr>
          <w:p>
            <w:pPr>
              <w:pStyle w:val="31"/>
              <w:bidi w:val="0"/>
              <w:jc w:val="center"/>
              <w:rPr>
                <w:color w:val="auto"/>
              </w:rPr>
            </w:pPr>
            <w:r>
              <w:rPr>
                <w:rFonts w:hint="eastAsia"/>
                <w:color w:val="auto"/>
              </w:rPr>
              <w:t>与项目有关的原有环境污染问题</w:t>
            </w:r>
          </w:p>
        </w:tc>
        <w:tc>
          <w:tcPr>
            <w:tcW w:w="8197" w:type="dxa"/>
            <w:tcBorders>
              <w:tl2br w:val="nil"/>
              <w:tr2bl w:val="nil"/>
            </w:tcBorders>
            <w:noWrap w:val="0"/>
            <w:vAlign w:val="center"/>
          </w:tcPr>
          <w:p>
            <w:pPr>
              <w:bidi w:val="0"/>
              <w:rPr>
                <w:rFonts w:hint="default"/>
                <w:color w:val="auto"/>
                <w:lang w:val="en-US" w:eastAsia="zh-CN"/>
              </w:rPr>
            </w:pPr>
            <w:r>
              <w:rPr>
                <w:rFonts w:hint="eastAsia"/>
                <w:color w:val="auto"/>
                <w:lang w:val="en-US" w:eastAsia="zh-CN"/>
              </w:rPr>
              <w:t>根据现场踏勘，本项目属于迁建项目，原有托克逊县伟宏混凝土有限公司年产10万立方商品混凝土项目位于新疆维吾尔自治区托克逊县郭勒布依乡现代牧产业园区。项目区东、南侧为小黑羊畜牧基地(建设中)西侧为小黑羊畜牧基地，北侧为202省道。项目中心地</w:t>
            </w:r>
            <w:r>
              <w:rPr>
                <w:rFonts w:hint="default"/>
                <w:color w:val="auto"/>
                <w:lang w:val="en-US" w:eastAsia="zh-CN"/>
              </w:rPr>
              <w:t>理4标为:东经88°47’7”，北纬42°50’9"。</w:t>
            </w:r>
            <w:r>
              <w:rPr>
                <w:rFonts w:hint="eastAsia"/>
                <w:color w:val="auto"/>
                <w:lang w:val="en-US" w:eastAsia="zh-CN"/>
              </w:rPr>
              <w:t>该项目于2016年12月28日取的《托克逊</w:t>
            </w:r>
            <w:r>
              <w:rPr>
                <w:rFonts w:hint="default"/>
                <w:color w:val="auto"/>
                <w:lang w:val="en-US" w:eastAsia="zh-CN"/>
              </w:rPr>
              <w:t>县伟宏混凝土有限公司年产10万立方商品混凝土项目环境影响报告表的批复》托环〔2016〕36号</w:t>
            </w:r>
            <w:r>
              <w:rPr>
                <w:rFonts w:hint="eastAsia"/>
                <w:color w:val="auto"/>
                <w:lang w:val="en-US" w:eastAsia="zh-CN"/>
              </w:rPr>
              <w:t>，并于2022年5月15日完成竣工环境保护验收。本项目无原有环境污染问题。</w:t>
            </w:r>
          </w:p>
        </w:tc>
      </w:tr>
    </w:tbl>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3"/>
        <w:bidi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三、区域环境质量现状、环境保护目标及评价标准</w:t>
      </w:r>
    </w:p>
    <w:tbl>
      <w:tblPr>
        <w:tblStyle w:val="2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8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jc w:val="center"/>
        </w:trPr>
        <w:tc>
          <w:tcPr>
            <w:tcW w:w="905" w:type="dxa"/>
            <w:tcBorders>
              <w:tl2br w:val="nil"/>
              <w:tr2bl w:val="nil"/>
            </w:tcBorders>
            <w:noWrap w:val="0"/>
            <w:vAlign w:val="center"/>
          </w:tcPr>
          <w:p>
            <w:pPr>
              <w:pStyle w:val="31"/>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区域</w:t>
            </w:r>
          </w:p>
          <w:p>
            <w:pPr>
              <w:pStyle w:val="31"/>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环境</w:t>
            </w:r>
          </w:p>
          <w:p>
            <w:pPr>
              <w:pStyle w:val="31"/>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质量</w:t>
            </w:r>
          </w:p>
          <w:p>
            <w:pPr>
              <w:pStyle w:val="31"/>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现状</w:t>
            </w:r>
          </w:p>
        </w:tc>
        <w:tc>
          <w:tcPr>
            <w:tcW w:w="8449" w:type="dxa"/>
            <w:tcBorders>
              <w:tl2br w:val="nil"/>
              <w:tr2bl w:val="nil"/>
            </w:tcBorders>
            <w:noWrap w:val="0"/>
            <w:vAlign w:val="center"/>
          </w:tcPr>
          <w:p>
            <w:pPr>
              <w:keepNext/>
              <w:keepLines/>
              <w:numPr>
                <w:ilvl w:val="0"/>
                <w:numId w:val="0"/>
              </w:numPr>
              <w:suppressLineNumbers w:val="0"/>
              <w:spacing w:before="0" w:beforeAutospacing="0" w:after="0" w:afterAutospacing="0"/>
              <w:ind w:right="0" w:rightChars="0"/>
              <w:outlineLvl w:val="2"/>
              <w:rPr>
                <w:rFonts w:hint="eastAsia"/>
                <w:b/>
                <w:bCs/>
                <w:color w:val="000000" w:themeColor="text1"/>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1.</w:t>
            </w:r>
            <w:r>
              <w:rPr>
                <w:rFonts w:hint="eastAsia"/>
                <w:b/>
                <w:bCs/>
                <w:color w:val="000000" w:themeColor="text1"/>
                <w:sz w:val="24"/>
                <w:szCs w:val="24"/>
                <w14:textFill>
                  <w14:solidFill>
                    <w14:schemeClr w14:val="tx1"/>
                  </w14:solidFill>
                </w14:textFill>
              </w:rPr>
              <w:t>环境空气质量现状</w:t>
            </w:r>
          </w:p>
          <w:p>
            <w:pPr>
              <w:spacing w:line="360" w:lineRule="auto"/>
              <w:ind w:left="0" w:leftChars="0" w:firstLine="0" w:firstLineChars="0"/>
              <w:rPr>
                <w:b/>
                <w:bCs/>
                <w:sz w:val="24"/>
              </w:rPr>
            </w:pPr>
            <w:r>
              <w:rPr>
                <w:rFonts w:hint="eastAsia"/>
                <w:b/>
                <w:bCs/>
                <w:sz w:val="24"/>
              </w:rPr>
              <w:t>1.1数据来源</w:t>
            </w:r>
          </w:p>
          <w:p>
            <w:pPr>
              <w:adjustRightInd w:val="0"/>
              <w:spacing w:line="360" w:lineRule="auto"/>
              <w:ind w:left="0" w:leftChars="0" w:firstLine="0" w:firstLineChars="0"/>
              <w:rPr>
                <w:b/>
                <w:bCs/>
                <w:sz w:val="24"/>
              </w:rPr>
            </w:pPr>
            <w:r>
              <w:rPr>
                <w:rFonts w:hint="eastAsia"/>
                <w:b/>
                <w:bCs/>
                <w:sz w:val="24"/>
              </w:rPr>
              <w:t>1.1.1基本污染物质量现状</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（1）数据来源</w:t>
            </w:r>
          </w:p>
          <w:p>
            <w:pPr>
              <w:pStyle w:val="21"/>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2" w:firstLineChars="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根据《建设项目环境影响报告表编制技术指南（污染影响类）（试行）》常规污染物引用与建设项目距离近的有效数据，包括近</w:t>
            </w:r>
            <w:r>
              <w:rPr>
                <w:rFonts w:hint="default" w:ascii="Times New Roman" w:hAnsi="Times New Roman" w:eastAsia="宋体" w:cs="Times New Roman"/>
                <w:color w:val="auto"/>
                <w:kern w:val="2"/>
                <w:sz w:val="24"/>
                <w:szCs w:val="24"/>
                <w:highlight w:val="none"/>
                <w:lang w:val="en-US" w:eastAsia="zh-CN" w:bidi="ar-SA"/>
              </w:rPr>
              <w:t>3</w:t>
            </w:r>
            <w:r>
              <w:rPr>
                <w:rFonts w:hint="eastAsia" w:ascii="Times New Roman" w:hAnsi="Times New Roman" w:eastAsia="宋体" w:cs="Times New Roman"/>
                <w:color w:val="auto"/>
                <w:kern w:val="2"/>
                <w:sz w:val="24"/>
                <w:szCs w:val="24"/>
                <w:highlight w:val="none"/>
                <w:lang w:val="en-US" w:eastAsia="zh-CN" w:bidi="ar-SA"/>
              </w:rPr>
              <w:t>年的规划环境影响评价的监测数据，国家、地方环境空气质量监测网数据或生态环境主管部门公开发布的质量数据等。根据《环境影响评价技术导则 大气环境》</w:t>
            </w:r>
            <w:r>
              <w:rPr>
                <w:rFonts w:hint="default" w:ascii="Times New Roman" w:hAnsi="Times New Roman" w:eastAsia="宋体" w:cs="Times New Roman"/>
                <w:color w:val="auto"/>
                <w:kern w:val="2"/>
                <w:sz w:val="24"/>
                <w:szCs w:val="24"/>
                <w:highlight w:val="none"/>
                <w:lang w:val="en-US" w:eastAsia="zh-CN" w:bidi="ar-SA"/>
              </w:rPr>
              <w:t>（HJ2.2-2018）</w:t>
            </w:r>
            <w:r>
              <w:rPr>
                <w:rFonts w:hint="eastAsia" w:ascii="Times New Roman" w:hAnsi="Times New Roman" w:eastAsia="宋体" w:cs="Times New Roman"/>
                <w:color w:val="auto"/>
                <w:kern w:val="2"/>
                <w:sz w:val="24"/>
                <w:szCs w:val="24"/>
                <w:highlight w:val="none"/>
                <w:lang w:val="en-US" w:eastAsia="zh-CN" w:bidi="ar-SA"/>
              </w:rPr>
              <w:t>对环境质量现状数据的要求，本次基本污染物环境质量现状评价采用中国空气质量在线监测分析平台公布的202</w:t>
            </w:r>
            <w:r>
              <w:rPr>
                <w:rFonts w:hint="eastAsia" w:ascii="Times New Roman" w:hAnsi="Times New Roman" w:cs="Times New Roman"/>
                <w:color w:val="auto"/>
                <w:kern w:val="2"/>
                <w:sz w:val="24"/>
                <w:szCs w:val="24"/>
                <w:highlight w:val="none"/>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年吐鲁番市城市空气质量数据，作为达标区判定中的数据和结论，作为本项目环境空气现状评价基本污染物</w:t>
            </w:r>
            <w:r>
              <w:rPr>
                <w:rFonts w:hint="default" w:ascii="Times New Roman" w:hAnsi="Times New Roman" w:eastAsia="宋体" w:cs="Times New Roman"/>
                <w:color w:val="auto"/>
                <w:kern w:val="2"/>
                <w:sz w:val="24"/>
                <w:szCs w:val="24"/>
                <w:highlight w:val="none"/>
                <w:lang w:val="en-US" w:eastAsia="zh-CN" w:bidi="ar-SA"/>
              </w:rPr>
              <w:t>SO</w:t>
            </w:r>
            <w:r>
              <w:rPr>
                <w:rFonts w:hint="default" w:ascii="Times New Roman" w:hAnsi="Times New Roman" w:eastAsia="宋体" w:cs="Times New Roman"/>
                <w:color w:val="auto"/>
                <w:kern w:val="2"/>
                <w:sz w:val="24"/>
                <w:szCs w:val="24"/>
                <w:highlight w:val="none"/>
                <w:vertAlign w:val="subscript"/>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NO</w:t>
            </w:r>
            <w:r>
              <w:rPr>
                <w:rFonts w:hint="default" w:ascii="Times New Roman" w:hAnsi="Times New Roman" w:eastAsia="宋体" w:cs="Times New Roman"/>
                <w:color w:val="auto"/>
                <w:kern w:val="2"/>
                <w:sz w:val="24"/>
                <w:szCs w:val="24"/>
                <w:highlight w:val="none"/>
                <w:vertAlign w:val="subscript"/>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PM</w:t>
            </w:r>
            <w:r>
              <w:rPr>
                <w:rFonts w:hint="default" w:ascii="Times New Roman" w:hAnsi="Times New Roman" w:eastAsia="宋体" w:cs="Times New Roman"/>
                <w:color w:val="auto"/>
                <w:kern w:val="2"/>
                <w:sz w:val="24"/>
                <w:szCs w:val="24"/>
                <w:highlight w:val="none"/>
                <w:vertAlign w:val="subscript"/>
                <w:lang w:val="en-US" w:eastAsia="zh-CN" w:bidi="ar-SA"/>
              </w:rPr>
              <w:t>10</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PM</w:t>
            </w:r>
            <w:r>
              <w:rPr>
                <w:rFonts w:hint="default" w:ascii="Times New Roman" w:hAnsi="Times New Roman" w:eastAsia="宋体" w:cs="Times New Roman"/>
                <w:color w:val="auto"/>
                <w:kern w:val="2"/>
                <w:sz w:val="24"/>
                <w:szCs w:val="24"/>
                <w:highlight w:val="none"/>
                <w:vertAlign w:val="subscript"/>
                <w:lang w:val="en-US" w:eastAsia="zh-CN" w:bidi="ar-SA"/>
              </w:rPr>
              <w:t>2.5</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CO</w:t>
            </w:r>
            <w:r>
              <w:rPr>
                <w:rFonts w:hint="eastAsia" w:ascii="Times New Roman" w:hAnsi="Times New Roman" w:eastAsia="宋体" w:cs="Times New Roman"/>
                <w:color w:val="auto"/>
                <w:kern w:val="2"/>
                <w:sz w:val="24"/>
                <w:szCs w:val="24"/>
                <w:highlight w:val="none"/>
                <w:lang w:val="en-US" w:eastAsia="zh-CN" w:bidi="ar-SA"/>
              </w:rPr>
              <w:t>和</w:t>
            </w:r>
            <w:r>
              <w:rPr>
                <w:rFonts w:hint="default" w:ascii="Times New Roman" w:hAnsi="Times New Roman" w:eastAsia="宋体" w:cs="Times New Roman"/>
                <w:color w:val="auto"/>
                <w:kern w:val="2"/>
                <w:sz w:val="24"/>
                <w:szCs w:val="24"/>
                <w:highlight w:val="none"/>
                <w:lang w:val="en-US" w:eastAsia="zh-CN" w:bidi="ar-SA"/>
              </w:rPr>
              <w:t>O</w:t>
            </w:r>
            <w:r>
              <w:rPr>
                <w:rFonts w:hint="default" w:ascii="Times New Roman" w:hAnsi="Times New Roman" w:eastAsia="宋体" w:cs="Times New Roman"/>
                <w:color w:val="auto"/>
                <w:kern w:val="2"/>
                <w:sz w:val="24"/>
                <w:szCs w:val="24"/>
                <w:highlight w:val="none"/>
                <w:vertAlign w:val="subscript"/>
                <w:lang w:val="en-US" w:eastAsia="zh-CN" w:bidi="ar-SA"/>
              </w:rPr>
              <w:t>3</w:t>
            </w:r>
            <w:r>
              <w:rPr>
                <w:rFonts w:hint="eastAsia" w:ascii="Times New Roman" w:hAnsi="Times New Roman" w:eastAsia="宋体" w:cs="Times New Roman"/>
                <w:color w:val="auto"/>
                <w:kern w:val="2"/>
                <w:sz w:val="24"/>
                <w:szCs w:val="24"/>
                <w:highlight w:val="none"/>
                <w:lang w:val="en-US" w:eastAsia="zh-CN" w:bidi="ar-SA"/>
              </w:rPr>
              <w:t>的数据来源。</w:t>
            </w:r>
          </w:p>
          <w:p>
            <w:pPr>
              <w:adjustRightInd w:val="0"/>
              <w:spacing w:line="360" w:lineRule="auto"/>
              <w:ind w:left="0" w:leftChars="0" w:firstLine="0" w:firstLineChars="0"/>
              <w:rPr>
                <w:b/>
                <w:bCs/>
                <w:sz w:val="24"/>
              </w:rPr>
            </w:pPr>
            <w:r>
              <w:rPr>
                <w:rFonts w:hint="eastAsia"/>
                <w:b/>
                <w:bCs/>
                <w:sz w:val="24"/>
              </w:rPr>
              <w:t>1.1.2</w:t>
            </w:r>
            <w:r>
              <w:rPr>
                <w:b/>
                <w:bCs/>
                <w:sz w:val="24"/>
              </w:rPr>
              <w:t>评价标准</w:t>
            </w:r>
          </w:p>
          <w:p>
            <w:pPr>
              <w:adjustRightInd w:val="0"/>
              <w:spacing w:line="360" w:lineRule="auto"/>
              <w:ind w:firstLine="480" w:firstLineChars="200"/>
              <w:rPr>
                <w:sz w:val="24"/>
              </w:rPr>
            </w:pPr>
            <w:bookmarkStart w:id="5" w:name="_Toc11467"/>
            <w:r>
              <w:rPr>
                <w:sz w:val="24"/>
              </w:rPr>
              <w:t>基本污染物S</w:t>
            </w:r>
            <w:r>
              <w:rPr>
                <w:rFonts w:hint="default" w:ascii="Times New Roman" w:hAnsi="Times New Roman" w:cs="Times New Roman"/>
                <w:sz w:val="24"/>
              </w:rPr>
              <w:t>O</w:t>
            </w:r>
            <w:r>
              <w:rPr>
                <w:rFonts w:hint="default" w:ascii="Times New Roman" w:hAnsi="Times New Roman" w:cs="Times New Roman"/>
                <w:sz w:val="24"/>
                <w:vertAlign w:val="subscript"/>
              </w:rPr>
              <w:t>2</w:t>
            </w:r>
            <w:r>
              <w:rPr>
                <w:rFonts w:hint="default" w:ascii="Times New Roman" w:hAnsi="Times New Roman" w:cs="Times New Roman"/>
                <w:sz w:val="24"/>
              </w:rPr>
              <w:t>、NO</w:t>
            </w:r>
            <w:r>
              <w:rPr>
                <w:rFonts w:hint="default" w:ascii="Times New Roman" w:hAnsi="Times New Roman" w:cs="Times New Roman"/>
                <w:sz w:val="24"/>
                <w:vertAlign w:val="subscript"/>
              </w:rPr>
              <w:t>2</w:t>
            </w:r>
            <w:r>
              <w:rPr>
                <w:rFonts w:hint="default" w:ascii="Times New Roman" w:hAnsi="Times New Roman" w:cs="Times New Roman"/>
                <w:sz w:val="24"/>
              </w:rPr>
              <w:t>、PM</w:t>
            </w:r>
            <w:r>
              <w:rPr>
                <w:rFonts w:hint="default" w:ascii="Times New Roman" w:hAnsi="Times New Roman" w:cs="Times New Roman"/>
                <w:sz w:val="24"/>
                <w:vertAlign w:val="subscript"/>
              </w:rPr>
              <w:t>10</w:t>
            </w:r>
            <w:r>
              <w:rPr>
                <w:rFonts w:hint="default" w:ascii="Times New Roman" w:hAnsi="Times New Roman" w:cs="Times New Roman"/>
                <w:sz w:val="24"/>
              </w:rPr>
              <w:t>、PM</w:t>
            </w:r>
            <w:r>
              <w:rPr>
                <w:rFonts w:hint="default" w:ascii="Times New Roman" w:hAnsi="Times New Roman" w:cs="Times New Roman"/>
                <w:sz w:val="24"/>
                <w:vertAlign w:val="subscript"/>
              </w:rPr>
              <w:t>2.5</w:t>
            </w:r>
            <w:r>
              <w:rPr>
                <w:rFonts w:hint="default" w:ascii="Times New Roman" w:hAnsi="Times New Roman" w:cs="Times New Roman"/>
                <w:sz w:val="24"/>
              </w:rPr>
              <w:t>、CO和O</w:t>
            </w:r>
            <w:r>
              <w:rPr>
                <w:rFonts w:hint="default" w:ascii="Times New Roman" w:hAnsi="Times New Roman" w:cs="Times New Roman"/>
                <w:sz w:val="24"/>
                <w:vertAlign w:val="subscript"/>
              </w:rPr>
              <w:t>3</w:t>
            </w:r>
            <w:r>
              <w:rPr>
                <w:rFonts w:hint="default" w:ascii="Times New Roman" w:hAnsi="Times New Roman" w:cs="Times New Roman"/>
                <w:sz w:val="24"/>
              </w:rPr>
              <w:t>执行《环境空气质量标准》（GB3095-2012）中的二级标准。评价标准见表3-1。</w:t>
            </w:r>
          </w:p>
          <w:p>
            <w:pPr>
              <w:adjustRightInd w:val="0"/>
              <w:spacing w:line="240" w:lineRule="auto"/>
              <w:ind w:firstLine="422" w:firstLineChars="200"/>
              <w:jc w:val="center"/>
              <w:rPr>
                <w:b/>
                <w:bCs/>
                <w:sz w:val="21"/>
                <w:szCs w:val="21"/>
              </w:rPr>
            </w:pPr>
            <w:r>
              <w:rPr>
                <w:b/>
                <w:bCs/>
                <w:sz w:val="21"/>
                <w:szCs w:val="21"/>
              </w:rPr>
              <w:t>表3-1</w:t>
            </w:r>
            <w:r>
              <w:rPr>
                <w:rFonts w:hint="eastAsia"/>
                <w:b/>
                <w:bCs/>
                <w:sz w:val="21"/>
                <w:szCs w:val="21"/>
              </w:rPr>
              <w:t xml:space="preserve">  </w:t>
            </w:r>
            <w:r>
              <w:rPr>
                <w:rFonts w:hint="eastAsia"/>
                <w:b/>
                <w:bCs/>
                <w:sz w:val="21"/>
                <w:szCs w:val="21"/>
                <w:lang w:val="en-US" w:eastAsia="zh-CN"/>
              </w:rPr>
              <w:t xml:space="preserve"> </w:t>
            </w:r>
            <w:r>
              <w:rPr>
                <w:b/>
                <w:bCs/>
                <w:sz w:val="21"/>
                <w:szCs w:val="21"/>
              </w:rPr>
              <w:t>大气环境质量标准  单位：μg/m</w:t>
            </w:r>
            <w:r>
              <w:rPr>
                <w:b/>
                <w:bCs/>
                <w:sz w:val="21"/>
                <w:szCs w:val="21"/>
                <w:vertAlign w:val="superscript"/>
              </w:rPr>
              <w:t>3</w:t>
            </w:r>
          </w:p>
          <w:tbl>
            <w:tblPr>
              <w:tblStyle w:val="23"/>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1997"/>
              <w:gridCol w:w="1642"/>
              <w:gridCol w:w="1642"/>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69" w:type="pct"/>
                  <w:vMerge w:val="restart"/>
                  <w:vAlign w:val="center"/>
                </w:tcPr>
                <w:p>
                  <w:pPr>
                    <w:adjustRightInd w:val="0"/>
                    <w:spacing w:line="240" w:lineRule="auto"/>
                    <w:jc w:val="center"/>
                    <w:rPr>
                      <w:b/>
                      <w:bCs/>
                      <w:sz w:val="21"/>
                      <w:szCs w:val="21"/>
                    </w:rPr>
                  </w:pPr>
                  <w:r>
                    <w:rPr>
                      <w:b/>
                      <w:bCs/>
                      <w:sz w:val="21"/>
                      <w:szCs w:val="21"/>
                    </w:rPr>
                    <w:t>序号</w:t>
                  </w:r>
                </w:p>
              </w:tc>
              <w:tc>
                <w:tcPr>
                  <w:tcW w:w="1194" w:type="pct"/>
                  <w:vMerge w:val="restart"/>
                  <w:vAlign w:val="center"/>
                </w:tcPr>
                <w:p>
                  <w:pPr>
                    <w:adjustRightInd w:val="0"/>
                    <w:spacing w:line="240" w:lineRule="auto"/>
                    <w:ind w:firstLine="211" w:firstLineChars="100"/>
                    <w:jc w:val="both"/>
                    <w:rPr>
                      <w:b/>
                      <w:bCs/>
                      <w:sz w:val="21"/>
                      <w:szCs w:val="21"/>
                    </w:rPr>
                  </w:pPr>
                  <w:r>
                    <w:rPr>
                      <w:b/>
                      <w:bCs/>
                      <w:sz w:val="21"/>
                      <w:szCs w:val="21"/>
                    </w:rPr>
                    <w:t>污染物名称</w:t>
                  </w:r>
                </w:p>
              </w:tc>
              <w:tc>
                <w:tcPr>
                  <w:tcW w:w="3035" w:type="pct"/>
                  <w:gridSpan w:val="3"/>
                  <w:vAlign w:val="center"/>
                </w:tcPr>
                <w:p>
                  <w:pPr>
                    <w:adjustRightInd w:val="0"/>
                    <w:spacing w:line="240" w:lineRule="auto"/>
                    <w:ind w:firstLine="422" w:firstLineChars="200"/>
                    <w:jc w:val="center"/>
                    <w:rPr>
                      <w:b/>
                      <w:bCs/>
                      <w:sz w:val="21"/>
                      <w:szCs w:val="21"/>
                    </w:rPr>
                  </w:pPr>
                  <w:r>
                    <w:rPr>
                      <w:b/>
                      <w:bCs/>
                      <w:sz w:val="21"/>
                      <w:szCs w:val="21"/>
                    </w:rPr>
                    <w:t>取值时间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69" w:type="pct"/>
                  <w:vMerge w:val="continue"/>
                  <w:vAlign w:val="center"/>
                </w:tcPr>
                <w:p>
                  <w:pPr>
                    <w:adjustRightInd w:val="0"/>
                    <w:spacing w:line="240" w:lineRule="auto"/>
                    <w:ind w:firstLine="422" w:firstLineChars="200"/>
                    <w:jc w:val="center"/>
                    <w:rPr>
                      <w:b/>
                      <w:bCs/>
                      <w:sz w:val="21"/>
                      <w:szCs w:val="21"/>
                    </w:rPr>
                  </w:pPr>
                </w:p>
              </w:tc>
              <w:tc>
                <w:tcPr>
                  <w:tcW w:w="1194" w:type="pct"/>
                  <w:vMerge w:val="continue"/>
                  <w:vAlign w:val="center"/>
                </w:tcPr>
                <w:p>
                  <w:pPr>
                    <w:adjustRightInd w:val="0"/>
                    <w:spacing w:line="240" w:lineRule="auto"/>
                    <w:ind w:firstLine="422" w:firstLineChars="200"/>
                    <w:jc w:val="center"/>
                    <w:rPr>
                      <w:b/>
                      <w:bCs/>
                      <w:sz w:val="21"/>
                      <w:szCs w:val="21"/>
                    </w:rPr>
                  </w:pPr>
                </w:p>
              </w:tc>
              <w:tc>
                <w:tcPr>
                  <w:tcW w:w="982" w:type="pct"/>
                  <w:vAlign w:val="center"/>
                </w:tcPr>
                <w:p>
                  <w:pPr>
                    <w:adjustRightInd w:val="0"/>
                    <w:spacing w:line="240" w:lineRule="auto"/>
                    <w:jc w:val="center"/>
                    <w:rPr>
                      <w:b/>
                      <w:bCs/>
                      <w:sz w:val="21"/>
                      <w:szCs w:val="21"/>
                    </w:rPr>
                  </w:pPr>
                  <w:r>
                    <w:rPr>
                      <w:b/>
                      <w:bCs/>
                      <w:sz w:val="21"/>
                      <w:szCs w:val="21"/>
                    </w:rPr>
                    <w:t>年均值</w:t>
                  </w:r>
                </w:p>
              </w:tc>
              <w:tc>
                <w:tcPr>
                  <w:tcW w:w="982" w:type="pct"/>
                  <w:vAlign w:val="center"/>
                </w:tcPr>
                <w:p>
                  <w:pPr>
                    <w:adjustRightInd w:val="0"/>
                    <w:spacing w:line="240" w:lineRule="auto"/>
                    <w:jc w:val="center"/>
                    <w:rPr>
                      <w:b/>
                      <w:bCs/>
                      <w:sz w:val="21"/>
                      <w:szCs w:val="21"/>
                    </w:rPr>
                  </w:pPr>
                  <w:r>
                    <w:rPr>
                      <w:b/>
                      <w:bCs/>
                      <w:sz w:val="21"/>
                      <w:szCs w:val="21"/>
                    </w:rPr>
                    <w:t>日均值</w:t>
                  </w:r>
                </w:p>
              </w:tc>
              <w:tc>
                <w:tcPr>
                  <w:tcW w:w="1071" w:type="pct"/>
                  <w:vAlign w:val="center"/>
                </w:tcPr>
                <w:p>
                  <w:pPr>
                    <w:adjustRightInd w:val="0"/>
                    <w:spacing w:line="240" w:lineRule="auto"/>
                    <w:jc w:val="center"/>
                    <w:rPr>
                      <w:b/>
                      <w:bCs/>
                      <w:sz w:val="21"/>
                      <w:szCs w:val="21"/>
                    </w:rPr>
                  </w:pPr>
                  <w:r>
                    <w:rPr>
                      <w:b/>
                      <w:bCs/>
                      <w:sz w:val="21"/>
                      <w:szCs w:val="21"/>
                    </w:rPr>
                    <w:t>小时均值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69" w:type="pct"/>
                  <w:vAlign w:val="center"/>
                </w:tcPr>
                <w:p>
                  <w:pPr>
                    <w:adjustRightInd w:val="0"/>
                    <w:spacing w:line="240" w:lineRule="auto"/>
                    <w:ind w:firstLine="420" w:firstLineChars="200"/>
                    <w:rPr>
                      <w:sz w:val="21"/>
                      <w:szCs w:val="21"/>
                    </w:rPr>
                  </w:pPr>
                  <w:r>
                    <w:rPr>
                      <w:sz w:val="21"/>
                      <w:szCs w:val="21"/>
                    </w:rPr>
                    <w:t>1</w:t>
                  </w:r>
                </w:p>
              </w:tc>
              <w:tc>
                <w:tcPr>
                  <w:tcW w:w="1194" w:type="pct"/>
                  <w:vAlign w:val="center"/>
                </w:tcPr>
                <w:p>
                  <w:pPr>
                    <w:adjustRightInd w:val="0"/>
                    <w:spacing w:line="240" w:lineRule="auto"/>
                    <w:ind w:left="0" w:leftChars="0" w:firstLine="0" w:firstLineChars="0"/>
                    <w:jc w:val="center"/>
                    <w:rPr>
                      <w:sz w:val="21"/>
                      <w:szCs w:val="21"/>
                    </w:rPr>
                  </w:pPr>
                  <w:r>
                    <w:rPr>
                      <w:sz w:val="21"/>
                      <w:szCs w:val="21"/>
                    </w:rPr>
                    <w:t>SO</w:t>
                  </w:r>
                  <w:r>
                    <w:rPr>
                      <w:sz w:val="21"/>
                      <w:szCs w:val="21"/>
                      <w:vertAlign w:val="subscript"/>
                    </w:rPr>
                    <w:t>2</w:t>
                  </w:r>
                </w:p>
              </w:tc>
              <w:tc>
                <w:tcPr>
                  <w:tcW w:w="982" w:type="pct"/>
                  <w:vAlign w:val="center"/>
                </w:tcPr>
                <w:p>
                  <w:pPr>
                    <w:adjustRightInd w:val="0"/>
                    <w:spacing w:line="240" w:lineRule="auto"/>
                    <w:jc w:val="center"/>
                    <w:rPr>
                      <w:sz w:val="21"/>
                      <w:szCs w:val="21"/>
                    </w:rPr>
                  </w:pPr>
                  <w:r>
                    <w:rPr>
                      <w:sz w:val="21"/>
                      <w:szCs w:val="21"/>
                    </w:rPr>
                    <w:t>60</w:t>
                  </w:r>
                </w:p>
              </w:tc>
              <w:tc>
                <w:tcPr>
                  <w:tcW w:w="982" w:type="pct"/>
                  <w:vAlign w:val="center"/>
                </w:tcPr>
                <w:p>
                  <w:pPr>
                    <w:adjustRightInd w:val="0"/>
                    <w:spacing w:line="240" w:lineRule="auto"/>
                    <w:jc w:val="center"/>
                    <w:rPr>
                      <w:sz w:val="21"/>
                      <w:szCs w:val="21"/>
                    </w:rPr>
                  </w:pPr>
                  <w:r>
                    <w:rPr>
                      <w:sz w:val="21"/>
                      <w:szCs w:val="21"/>
                    </w:rPr>
                    <w:t>150</w:t>
                  </w:r>
                </w:p>
              </w:tc>
              <w:tc>
                <w:tcPr>
                  <w:tcW w:w="1071" w:type="pct"/>
                  <w:vAlign w:val="center"/>
                </w:tcPr>
                <w:p>
                  <w:pPr>
                    <w:adjustRightInd w:val="0"/>
                    <w:spacing w:line="240" w:lineRule="auto"/>
                    <w:jc w:val="center"/>
                    <w:rPr>
                      <w:sz w:val="21"/>
                      <w:szCs w:val="21"/>
                    </w:rPr>
                  </w:pPr>
                  <w:r>
                    <w:rPr>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69" w:type="pct"/>
                  <w:vAlign w:val="center"/>
                </w:tcPr>
                <w:p>
                  <w:pPr>
                    <w:adjustRightInd w:val="0"/>
                    <w:spacing w:line="240" w:lineRule="auto"/>
                    <w:ind w:firstLine="420" w:firstLineChars="200"/>
                    <w:rPr>
                      <w:sz w:val="21"/>
                      <w:szCs w:val="21"/>
                    </w:rPr>
                  </w:pPr>
                  <w:r>
                    <w:rPr>
                      <w:sz w:val="21"/>
                      <w:szCs w:val="21"/>
                    </w:rPr>
                    <w:t>2</w:t>
                  </w:r>
                </w:p>
              </w:tc>
              <w:tc>
                <w:tcPr>
                  <w:tcW w:w="1194" w:type="pct"/>
                  <w:vAlign w:val="center"/>
                </w:tcPr>
                <w:p>
                  <w:pPr>
                    <w:adjustRightInd w:val="0"/>
                    <w:spacing w:line="240" w:lineRule="auto"/>
                    <w:ind w:left="0" w:leftChars="0" w:firstLine="0" w:firstLineChars="0"/>
                    <w:jc w:val="center"/>
                    <w:rPr>
                      <w:sz w:val="21"/>
                      <w:szCs w:val="21"/>
                    </w:rPr>
                  </w:pPr>
                  <w:r>
                    <w:rPr>
                      <w:sz w:val="21"/>
                      <w:szCs w:val="21"/>
                    </w:rPr>
                    <w:t>NO</w:t>
                  </w:r>
                  <w:r>
                    <w:rPr>
                      <w:sz w:val="21"/>
                      <w:szCs w:val="21"/>
                      <w:vertAlign w:val="subscript"/>
                    </w:rPr>
                    <w:t>2</w:t>
                  </w:r>
                </w:p>
              </w:tc>
              <w:tc>
                <w:tcPr>
                  <w:tcW w:w="982" w:type="pct"/>
                  <w:vAlign w:val="center"/>
                </w:tcPr>
                <w:p>
                  <w:pPr>
                    <w:adjustRightInd w:val="0"/>
                    <w:spacing w:line="240" w:lineRule="auto"/>
                    <w:jc w:val="center"/>
                    <w:rPr>
                      <w:sz w:val="21"/>
                      <w:szCs w:val="21"/>
                    </w:rPr>
                  </w:pPr>
                  <w:r>
                    <w:rPr>
                      <w:sz w:val="21"/>
                      <w:szCs w:val="21"/>
                    </w:rPr>
                    <w:t>40</w:t>
                  </w:r>
                </w:p>
              </w:tc>
              <w:tc>
                <w:tcPr>
                  <w:tcW w:w="982" w:type="pct"/>
                  <w:vAlign w:val="center"/>
                </w:tcPr>
                <w:p>
                  <w:pPr>
                    <w:adjustRightInd w:val="0"/>
                    <w:spacing w:line="240" w:lineRule="auto"/>
                    <w:jc w:val="center"/>
                    <w:rPr>
                      <w:sz w:val="21"/>
                      <w:szCs w:val="21"/>
                    </w:rPr>
                  </w:pPr>
                  <w:r>
                    <w:rPr>
                      <w:sz w:val="21"/>
                      <w:szCs w:val="21"/>
                    </w:rPr>
                    <w:t>80</w:t>
                  </w:r>
                </w:p>
              </w:tc>
              <w:tc>
                <w:tcPr>
                  <w:tcW w:w="1071" w:type="pct"/>
                  <w:vAlign w:val="center"/>
                </w:tcPr>
                <w:p>
                  <w:pPr>
                    <w:adjustRightInd w:val="0"/>
                    <w:spacing w:line="240" w:lineRule="auto"/>
                    <w:jc w:val="center"/>
                    <w:rPr>
                      <w:sz w:val="21"/>
                      <w:szCs w:val="21"/>
                    </w:rPr>
                  </w:pPr>
                  <w:r>
                    <w:rPr>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69" w:type="pct"/>
                  <w:vAlign w:val="center"/>
                </w:tcPr>
                <w:p>
                  <w:pPr>
                    <w:adjustRightInd w:val="0"/>
                    <w:spacing w:line="240" w:lineRule="auto"/>
                    <w:ind w:firstLine="420" w:firstLineChars="200"/>
                    <w:rPr>
                      <w:sz w:val="21"/>
                      <w:szCs w:val="21"/>
                    </w:rPr>
                  </w:pPr>
                  <w:r>
                    <w:rPr>
                      <w:sz w:val="21"/>
                      <w:szCs w:val="21"/>
                    </w:rPr>
                    <w:t>3</w:t>
                  </w:r>
                </w:p>
              </w:tc>
              <w:tc>
                <w:tcPr>
                  <w:tcW w:w="1194" w:type="pct"/>
                  <w:vAlign w:val="center"/>
                </w:tcPr>
                <w:p>
                  <w:pPr>
                    <w:adjustRightInd w:val="0"/>
                    <w:spacing w:line="240" w:lineRule="auto"/>
                    <w:ind w:left="0" w:leftChars="0" w:firstLine="0" w:firstLineChars="0"/>
                    <w:jc w:val="center"/>
                    <w:rPr>
                      <w:sz w:val="21"/>
                      <w:szCs w:val="21"/>
                    </w:rPr>
                  </w:pPr>
                  <w:r>
                    <w:rPr>
                      <w:sz w:val="21"/>
                      <w:szCs w:val="21"/>
                    </w:rPr>
                    <w:t>PM</w:t>
                  </w:r>
                  <w:r>
                    <w:rPr>
                      <w:sz w:val="21"/>
                      <w:szCs w:val="21"/>
                      <w:vertAlign w:val="subscript"/>
                    </w:rPr>
                    <w:t>10</w:t>
                  </w:r>
                </w:p>
              </w:tc>
              <w:tc>
                <w:tcPr>
                  <w:tcW w:w="982" w:type="pct"/>
                  <w:vAlign w:val="center"/>
                </w:tcPr>
                <w:p>
                  <w:pPr>
                    <w:adjustRightInd w:val="0"/>
                    <w:spacing w:line="240" w:lineRule="auto"/>
                    <w:jc w:val="center"/>
                    <w:rPr>
                      <w:sz w:val="21"/>
                      <w:szCs w:val="21"/>
                    </w:rPr>
                  </w:pPr>
                  <w:r>
                    <w:rPr>
                      <w:sz w:val="21"/>
                      <w:szCs w:val="21"/>
                    </w:rPr>
                    <w:t>70</w:t>
                  </w:r>
                </w:p>
              </w:tc>
              <w:tc>
                <w:tcPr>
                  <w:tcW w:w="982" w:type="pct"/>
                  <w:vAlign w:val="center"/>
                </w:tcPr>
                <w:p>
                  <w:pPr>
                    <w:adjustRightInd w:val="0"/>
                    <w:spacing w:line="240" w:lineRule="auto"/>
                    <w:jc w:val="center"/>
                    <w:rPr>
                      <w:sz w:val="21"/>
                      <w:szCs w:val="21"/>
                    </w:rPr>
                  </w:pPr>
                  <w:r>
                    <w:rPr>
                      <w:sz w:val="21"/>
                      <w:szCs w:val="21"/>
                    </w:rPr>
                    <w:t>150</w:t>
                  </w:r>
                </w:p>
              </w:tc>
              <w:tc>
                <w:tcPr>
                  <w:tcW w:w="1071" w:type="pct"/>
                  <w:vAlign w:val="center"/>
                </w:tcPr>
                <w:p>
                  <w:pPr>
                    <w:adjustRightInd w:val="0"/>
                    <w:spacing w:line="240" w:lineRule="auto"/>
                    <w:jc w:val="center"/>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69" w:type="pct"/>
                  <w:vAlign w:val="center"/>
                </w:tcPr>
                <w:p>
                  <w:pPr>
                    <w:adjustRightInd w:val="0"/>
                    <w:spacing w:line="240" w:lineRule="auto"/>
                    <w:ind w:firstLine="420" w:firstLineChars="200"/>
                    <w:rPr>
                      <w:sz w:val="21"/>
                      <w:szCs w:val="21"/>
                    </w:rPr>
                  </w:pPr>
                  <w:r>
                    <w:rPr>
                      <w:sz w:val="21"/>
                      <w:szCs w:val="21"/>
                    </w:rPr>
                    <w:t>4</w:t>
                  </w:r>
                </w:p>
              </w:tc>
              <w:tc>
                <w:tcPr>
                  <w:tcW w:w="1194" w:type="pct"/>
                  <w:vAlign w:val="center"/>
                </w:tcPr>
                <w:p>
                  <w:pPr>
                    <w:adjustRightInd w:val="0"/>
                    <w:spacing w:line="240" w:lineRule="auto"/>
                    <w:ind w:left="0" w:leftChars="0" w:firstLine="0" w:firstLineChars="0"/>
                    <w:jc w:val="center"/>
                    <w:rPr>
                      <w:sz w:val="21"/>
                      <w:szCs w:val="21"/>
                    </w:rPr>
                  </w:pPr>
                  <w:r>
                    <w:rPr>
                      <w:sz w:val="21"/>
                      <w:szCs w:val="21"/>
                    </w:rPr>
                    <w:t>PM</w:t>
                  </w:r>
                  <w:r>
                    <w:rPr>
                      <w:sz w:val="21"/>
                      <w:szCs w:val="21"/>
                      <w:vertAlign w:val="subscript"/>
                    </w:rPr>
                    <w:t>2.5</w:t>
                  </w:r>
                </w:p>
              </w:tc>
              <w:tc>
                <w:tcPr>
                  <w:tcW w:w="982" w:type="pct"/>
                  <w:vAlign w:val="center"/>
                </w:tcPr>
                <w:p>
                  <w:pPr>
                    <w:adjustRightInd w:val="0"/>
                    <w:spacing w:line="240" w:lineRule="auto"/>
                    <w:jc w:val="center"/>
                    <w:rPr>
                      <w:sz w:val="21"/>
                      <w:szCs w:val="21"/>
                    </w:rPr>
                  </w:pPr>
                  <w:r>
                    <w:rPr>
                      <w:sz w:val="21"/>
                      <w:szCs w:val="21"/>
                    </w:rPr>
                    <w:t>35</w:t>
                  </w:r>
                </w:p>
              </w:tc>
              <w:tc>
                <w:tcPr>
                  <w:tcW w:w="982" w:type="pct"/>
                  <w:vAlign w:val="center"/>
                </w:tcPr>
                <w:p>
                  <w:pPr>
                    <w:adjustRightInd w:val="0"/>
                    <w:spacing w:line="240" w:lineRule="auto"/>
                    <w:jc w:val="center"/>
                    <w:rPr>
                      <w:sz w:val="21"/>
                      <w:szCs w:val="21"/>
                    </w:rPr>
                  </w:pPr>
                  <w:r>
                    <w:rPr>
                      <w:sz w:val="21"/>
                      <w:szCs w:val="21"/>
                    </w:rPr>
                    <w:t>75</w:t>
                  </w:r>
                </w:p>
              </w:tc>
              <w:tc>
                <w:tcPr>
                  <w:tcW w:w="1071" w:type="pct"/>
                  <w:vAlign w:val="center"/>
                </w:tcPr>
                <w:p>
                  <w:pPr>
                    <w:adjustRightInd w:val="0"/>
                    <w:spacing w:line="240" w:lineRule="auto"/>
                    <w:jc w:val="center"/>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69" w:type="pct"/>
                  <w:vAlign w:val="center"/>
                </w:tcPr>
                <w:p>
                  <w:pPr>
                    <w:adjustRightInd w:val="0"/>
                    <w:spacing w:line="240" w:lineRule="auto"/>
                    <w:ind w:firstLine="420" w:firstLineChars="200"/>
                    <w:rPr>
                      <w:sz w:val="21"/>
                      <w:szCs w:val="21"/>
                    </w:rPr>
                  </w:pPr>
                  <w:r>
                    <w:rPr>
                      <w:sz w:val="21"/>
                      <w:szCs w:val="21"/>
                    </w:rPr>
                    <w:t>5</w:t>
                  </w:r>
                </w:p>
              </w:tc>
              <w:tc>
                <w:tcPr>
                  <w:tcW w:w="1194" w:type="pct"/>
                  <w:vAlign w:val="center"/>
                </w:tcPr>
                <w:p>
                  <w:pPr>
                    <w:adjustRightInd w:val="0"/>
                    <w:spacing w:line="240" w:lineRule="auto"/>
                    <w:ind w:left="0" w:leftChars="0" w:firstLine="0" w:firstLineChars="0"/>
                    <w:jc w:val="center"/>
                    <w:rPr>
                      <w:sz w:val="21"/>
                      <w:szCs w:val="21"/>
                    </w:rPr>
                  </w:pPr>
                  <w:r>
                    <w:rPr>
                      <w:sz w:val="21"/>
                      <w:szCs w:val="21"/>
                    </w:rPr>
                    <w:t>一氧化碳（CO）</w:t>
                  </w:r>
                </w:p>
              </w:tc>
              <w:tc>
                <w:tcPr>
                  <w:tcW w:w="982" w:type="pct"/>
                  <w:vAlign w:val="center"/>
                </w:tcPr>
                <w:p>
                  <w:pPr>
                    <w:adjustRightInd w:val="0"/>
                    <w:spacing w:line="240" w:lineRule="auto"/>
                    <w:jc w:val="center"/>
                    <w:rPr>
                      <w:sz w:val="21"/>
                      <w:szCs w:val="21"/>
                    </w:rPr>
                  </w:pPr>
                  <w:r>
                    <w:rPr>
                      <w:sz w:val="21"/>
                      <w:szCs w:val="21"/>
                    </w:rPr>
                    <w:t>/</w:t>
                  </w:r>
                </w:p>
              </w:tc>
              <w:tc>
                <w:tcPr>
                  <w:tcW w:w="982" w:type="pct"/>
                  <w:vAlign w:val="center"/>
                </w:tcPr>
                <w:p>
                  <w:pPr>
                    <w:adjustRightInd w:val="0"/>
                    <w:spacing w:line="240" w:lineRule="auto"/>
                    <w:jc w:val="center"/>
                    <w:rPr>
                      <w:sz w:val="21"/>
                      <w:szCs w:val="21"/>
                    </w:rPr>
                  </w:pPr>
                  <w:r>
                    <w:rPr>
                      <w:sz w:val="21"/>
                      <w:szCs w:val="21"/>
                    </w:rPr>
                    <w:t>4000</w:t>
                  </w:r>
                </w:p>
              </w:tc>
              <w:tc>
                <w:tcPr>
                  <w:tcW w:w="1071" w:type="pct"/>
                  <w:vAlign w:val="center"/>
                </w:tcPr>
                <w:p>
                  <w:pPr>
                    <w:adjustRightInd w:val="0"/>
                    <w:spacing w:line="240" w:lineRule="auto"/>
                    <w:jc w:val="center"/>
                    <w:rPr>
                      <w:sz w:val="21"/>
                      <w:szCs w:val="21"/>
                    </w:rPr>
                  </w:pPr>
                  <w:r>
                    <w:rPr>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69" w:type="pct"/>
                  <w:vAlign w:val="center"/>
                </w:tcPr>
                <w:p>
                  <w:pPr>
                    <w:adjustRightInd w:val="0"/>
                    <w:spacing w:line="240" w:lineRule="auto"/>
                    <w:ind w:firstLine="420" w:firstLineChars="200"/>
                    <w:rPr>
                      <w:sz w:val="21"/>
                      <w:szCs w:val="21"/>
                    </w:rPr>
                  </w:pPr>
                  <w:r>
                    <w:rPr>
                      <w:sz w:val="21"/>
                      <w:szCs w:val="21"/>
                    </w:rPr>
                    <w:t>6</w:t>
                  </w:r>
                </w:p>
              </w:tc>
              <w:tc>
                <w:tcPr>
                  <w:tcW w:w="1194" w:type="pct"/>
                  <w:vAlign w:val="center"/>
                </w:tcPr>
                <w:p>
                  <w:pPr>
                    <w:adjustRightInd w:val="0"/>
                    <w:spacing w:line="240" w:lineRule="auto"/>
                    <w:ind w:left="0" w:leftChars="0" w:firstLine="0" w:firstLineChars="0"/>
                    <w:jc w:val="center"/>
                    <w:rPr>
                      <w:sz w:val="21"/>
                      <w:szCs w:val="21"/>
                    </w:rPr>
                  </w:pPr>
                  <w:r>
                    <w:rPr>
                      <w:sz w:val="21"/>
                      <w:szCs w:val="21"/>
                    </w:rPr>
                    <w:t>臭氧（O</w:t>
                  </w:r>
                  <w:r>
                    <w:rPr>
                      <w:sz w:val="21"/>
                      <w:szCs w:val="21"/>
                      <w:vertAlign w:val="subscript"/>
                    </w:rPr>
                    <w:t>3</w:t>
                  </w:r>
                  <w:r>
                    <w:rPr>
                      <w:sz w:val="21"/>
                      <w:szCs w:val="21"/>
                    </w:rPr>
                    <w:t>）</w:t>
                  </w:r>
                </w:p>
              </w:tc>
              <w:tc>
                <w:tcPr>
                  <w:tcW w:w="982" w:type="pct"/>
                  <w:vAlign w:val="center"/>
                </w:tcPr>
                <w:p>
                  <w:pPr>
                    <w:adjustRightInd w:val="0"/>
                    <w:spacing w:line="240" w:lineRule="auto"/>
                    <w:jc w:val="center"/>
                    <w:rPr>
                      <w:sz w:val="21"/>
                      <w:szCs w:val="21"/>
                    </w:rPr>
                  </w:pPr>
                  <w:r>
                    <w:rPr>
                      <w:sz w:val="21"/>
                      <w:szCs w:val="21"/>
                    </w:rPr>
                    <w:t>/</w:t>
                  </w:r>
                </w:p>
              </w:tc>
              <w:tc>
                <w:tcPr>
                  <w:tcW w:w="982" w:type="pct"/>
                  <w:vAlign w:val="center"/>
                </w:tcPr>
                <w:p>
                  <w:pPr>
                    <w:adjustRightInd w:val="0"/>
                    <w:spacing w:line="240" w:lineRule="auto"/>
                    <w:jc w:val="center"/>
                    <w:rPr>
                      <w:sz w:val="21"/>
                      <w:szCs w:val="21"/>
                    </w:rPr>
                  </w:pPr>
                  <w:r>
                    <w:rPr>
                      <w:sz w:val="21"/>
                      <w:szCs w:val="21"/>
                    </w:rPr>
                    <w:t>160</w:t>
                  </w:r>
                </w:p>
              </w:tc>
              <w:tc>
                <w:tcPr>
                  <w:tcW w:w="1071" w:type="pct"/>
                  <w:vAlign w:val="center"/>
                </w:tcPr>
                <w:p>
                  <w:pPr>
                    <w:adjustRightInd w:val="0"/>
                    <w:spacing w:line="240" w:lineRule="auto"/>
                    <w:jc w:val="center"/>
                    <w:rPr>
                      <w:sz w:val="21"/>
                      <w:szCs w:val="21"/>
                    </w:rPr>
                  </w:pPr>
                  <w:r>
                    <w:rPr>
                      <w:sz w:val="21"/>
                      <w:szCs w:val="21"/>
                    </w:rPr>
                    <w:t>200</w:t>
                  </w:r>
                </w:p>
              </w:tc>
            </w:tr>
            <w:bookmarkEnd w:id="5"/>
          </w:tbl>
          <w:p>
            <w:pPr>
              <w:adjustRightInd w:val="0"/>
              <w:spacing w:line="360" w:lineRule="auto"/>
              <w:ind w:left="0" w:leftChars="0" w:firstLine="0" w:firstLineChars="0"/>
              <w:rPr>
                <w:b/>
                <w:bCs/>
                <w:sz w:val="24"/>
              </w:rPr>
            </w:pPr>
            <w:r>
              <w:rPr>
                <w:rFonts w:hint="eastAsia"/>
                <w:b/>
                <w:bCs/>
                <w:sz w:val="24"/>
              </w:rPr>
              <w:t>1.1.3</w:t>
            </w:r>
            <w:r>
              <w:rPr>
                <w:b/>
                <w:bCs/>
                <w:sz w:val="24"/>
              </w:rPr>
              <w:t>评价方法</w:t>
            </w:r>
          </w:p>
          <w:p>
            <w:pPr>
              <w:adjustRightInd w:val="0"/>
              <w:spacing w:line="360" w:lineRule="auto"/>
              <w:ind w:firstLine="480" w:firstLineChars="200"/>
              <w:rPr>
                <w:sz w:val="24"/>
              </w:rPr>
            </w:pPr>
            <w:r>
              <w:rPr>
                <w:sz w:val="24"/>
              </w:rPr>
              <w:t>评价方法采用最大质量浓度占相应标准质量浓度限值的百分比，及超标率对监测结果进行评价分析。计算公式如下：</w:t>
            </w:r>
          </w:p>
          <w:p>
            <w:pPr>
              <w:adjustRightInd w:val="0"/>
              <w:spacing w:line="360" w:lineRule="auto"/>
              <w:ind w:firstLine="480" w:firstLineChars="200"/>
              <w:rPr>
                <w:sz w:val="24"/>
              </w:rPr>
            </w:pPr>
            <w:r>
              <w:rPr>
                <w:sz w:val="24"/>
              </w:rPr>
              <w:t>Pi=Ci/Coi×100%</w:t>
            </w:r>
          </w:p>
          <w:p>
            <w:pPr>
              <w:adjustRightInd w:val="0"/>
              <w:spacing w:line="360" w:lineRule="auto"/>
              <w:ind w:firstLine="480" w:firstLineChars="200"/>
              <w:rPr>
                <w:rFonts w:hint="default" w:ascii="Times New Roman" w:hAnsi="Times New Roman" w:cs="Times New Roman"/>
                <w:color w:val="auto"/>
                <w:sz w:val="24"/>
              </w:rPr>
            </w:pPr>
            <w:r>
              <w:rPr>
                <w:sz w:val="24"/>
              </w:rPr>
              <w:t>式中：Pi—某种</w:t>
            </w:r>
            <w:r>
              <w:rPr>
                <w:rFonts w:hint="default" w:ascii="Times New Roman" w:hAnsi="Times New Roman" w:cs="Times New Roman"/>
                <w:color w:val="auto"/>
                <w:sz w:val="24"/>
              </w:rPr>
              <w:t>污染物的最大地面质量浓度占标率，%；</w:t>
            </w:r>
          </w:p>
          <w:p>
            <w:pPr>
              <w:adjustRightIn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Ci—某种污染物的实际监测浓度，mg/m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w:t>
            </w:r>
          </w:p>
          <w:p>
            <w:pPr>
              <w:adjustRightIn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Coi—某种污染物的环境空气标准浓度，mg/m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w:t>
            </w:r>
          </w:p>
          <w:p>
            <w:pPr>
              <w:adjustRightInd w:val="0"/>
              <w:spacing w:line="360" w:lineRule="auto"/>
              <w:ind w:left="0" w:leftChars="0" w:firstLine="0" w:firstLineChars="0"/>
              <w:rPr>
                <w:rFonts w:hint="default" w:ascii="Times New Roman" w:hAnsi="Times New Roman" w:cs="Times New Roman"/>
                <w:b/>
                <w:bCs/>
                <w:color w:val="auto"/>
                <w:sz w:val="24"/>
              </w:rPr>
            </w:pPr>
            <w:r>
              <w:rPr>
                <w:rFonts w:hint="default" w:ascii="Times New Roman" w:hAnsi="Times New Roman" w:cs="Times New Roman"/>
                <w:b/>
                <w:bCs/>
                <w:color w:val="auto"/>
                <w:sz w:val="24"/>
              </w:rPr>
              <w:t>1.1.4空气质量达标区判定</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eastAsia="zh-CN"/>
              </w:rPr>
              <w:t>吐鲁番市</w:t>
            </w:r>
            <w:r>
              <w:rPr>
                <w:rFonts w:hint="default" w:ascii="Times New Roman" w:hAnsi="Times New Roman" w:eastAsia="宋体" w:cs="Times New Roman"/>
                <w:color w:val="auto"/>
                <w:sz w:val="24"/>
                <w:lang w:val="en-US" w:eastAsia="zh-CN"/>
              </w:rPr>
              <w:t>202</w:t>
            </w:r>
            <w:r>
              <w:rPr>
                <w:rFonts w:hint="default" w:ascii="Times New Roman" w:hAnsi="Times New Roman" w:cs="Times New Roman"/>
                <w:color w:val="auto"/>
                <w:sz w:val="24"/>
                <w:lang w:val="en-US" w:eastAsia="zh-CN"/>
              </w:rPr>
              <w:t>2</w:t>
            </w:r>
            <w:r>
              <w:rPr>
                <w:rFonts w:hint="default" w:ascii="Times New Roman" w:hAnsi="Times New Roman" w:eastAsia="宋体" w:cs="Times New Roman"/>
                <w:color w:val="auto"/>
                <w:sz w:val="24"/>
                <w:lang w:eastAsia="zh-CN"/>
              </w:rPr>
              <w:t>年空气质量达标区判定结果见</w:t>
            </w:r>
            <w:r>
              <w:rPr>
                <w:rFonts w:hint="default" w:ascii="Times New Roman" w:hAnsi="Times New Roman" w:eastAsia="宋体" w:cs="Times New Roman"/>
                <w:color w:val="auto"/>
                <w:sz w:val="24"/>
                <w:lang w:val="en-US" w:eastAsia="zh-CN"/>
              </w:rPr>
              <w:t>项目所在区域空气质量达标区判定结果为：</w:t>
            </w:r>
            <w:r>
              <w:rPr>
                <w:rFonts w:hint="default" w:ascii="Times New Roman" w:hAnsi="Times New Roman" w:eastAsia="宋体" w:cs="Times New Roman"/>
                <w:color w:val="auto"/>
                <w:sz w:val="24"/>
                <w:szCs w:val="24"/>
              </w:rPr>
              <w:t>由</w:t>
            </w:r>
            <w:r>
              <w:rPr>
                <w:rFonts w:hint="default" w:ascii="Times New Roman" w:hAnsi="Times New Roman" w:eastAsia="宋体" w:cs="Times New Roman"/>
                <w:color w:val="auto"/>
                <w:sz w:val="24"/>
                <w:szCs w:val="24"/>
                <w:lang w:val="en-US" w:eastAsia="zh-CN"/>
              </w:rPr>
              <w:t>下</w:t>
            </w:r>
            <w:r>
              <w:rPr>
                <w:rFonts w:hint="default" w:ascii="Times New Roman" w:hAnsi="Times New Roman" w:eastAsia="宋体" w:cs="Times New Roman"/>
                <w:color w:val="auto"/>
                <w:sz w:val="24"/>
                <w:szCs w:val="24"/>
              </w:rPr>
              <w:t>表分析结果可见，本项目所在区域SO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、NO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、CO第95百分位数24h平均、</w:t>
            </w:r>
            <w:r>
              <w:rPr>
                <w:rFonts w:hint="default" w:ascii="Times New Roman" w:hAnsi="Times New Roman" w:eastAsia="宋体" w:cs="Times New Roman"/>
                <w:color w:val="auto"/>
                <w:sz w:val="24"/>
                <w:szCs w:val="24"/>
                <w:lang w:val="en-US" w:eastAsia="zh-CN"/>
              </w:rPr>
              <w:t>O</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rPr>
              <w:t>第90百分位数日最大8小时平均浓度均符合《环境空气质量标准》（GB3095-2012）的二级标准要求，PM</w:t>
            </w:r>
            <w:r>
              <w:rPr>
                <w:rFonts w:hint="default" w:ascii="Times New Roman" w:hAnsi="Times New Roman" w:eastAsia="宋体" w:cs="Times New Roman"/>
                <w:color w:val="auto"/>
                <w:sz w:val="24"/>
                <w:szCs w:val="24"/>
                <w:vertAlign w:val="subscript"/>
              </w:rPr>
              <w:t>10</w:t>
            </w:r>
            <w:r>
              <w:rPr>
                <w:rFonts w:hint="default" w:ascii="Times New Roman" w:hAnsi="Times New Roman" w:eastAsia="宋体" w:cs="Times New Roman"/>
                <w:color w:val="auto"/>
                <w:sz w:val="24"/>
                <w:szCs w:val="24"/>
              </w:rPr>
              <w:t>、PM</w:t>
            </w:r>
            <w:r>
              <w:rPr>
                <w:rFonts w:hint="default" w:ascii="Times New Roman" w:hAnsi="Times New Roman" w:eastAsia="宋体" w:cs="Times New Roman"/>
                <w:color w:val="auto"/>
                <w:sz w:val="24"/>
                <w:szCs w:val="24"/>
                <w:vertAlign w:val="subscript"/>
              </w:rPr>
              <w:t>2.5</w:t>
            </w:r>
            <w:r>
              <w:rPr>
                <w:rFonts w:hint="default" w:ascii="Times New Roman" w:hAnsi="Times New Roman" w:eastAsia="宋体" w:cs="Times New Roman"/>
                <w:color w:val="auto"/>
                <w:sz w:val="24"/>
                <w:szCs w:val="24"/>
              </w:rPr>
              <w:t>年均浓度超标，项目所在区域为大气环境质量非达标区，主要受区域干旱少雨、多风等自然因素影响。</w:t>
            </w:r>
          </w:p>
          <w:p>
            <w:pPr>
              <w:adjustRightInd w:val="0"/>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eastAsia="宋体" w:cs="Times New Roman"/>
                <w:color w:val="auto"/>
                <w:sz w:val="24"/>
                <w:szCs w:val="24"/>
                <w:lang w:val="en-US" w:eastAsia="zh-CN"/>
              </w:rPr>
              <w:t>环境空气常规因子现状监测及评价结果见表</w:t>
            </w:r>
            <w:r>
              <w:rPr>
                <w:rFonts w:hint="default" w:ascii="Times New Roman" w:hAnsi="Times New Roman" w:cs="Times New Roman"/>
                <w:color w:val="auto"/>
                <w:sz w:val="24"/>
              </w:rPr>
              <w:t>3-2。</w:t>
            </w:r>
          </w:p>
          <w:p>
            <w:pPr>
              <w:adjustRightInd w:val="0"/>
              <w:spacing w:line="240" w:lineRule="auto"/>
              <w:ind w:firstLine="422" w:firstLineChars="200"/>
              <w:jc w:val="center"/>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rPr>
              <w:t xml:space="preserve">表3-2  </w:t>
            </w:r>
            <w:r>
              <w:rPr>
                <w:rFonts w:hint="eastAsia" w:cs="Times New Roman"/>
                <w:b/>
                <w:bCs/>
                <w:color w:val="auto"/>
                <w:sz w:val="21"/>
                <w:szCs w:val="21"/>
                <w:lang w:val="en-US" w:eastAsia="zh-CN"/>
              </w:rPr>
              <w:t xml:space="preserve"> </w:t>
            </w:r>
            <w:r>
              <w:rPr>
                <w:rFonts w:hint="default" w:ascii="Times New Roman" w:hAnsi="Times New Roman" w:cs="Times New Roman"/>
                <w:b/>
                <w:bCs/>
                <w:color w:val="auto"/>
                <w:sz w:val="21"/>
                <w:szCs w:val="21"/>
              </w:rPr>
              <w:t>环境空气常规因子现状监测及评价结果</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2022年</w:t>
            </w:r>
            <w:r>
              <w:rPr>
                <w:rFonts w:hint="default" w:ascii="Times New Roman" w:hAnsi="Times New Roman" w:cs="Times New Roman"/>
                <w:b/>
                <w:bCs/>
                <w:color w:val="auto"/>
                <w:sz w:val="21"/>
                <w:szCs w:val="21"/>
                <w:lang w:eastAsia="zh-CN"/>
              </w:rPr>
              <w:t>）</w:t>
            </w:r>
          </w:p>
          <w:tbl>
            <w:tblPr>
              <w:tblStyle w:val="23"/>
              <w:tblW w:w="49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82"/>
              <w:gridCol w:w="2694"/>
              <w:gridCol w:w="954"/>
              <w:gridCol w:w="1551"/>
              <w:gridCol w:w="1127"/>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532" w:type="pct"/>
                  <w:vAlign w:val="center"/>
                </w:tcPr>
                <w:p>
                  <w:pPr>
                    <w:spacing w:line="240" w:lineRule="auto"/>
                    <w:ind w:left="0" w:leftChars="0" w:firstLine="211" w:firstLineChars="10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污染物</w:t>
                  </w:r>
                </w:p>
              </w:tc>
              <w:tc>
                <w:tcPr>
                  <w:tcW w:w="1626" w:type="pct"/>
                  <w:vAlign w:val="center"/>
                </w:tcPr>
                <w:p>
                  <w:pPr>
                    <w:spacing w:line="240" w:lineRule="auto"/>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平均时段</w:t>
                  </w:r>
                </w:p>
              </w:tc>
              <w:tc>
                <w:tcPr>
                  <w:tcW w:w="576" w:type="pct"/>
                  <w:vAlign w:val="center"/>
                </w:tcPr>
                <w:p>
                  <w:pPr>
                    <w:spacing w:line="240" w:lineRule="auto"/>
                    <w:ind w:left="0" w:leftChars="0"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现状浓度µg/m</w:t>
                  </w:r>
                  <w:r>
                    <w:rPr>
                      <w:rFonts w:hint="default" w:ascii="Times New Roman" w:hAnsi="Times New Roman" w:cs="Times New Roman" w:eastAsiaTheme="minorEastAsia"/>
                      <w:b/>
                      <w:bCs/>
                      <w:color w:val="auto"/>
                      <w:sz w:val="21"/>
                      <w:szCs w:val="21"/>
                      <w:vertAlign w:val="superscript"/>
                    </w:rPr>
                    <w:t>3</w:t>
                  </w:r>
                </w:p>
              </w:tc>
              <w:tc>
                <w:tcPr>
                  <w:tcW w:w="936" w:type="pct"/>
                  <w:vAlign w:val="center"/>
                </w:tcPr>
                <w:p>
                  <w:pPr>
                    <w:spacing w:line="240" w:lineRule="auto"/>
                    <w:ind w:left="0" w:leftChars="0"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标准值µg/m</w:t>
                  </w:r>
                  <w:r>
                    <w:rPr>
                      <w:rFonts w:hint="default" w:ascii="Times New Roman" w:hAnsi="Times New Roman" w:cs="Times New Roman" w:eastAsiaTheme="minorEastAsia"/>
                      <w:b/>
                      <w:bCs/>
                      <w:color w:val="auto"/>
                      <w:sz w:val="21"/>
                      <w:szCs w:val="21"/>
                      <w:vertAlign w:val="superscript"/>
                    </w:rPr>
                    <w:t>3</w:t>
                  </w:r>
                </w:p>
              </w:tc>
              <w:tc>
                <w:tcPr>
                  <w:tcW w:w="680" w:type="pct"/>
                  <w:vAlign w:val="center"/>
                </w:tcPr>
                <w:p>
                  <w:pPr>
                    <w:spacing w:line="240" w:lineRule="auto"/>
                    <w:ind w:left="0" w:leftChars="0"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占标率%</w:t>
                  </w:r>
                </w:p>
              </w:tc>
              <w:tc>
                <w:tcPr>
                  <w:tcW w:w="647" w:type="pct"/>
                  <w:vAlign w:val="center"/>
                </w:tcPr>
                <w:p>
                  <w:pPr>
                    <w:spacing w:line="240" w:lineRule="auto"/>
                    <w:ind w:left="0" w:leftChars="0"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2"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SO</w:t>
                  </w:r>
                  <w:r>
                    <w:rPr>
                      <w:rFonts w:hint="default" w:ascii="Times New Roman" w:hAnsi="Times New Roman" w:cs="Times New Roman" w:eastAsiaTheme="minorEastAsia"/>
                      <w:color w:val="auto"/>
                      <w:sz w:val="21"/>
                      <w:szCs w:val="21"/>
                      <w:vertAlign w:val="subscript"/>
                    </w:rPr>
                    <w:t>2</w:t>
                  </w:r>
                </w:p>
              </w:tc>
              <w:tc>
                <w:tcPr>
                  <w:tcW w:w="1626"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年平均</w:t>
                  </w:r>
                  <w:r>
                    <w:rPr>
                      <w:rFonts w:hint="default" w:ascii="Times New Roman" w:hAnsi="Times New Roman" w:cs="Times New Roman" w:eastAsiaTheme="minorEastAsia"/>
                      <w:color w:val="auto"/>
                      <w:sz w:val="21"/>
                      <w:szCs w:val="21"/>
                      <w:lang w:eastAsia="zh-CN"/>
                    </w:rPr>
                    <w:t>质量</w:t>
                  </w:r>
                  <w:r>
                    <w:rPr>
                      <w:rFonts w:hint="default" w:ascii="Times New Roman" w:hAnsi="Times New Roman" w:cs="Times New Roman" w:eastAsiaTheme="minorEastAsia"/>
                      <w:color w:val="auto"/>
                      <w:sz w:val="21"/>
                      <w:szCs w:val="21"/>
                    </w:rPr>
                    <w:t>浓度</w:t>
                  </w:r>
                </w:p>
              </w:tc>
              <w:tc>
                <w:tcPr>
                  <w:tcW w:w="576"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7</w:t>
                  </w:r>
                </w:p>
              </w:tc>
              <w:tc>
                <w:tcPr>
                  <w:tcW w:w="936"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60</w:t>
                  </w:r>
                </w:p>
              </w:tc>
              <w:tc>
                <w:tcPr>
                  <w:tcW w:w="680"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11.67</w:t>
                  </w:r>
                </w:p>
              </w:tc>
              <w:tc>
                <w:tcPr>
                  <w:tcW w:w="647"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32"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NO</w:t>
                  </w:r>
                  <w:r>
                    <w:rPr>
                      <w:rFonts w:hint="default" w:ascii="Times New Roman" w:hAnsi="Times New Roman" w:cs="Times New Roman" w:eastAsiaTheme="minorEastAsia"/>
                      <w:color w:val="auto"/>
                      <w:sz w:val="21"/>
                      <w:szCs w:val="21"/>
                      <w:vertAlign w:val="subscript"/>
                    </w:rPr>
                    <w:t>2</w:t>
                  </w:r>
                </w:p>
              </w:tc>
              <w:tc>
                <w:tcPr>
                  <w:tcW w:w="1626"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年平均</w:t>
                  </w:r>
                  <w:r>
                    <w:rPr>
                      <w:rFonts w:hint="default" w:ascii="Times New Roman" w:hAnsi="Times New Roman" w:cs="Times New Roman" w:eastAsiaTheme="minorEastAsia"/>
                      <w:color w:val="auto"/>
                      <w:sz w:val="21"/>
                      <w:szCs w:val="21"/>
                      <w:lang w:eastAsia="zh-CN"/>
                    </w:rPr>
                    <w:t>质量</w:t>
                  </w:r>
                  <w:r>
                    <w:rPr>
                      <w:rFonts w:hint="default" w:ascii="Times New Roman" w:hAnsi="Times New Roman" w:cs="Times New Roman" w:eastAsiaTheme="minorEastAsia"/>
                      <w:color w:val="auto"/>
                      <w:sz w:val="21"/>
                      <w:szCs w:val="21"/>
                    </w:rPr>
                    <w:t>浓度</w:t>
                  </w:r>
                </w:p>
              </w:tc>
              <w:tc>
                <w:tcPr>
                  <w:tcW w:w="576"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29</w:t>
                  </w:r>
                </w:p>
              </w:tc>
              <w:tc>
                <w:tcPr>
                  <w:tcW w:w="936"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40</w:t>
                  </w:r>
                </w:p>
              </w:tc>
              <w:tc>
                <w:tcPr>
                  <w:tcW w:w="680"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72.5</w:t>
                  </w:r>
                </w:p>
              </w:tc>
              <w:tc>
                <w:tcPr>
                  <w:tcW w:w="647"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2"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PM</w:t>
                  </w:r>
                  <w:r>
                    <w:rPr>
                      <w:rFonts w:hint="default" w:ascii="Times New Roman" w:hAnsi="Times New Roman" w:cs="Times New Roman" w:eastAsiaTheme="minorEastAsia"/>
                      <w:color w:val="auto"/>
                      <w:sz w:val="21"/>
                      <w:szCs w:val="21"/>
                      <w:vertAlign w:val="subscript"/>
                    </w:rPr>
                    <w:t>10</w:t>
                  </w:r>
                </w:p>
              </w:tc>
              <w:tc>
                <w:tcPr>
                  <w:tcW w:w="1626"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年平均</w:t>
                  </w:r>
                  <w:r>
                    <w:rPr>
                      <w:rFonts w:hint="default" w:ascii="Times New Roman" w:hAnsi="Times New Roman" w:cs="Times New Roman" w:eastAsiaTheme="minorEastAsia"/>
                      <w:color w:val="auto"/>
                      <w:sz w:val="21"/>
                      <w:szCs w:val="21"/>
                      <w:lang w:eastAsia="zh-CN"/>
                    </w:rPr>
                    <w:t>质量</w:t>
                  </w:r>
                  <w:r>
                    <w:rPr>
                      <w:rFonts w:hint="default" w:ascii="Times New Roman" w:hAnsi="Times New Roman" w:cs="Times New Roman" w:eastAsiaTheme="minorEastAsia"/>
                      <w:color w:val="auto"/>
                      <w:sz w:val="21"/>
                      <w:szCs w:val="21"/>
                    </w:rPr>
                    <w:t>浓度</w:t>
                  </w:r>
                </w:p>
              </w:tc>
              <w:tc>
                <w:tcPr>
                  <w:tcW w:w="576"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101</w:t>
                  </w:r>
                </w:p>
              </w:tc>
              <w:tc>
                <w:tcPr>
                  <w:tcW w:w="936"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70</w:t>
                  </w:r>
                </w:p>
              </w:tc>
              <w:tc>
                <w:tcPr>
                  <w:tcW w:w="680"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144.29</w:t>
                  </w:r>
                </w:p>
              </w:tc>
              <w:tc>
                <w:tcPr>
                  <w:tcW w:w="647"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532"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PM</w:t>
                  </w:r>
                  <w:r>
                    <w:rPr>
                      <w:rFonts w:hint="default" w:ascii="Times New Roman" w:hAnsi="Times New Roman" w:cs="Times New Roman" w:eastAsiaTheme="minorEastAsia"/>
                      <w:color w:val="auto"/>
                      <w:sz w:val="21"/>
                      <w:szCs w:val="21"/>
                      <w:vertAlign w:val="subscript"/>
                    </w:rPr>
                    <w:t>2.5</w:t>
                  </w:r>
                </w:p>
              </w:tc>
              <w:tc>
                <w:tcPr>
                  <w:tcW w:w="1626"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年平均</w:t>
                  </w:r>
                  <w:r>
                    <w:rPr>
                      <w:rFonts w:hint="default" w:ascii="Times New Roman" w:hAnsi="Times New Roman" w:cs="Times New Roman" w:eastAsiaTheme="minorEastAsia"/>
                      <w:color w:val="auto"/>
                      <w:sz w:val="21"/>
                      <w:szCs w:val="21"/>
                      <w:lang w:eastAsia="zh-CN"/>
                    </w:rPr>
                    <w:t>质量</w:t>
                  </w:r>
                  <w:r>
                    <w:rPr>
                      <w:rFonts w:hint="default" w:ascii="Times New Roman" w:hAnsi="Times New Roman" w:cs="Times New Roman" w:eastAsiaTheme="minorEastAsia"/>
                      <w:color w:val="auto"/>
                      <w:sz w:val="21"/>
                      <w:szCs w:val="21"/>
                    </w:rPr>
                    <w:t>浓度</w:t>
                  </w:r>
                </w:p>
              </w:tc>
              <w:tc>
                <w:tcPr>
                  <w:tcW w:w="576"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41</w:t>
                  </w:r>
                </w:p>
              </w:tc>
              <w:tc>
                <w:tcPr>
                  <w:tcW w:w="936"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35</w:t>
                  </w:r>
                </w:p>
              </w:tc>
              <w:tc>
                <w:tcPr>
                  <w:tcW w:w="680"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117.14</w:t>
                  </w:r>
                </w:p>
              </w:tc>
              <w:tc>
                <w:tcPr>
                  <w:tcW w:w="647"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532"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CO</w:t>
                  </w:r>
                </w:p>
              </w:tc>
              <w:tc>
                <w:tcPr>
                  <w:tcW w:w="1626"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24小时平均第95百分位数</w:t>
                  </w:r>
                </w:p>
              </w:tc>
              <w:tc>
                <w:tcPr>
                  <w:tcW w:w="576"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2700</w:t>
                  </w:r>
                </w:p>
              </w:tc>
              <w:tc>
                <w:tcPr>
                  <w:tcW w:w="936"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4000</w:t>
                  </w:r>
                </w:p>
              </w:tc>
              <w:tc>
                <w:tcPr>
                  <w:tcW w:w="680"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67.5</w:t>
                  </w:r>
                </w:p>
              </w:tc>
              <w:tc>
                <w:tcPr>
                  <w:tcW w:w="647"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532"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O</w:t>
                  </w:r>
                  <w:r>
                    <w:rPr>
                      <w:rFonts w:hint="default" w:ascii="Times New Roman" w:hAnsi="Times New Roman" w:cs="Times New Roman" w:eastAsiaTheme="minorEastAsia"/>
                      <w:color w:val="auto"/>
                      <w:sz w:val="21"/>
                      <w:szCs w:val="21"/>
                      <w:vertAlign w:val="subscript"/>
                    </w:rPr>
                    <w:t>3</w:t>
                  </w:r>
                </w:p>
              </w:tc>
              <w:tc>
                <w:tcPr>
                  <w:tcW w:w="1626"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日最大8h平均第90百分位</w:t>
                  </w:r>
                </w:p>
              </w:tc>
              <w:tc>
                <w:tcPr>
                  <w:tcW w:w="576"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134</w:t>
                  </w:r>
                </w:p>
              </w:tc>
              <w:tc>
                <w:tcPr>
                  <w:tcW w:w="936"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160</w:t>
                  </w:r>
                </w:p>
              </w:tc>
              <w:tc>
                <w:tcPr>
                  <w:tcW w:w="680"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83.75</w:t>
                  </w:r>
                </w:p>
              </w:tc>
              <w:tc>
                <w:tcPr>
                  <w:tcW w:w="647" w:type="pct"/>
                  <w:vAlign w:val="center"/>
                </w:tcPr>
                <w:p>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达标</w:t>
                  </w: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Times New Roman" w:cs="Times New Roman"/>
                <w:b/>
                <w:bCs/>
                <w:color w:val="auto"/>
                <w:sz w:val="24"/>
                <w:szCs w:val="24"/>
              </w:rPr>
              <w:t>2</w:t>
            </w:r>
            <w:r>
              <w:rPr>
                <w:rFonts w:hint="default" w:ascii="Times New Roman" w:hAnsi="Times New Roman" w:eastAsia="宋体" w:cs="Times New Roman"/>
                <w:b/>
                <w:bCs/>
                <w:color w:val="auto"/>
                <w:sz w:val="24"/>
                <w:szCs w:val="24"/>
                <w:lang w:val="en-US" w:eastAsia="zh-CN"/>
              </w:rPr>
              <w:t>.</w:t>
            </w:r>
            <w:r>
              <w:rPr>
                <w:rFonts w:hint="default" w:ascii="Times New Roman" w:hAnsi="Times New Roman" w:cs="Times New Roman"/>
                <w:b/>
                <w:bCs/>
                <w:color w:val="auto"/>
                <w:sz w:val="24"/>
                <w:szCs w:val="24"/>
                <w:lang w:val="en-US" w:eastAsia="zh-CN"/>
              </w:rPr>
              <w:t>特征污染物环境质量现状监测</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jc w:val="both"/>
              <w:textAlignment w:val="auto"/>
              <w:rPr>
                <w:rFonts w:ascii="宋体" w:hAnsi="宋体" w:cs="宋体"/>
                <w:b/>
                <w:bCs/>
                <w:color w:val="000000"/>
                <w:kern w:val="0"/>
                <w:sz w:val="24"/>
                <w:lang w:bidi="ar"/>
              </w:rPr>
            </w:pPr>
            <w:r>
              <w:rPr>
                <w:rFonts w:hint="eastAsia" w:cs="Times New Roman"/>
                <w:b/>
                <w:bCs/>
                <w:color w:val="auto"/>
                <w:sz w:val="24"/>
                <w:szCs w:val="24"/>
                <w:lang w:val="en-US" w:eastAsia="zh-CN"/>
              </w:rPr>
              <w:t>2.1监测</w:t>
            </w:r>
            <w:r>
              <w:rPr>
                <w:rFonts w:hint="eastAsia" w:ascii="宋体" w:hAnsi="宋体" w:cs="宋体"/>
                <w:b/>
                <w:bCs/>
                <w:color w:val="000000"/>
                <w:kern w:val="0"/>
                <w:sz w:val="24"/>
                <w:lang w:bidi="ar"/>
              </w:rPr>
              <w:t>项目和频率</w:t>
            </w:r>
          </w:p>
          <w:p>
            <w:pPr>
              <w:wordWrap w:val="0"/>
              <w:spacing w:line="360" w:lineRule="auto"/>
              <w:ind w:firstLine="480" w:firstLineChars="200"/>
              <w:jc w:val="left"/>
              <w:rPr>
                <w:rFonts w:hint="default" w:ascii="Times New Roman" w:hAnsi="Times New Roman" w:cs="Times New Roman"/>
                <w:color w:val="auto"/>
                <w:kern w:val="0"/>
                <w:sz w:val="24"/>
                <w:lang w:bidi="ar"/>
              </w:rPr>
            </w:pPr>
            <w:r>
              <w:rPr>
                <w:rFonts w:hint="default" w:ascii="Times New Roman" w:hAnsi="Times New Roman" w:cs="Times New Roman"/>
                <w:color w:val="auto"/>
                <w:kern w:val="0"/>
                <w:sz w:val="24"/>
                <w:lang w:bidi="ar"/>
              </w:rPr>
              <w:t>环境空气质量现状监测项目为：TSP。</w:t>
            </w:r>
          </w:p>
          <w:p>
            <w:pPr>
              <w:wordWrap w:val="0"/>
              <w:adjustRightInd w:val="0"/>
              <w:snapToGrid w:val="0"/>
              <w:spacing w:line="360" w:lineRule="auto"/>
              <w:ind w:firstLine="480" w:firstLineChars="200"/>
              <w:jc w:val="left"/>
              <w:rPr>
                <w:rFonts w:hint="default" w:ascii="Times New Roman" w:hAnsi="Times New Roman" w:cs="Times New Roman"/>
                <w:color w:val="auto"/>
                <w:lang w:val="en-US" w:eastAsia="zh-CN"/>
              </w:rPr>
            </w:pPr>
            <w:r>
              <w:rPr>
                <w:rFonts w:hint="default" w:ascii="Times New Roman" w:hAnsi="Times New Roman" w:cs="Times New Roman"/>
                <w:color w:val="auto"/>
                <w:sz w:val="24"/>
              </w:rPr>
              <w:t>本次</w:t>
            </w:r>
            <w:r>
              <w:rPr>
                <w:rFonts w:hint="default" w:ascii="Times New Roman" w:hAnsi="Times New Roman" w:cs="Times New Roman"/>
                <w:color w:val="auto"/>
                <w:sz w:val="24"/>
                <w:highlight w:val="none"/>
              </w:rPr>
              <w:t>评价引用</w:t>
            </w:r>
            <w:r>
              <w:rPr>
                <w:rFonts w:hint="default" w:ascii="Times New Roman" w:hAnsi="Times New Roman" w:cs="Times New Roman"/>
                <w:color w:val="auto"/>
                <w:sz w:val="24"/>
                <w:highlight w:val="none"/>
                <w:lang w:val="en-US" w:eastAsia="zh-CN"/>
              </w:rPr>
              <w:t>新疆能源集团托克逊洁净能源多联产项目环境质量监测项目</w:t>
            </w:r>
            <w:r>
              <w:rPr>
                <w:rFonts w:hint="default" w:ascii="Times New Roman" w:hAnsi="Times New Roman" w:cs="Times New Roman"/>
                <w:color w:val="auto"/>
                <w:sz w:val="24"/>
                <w:szCs w:val="24"/>
                <w:highlight w:val="none"/>
                <w:lang w:val="en-US" w:eastAsia="zh-CN"/>
              </w:rPr>
              <w:t>的大气检测数据（</w:t>
            </w:r>
            <w:r>
              <w:rPr>
                <w:rFonts w:hint="eastAsia" w:cs="Times New Roman"/>
                <w:color w:val="auto"/>
                <w:sz w:val="24"/>
                <w:szCs w:val="24"/>
                <w:highlight w:val="none"/>
                <w:lang w:val="en-US" w:eastAsia="zh-CN"/>
              </w:rPr>
              <w:t>项目区</w:t>
            </w:r>
            <w:r>
              <w:rPr>
                <w:rFonts w:hint="default" w:ascii="Times New Roman" w:hAnsi="Times New Roman" w:cs="Times New Roman"/>
                <w:color w:val="auto"/>
                <w:sz w:val="24"/>
                <w:szCs w:val="24"/>
                <w:highlight w:val="none"/>
                <w:lang w:val="en-US" w:eastAsia="zh-CN"/>
              </w:rPr>
              <w:t>监测点位距离项目区约</w:t>
            </w:r>
            <w:r>
              <w:rPr>
                <w:rFonts w:hint="eastAsia" w:cs="Times New Roman"/>
                <w:color w:val="auto"/>
                <w:sz w:val="24"/>
                <w:szCs w:val="24"/>
                <w:highlight w:val="none"/>
                <w:lang w:val="en-US" w:eastAsia="zh-CN"/>
              </w:rPr>
              <w:t>2.96km，下风向监测点距离本项目3.14km</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highlight w:val="none"/>
              </w:rPr>
              <w:t>。监测时</w:t>
            </w:r>
            <w:r>
              <w:rPr>
                <w:rFonts w:hint="default" w:ascii="Times New Roman" w:hAnsi="Times New Roman" w:cs="Times New Roman"/>
                <w:color w:val="auto"/>
                <w:sz w:val="24"/>
              </w:rPr>
              <w:t>间为202</w:t>
            </w:r>
            <w:r>
              <w:rPr>
                <w:rFonts w:hint="eastAsia" w:cs="Times New Roman"/>
                <w:color w:val="auto"/>
                <w:sz w:val="24"/>
                <w:lang w:val="en-US" w:eastAsia="zh-CN"/>
              </w:rPr>
              <w:t>1</w:t>
            </w:r>
            <w:r>
              <w:rPr>
                <w:rFonts w:hint="default" w:ascii="Times New Roman" w:hAnsi="Times New Roman" w:cs="Times New Roman"/>
                <w:color w:val="auto"/>
                <w:sz w:val="24"/>
              </w:rPr>
              <w:t>年</w:t>
            </w:r>
            <w:r>
              <w:rPr>
                <w:rFonts w:hint="default" w:ascii="Times New Roman" w:hAnsi="Times New Roman" w:cs="Times New Roman"/>
                <w:color w:val="auto"/>
                <w:sz w:val="24"/>
                <w:lang w:val="en-US" w:eastAsia="zh-CN"/>
              </w:rPr>
              <w:t>1</w:t>
            </w:r>
            <w:r>
              <w:rPr>
                <w:rFonts w:hint="eastAsia" w:cs="Times New Roman"/>
                <w:color w:val="auto"/>
                <w:sz w:val="24"/>
                <w:lang w:val="en-US" w:eastAsia="zh-CN"/>
              </w:rPr>
              <w:t>1</w:t>
            </w:r>
            <w:r>
              <w:rPr>
                <w:rFonts w:hint="default" w:ascii="Times New Roman" w:hAnsi="Times New Roman" w:cs="Times New Roman"/>
                <w:color w:val="auto"/>
                <w:sz w:val="24"/>
              </w:rPr>
              <w:t>月</w:t>
            </w:r>
            <w:r>
              <w:rPr>
                <w:rFonts w:hint="eastAsia" w:cs="Times New Roman"/>
                <w:color w:val="auto"/>
                <w:sz w:val="24"/>
                <w:lang w:val="en-US" w:eastAsia="zh-CN"/>
              </w:rPr>
              <w:t>5</w:t>
            </w:r>
            <w:r>
              <w:rPr>
                <w:rFonts w:hint="default" w:ascii="Times New Roman" w:hAnsi="Times New Roman" w:cs="Times New Roman"/>
                <w:color w:val="auto"/>
                <w:sz w:val="24"/>
              </w:rPr>
              <w:t>日-</w:t>
            </w:r>
            <w:r>
              <w:rPr>
                <w:rFonts w:hint="eastAsia" w:cs="Times New Roman"/>
                <w:color w:val="auto"/>
                <w:sz w:val="24"/>
                <w:lang w:val="en-US" w:eastAsia="zh-CN"/>
              </w:rPr>
              <w:t>11</w:t>
            </w:r>
            <w:r>
              <w:rPr>
                <w:rFonts w:hint="default" w:ascii="Times New Roman" w:hAnsi="Times New Roman" w:cs="Times New Roman"/>
                <w:color w:val="auto"/>
                <w:sz w:val="24"/>
              </w:rPr>
              <w:t>月</w:t>
            </w:r>
            <w:r>
              <w:rPr>
                <w:rFonts w:hint="eastAsia" w:cs="Times New Roman"/>
                <w:color w:val="auto"/>
                <w:sz w:val="24"/>
                <w:lang w:val="en-US" w:eastAsia="zh-CN"/>
              </w:rPr>
              <w:t>7</w:t>
            </w:r>
            <w:r>
              <w:rPr>
                <w:rFonts w:hint="default" w:ascii="Times New Roman" w:hAnsi="Times New Roman" w:cs="Times New Roman"/>
                <w:color w:val="auto"/>
                <w:sz w:val="24"/>
              </w:rPr>
              <w:t>日。特征污染物TSP连续</w:t>
            </w:r>
            <w:r>
              <w:rPr>
                <w:rFonts w:hint="eastAsia" w:cs="Times New Roman"/>
                <w:color w:val="auto"/>
                <w:sz w:val="24"/>
                <w:lang w:val="en-US" w:eastAsia="zh-CN"/>
              </w:rPr>
              <w:t>7</w:t>
            </w:r>
            <w:r>
              <w:rPr>
                <w:rFonts w:hint="default" w:ascii="Times New Roman" w:hAnsi="Times New Roman" w:cs="Times New Roman"/>
                <w:color w:val="auto"/>
                <w:sz w:val="24"/>
              </w:rPr>
              <w:t>天测平均值，每天采样时间不小于</w:t>
            </w:r>
            <w:r>
              <w:rPr>
                <w:rFonts w:hint="default" w:ascii="Times New Roman" w:hAnsi="Times New Roman" w:cs="Times New Roman"/>
                <w:color w:val="auto"/>
                <w:sz w:val="24"/>
                <w:lang w:val="en-US" w:eastAsia="zh-CN"/>
              </w:rPr>
              <w:t>24</w:t>
            </w:r>
            <w:r>
              <w:rPr>
                <w:rFonts w:hint="default" w:ascii="Times New Roman" w:hAnsi="Times New Roman" w:cs="Times New Roman"/>
                <w:color w:val="auto"/>
                <w:sz w:val="24"/>
              </w:rPr>
              <w:t>h。</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jc w:val="both"/>
              <w:textAlignment w:val="auto"/>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2.2</w:t>
            </w:r>
            <w:r>
              <w:rPr>
                <w:rFonts w:hint="default" w:ascii="Times New Roman" w:hAnsi="Times New Roman" w:eastAsia="宋体" w:cs="Times New Roman"/>
                <w:b/>
                <w:bCs/>
                <w:color w:val="auto"/>
                <w:sz w:val="24"/>
                <w:szCs w:val="24"/>
                <w:lang w:val="en-US" w:eastAsia="zh-CN"/>
              </w:rPr>
              <w:t>监测点位</w:t>
            </w:r>
          </w:p>
          <w:p>
            <w:pPr>
              <w:wordWrap w:val="0"/>
              <w:adjustRightInd w:val="0"/>
              <w:snapToGrid w:val="0"/>
              <w:spacing w:line="360" w:lineRule="auto"/>
              <w:ind w:firstLine="480" w:firstLineChars="200"/>
              <w:jc w:val="left"/>
              <w:rPr>
                <w:color w:val="auto"/>
                <w:sz w:val="24"/>
              </w:rPr>
            </w:pPr>
            <w:r>
              <w:rPr>
                <w:color w:val="auto"/>
                <w:sz w:val="24"/>
              </w:rPr>
              <w:t>根据《环境影响评价技术导则 大气环境》（HJ2.2-2018）要求，监测因子为TSP。项目监测布点图见附图</w:t>
            </w:r>
            <w:r>
              <w:rPr>
                <w:rFonts w:hint="eastAsia"/>
                <w:color w:val="auto"/>
                <w:sz w:val="24"/>
              </w:rPr>
              <w:t>5</w:t>
            </w:r>
            <w:r>
              <w:rPr>
                <w:color w:val="auto"/>
                <w:sz w:val="24"/>
              </w:rPr>
              <w:t>。各监测点位置及其监测因子见表3-</w:t>
            </w:r>
            <w:r>
              <w:rPr>
                <w:rFonts w:hint="eastAsia"/>
                <w:color w:val="auto"/>
                <w:sz w:val="24"/>
                <w:lang w:val="en-US" w:eastAsia="zh-CN"/>
              </w:rPr>
              <w:t>3</w:t>
            </w:r>
            <w:r>
              <w:rPr>
                <w:color w:val="auto"/>
                <w:sz w:val="24"/>
              </w:rPr>
              <w:t>。</w:t>
            </w:r>
          </w:p>
          <w:p>
            <w:pPr>
              <w:wordWrap w:val="0"/>
              <w:adjustRightInd w:val="0"/>
              <w:snapToGrid w:val="0"/>
              <w:spacing w:line="240" w:lineRule="auto"/>
              <w:ind w:firstLine="422" w:firstLineChars="200"/>
              <w:jc w:val="center"/>
              <w:rPr>
                <w:b/>
                <w:bCs/>
                <w:color w:val="auto"/>
                <w:sz w:val="21"/>
                <w:szCs w:val="18"/>
              </w:rPr>
            </w:pPr>
            <w:r>
              <w:rPr>
                <w:b/>
                <w:bCs/>
                <w:color w:val="auto"/>
                <w:sz w:val="21"/>
                <w:szCs w:val="18"/>
              </w:rPr>
              <w:t>表 3</w:t>
            </w:r>
            <w:r>
              <w:rPr>
                <w:rFonts w:hint="eastAsia"/>
                <w:b/>
                <w:bCs/>
                <w:color w:val="auto"/>
                <w:sz w:val="21"/>
                <w:szCs w:val="18"/>
              </w:rPr>
              <w:t>-</w:t>
            </w:r>
            <w:r>
              <w:rPr>
                <w:rFonts w:hint="eastAsia"/>
                <w:b/>
                <w:bCs/>
                <w:color w:val="auto"/>
                <w:sz w:val="21"/>
                <w:szCs w:val="18"/>
                <w:lang w:val="en-US" w:eastAsia="zh-CN"/>
              </w:rPr>
              <w:t>3</w:t>
            </w:r>
            <w:r>
              <w:rPr>
                <w:b/>
                <w:bCs/>
                <w:color w:val="auto"/>
                <w:sz w:val="21"/>
                <w:szCs w:val="18"/>
              </w:rPr>
              <w:t xml:space="preserve">  环境空气监测点及监测因子一览表</w:t>
            </w:r>
          </w:p>
          <w:tbl>
            <w:tblPr>
              <w:tblStyle w:val="23"/>
              <w:tblW w:w="4939"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800"/>
              <w:gridCol w:w="1901"/>
              <w:gridCol w:w="2105"/>
              <w:gridCol w:w="2224"/>
              <w:gridCol w:w="120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486" w:type="pct"/>
                  <w:tcBorders>
                    <w:top w:val="single" w:color="000000" w:sz="2" w:space="0"/>
                    <w:left w:val="single" w:color="auto" w:sz="0" w:space="0"/>
                    <w:bottom w:val="single" w:color="000000" w:sz="2" w:space="0"/>
                    <w:right w:val="single" w:color="000000" w:sz="2" w:space="0"/>
                  </w:tcBorders>
                  <w:noWrap w:val="0"/>
                  <w:vAlign w:val="center"/>
                </w:tcPr>
                <w:p>
                  <w:pPr>
                    <w:spacing w:line="240" w:lineRule="auto"/>
                    <w:ind w:left="0" w:leftChars="0" w:firstLine="0" w:firstLineChars="0"/>
                    <w:jc w:val="center"/>
                    <w:rPr>
                      <w:b/>
                      <w:bCs/>
                      <w:color w:val="auto"/>
                      <w:sz w:val="21"/>
                      <w:szCs w:val="21"/>
                    </w:rPr>
                  </w:pPr>
                  <w:r>
                    <w:rPr>
                      <w:b/>
                      <w:bCs/>
                      <w:color w:val="auto"/>
                      <w:sz w:val="21"/>
                      <w:szCs w:val="21"/>
                    </w:rPr>
                    <w:t>编号</w:t>
                  </w:r>
                </w:p>
              </w:tc>
              <w:tc>
                <w:tcPr>
                  <w:tcW w:w="1153" w:type="pct"/>
                  <w:tcBorders>
                    <w:top w:val="single" w:color="000000" w:sz="2" w:space="0"/>
                    <w:left w:val="single" w:color="000000" w:sz="2" w:space="0"/>
                    <w:bottom w:val="single" w:color="000000" w:sz="2" w:space="0"/>
                    <w:right w:val="single" w:color="000000" w:sz="2" w:space="0"/>
                  </w:tcBorders>
                  <w:noWrap w:val="0"/>
                  <w:vAlign w:val="center"/>
                </w:tcPr>
                <w:p>
                  <w:pPr>
                    <w:spacing w:line="240" w:lineRule="auto"/>
                    <w:ind w:left="0" w:leftChars="0" w:firstLine="211" w:firstLineChars="100"/>
                    <w:jc w:val="center"/>
                    <w:rPr>
                      <w:b/>
                      <w:bCs/>
                      <w:color w:val="auto"/>
                      <w:sz w:val="21"/>
                      <w:szCs w:val="21"/>
                    </w:rPr>
                  </w:pPr>
                  <w:r>
                    <w:rPr>
                      <w:b/>
                      <w:bCs/>
                      <w:color w:val="auto"/>
                      <w:sz w:val="21"/>
                      <w:szCs w:val="21"/>
                    </w:rPr>
                    <w:t>监测点名称</w:t>
                  </w:r>
                </w:p>
              </w:tc>
              <w:tc>
                <w:tcPr>
                  <w:tcW w:w="1277" w:type="pct"/>
                  <w:tcBorders>
                    <w:top w:val="single" w:color="000000" w:sz="2" w:space="0"/>
                    <w:left w:val="single" w:color="000000" w:sz="2" w:space="0"/>
                    <w:bottom w:val="single" w:color="000000" w:sz="2" w:space="0"/>
                    <w:right w:val="single" w:color="000000" w:sz="2" w:space="0"/>
                  </w:tcBorders>
                  <w:noWrap w:val="0"/>
                  <w:vAlign w:val="center"/>
                </w:tcPr>
                <w:p>
                  <w:pPr>
                    <w:spacing w:line="240" w:lineRule="auto"/>
                    <w:ind w:left="0" w:leftChars="0" w:firstLine="211" w:firstLineChars="100"/>
                    <w:jc w:val="center"/>
                    <w:rPr>
                      <w:b/>
                      <w:bCs/>
                      <w:color w:val="auto"/>
                      <w:sz w:val="21"/>
                      <w:szCs w:val="21"/>
                    </w:rPr>
                  </w:pPr>
                  <w:r>
                    <w:rPr>
                      <w:b/>
                      <w:bCs/>
                      <w:color w:val="auto"/>
                      <w:sz w:val="21"/>
                      <w:szCs w:val="21"/>
                    </w:rPr>
                    <w:t>相对</w:t>
                  </w:r>
                  <w:r>
                    <w:rPr>
                      <w:rFonts w:hint="eastAsia"/>
                      <w:b/>
                      <w:bCs/>
                      <w:color w:val="auto"/>
                      <w:sz w:val="21"/>
                      <w:szCs w:val="21"/>
                      <w:lang w:eastAsia="zh-CN"/>
                    </w:rPr>
                    <w:t>本</w:t>
                  </w:r>
                  <w:r>
                    <w:rPr>
                      <w:b/>
                      <w:bCs/>
                      <w:color w:val="auto"/>
                      <w:sz w:val="21"/>
                      <w:szCs w:val="21"/>
                    </w:rPr>
                    <w:t>厂址方位</w:t>
                  </w:r>
                </w:p>
              </w:tc>
              <w:tc>
                <w:tcPr>
                  <w:tcW w:w="1349" w:type="pct"/>
                  <w:tcBorders>
                    <w:top w:val="single" w:color="000000" w:sz="2" w:space="0"/>
                    <w:left w:val="single" w:color="000000" w:sz="2" w:space="0"/>
                    <w:bottom w:val="single" w:color="000000" w:sz="2" w:space="0"/>
                    <w:right w:val="single" w:color="000000" w:sz="2" w:space="0"/>
                  </w:tcBorders>
                  <w:noWrap w:val="0"/>
                  <w:vAlign w:val="center"/>
                </w:tcPr>
                <w:p>
                  <w:pPr>
                    <w:spacing w:line="240" w:lineRule="auto"/>
                    <w:ind w:left="0" w:leftChars="0" w:firstLine="211" w:firstLineChars="100"/>
                    <w:jc w:val="center"/>
                    <w:rPr>
                      <w:b/>
                      <w:bCs/>
                      <w:color w:val="auto"/>
                      <w:sz w:val="21"/>
                      <w:szCs w:val="21"/>
                    </w:rPr>
                  </w:pPr>
                  <w:r>
                    <w:rPr>
                      <w:b/>
                      <w:bCs/>
                      <w:color w:val="auto"/>
                      <w:sz w:val="21"/>
                      <w:szCs w:val="21"/>
                    </w:rPr>
                    <w:t>监测点位</w:t>
                  </w:r>
                  <w:bookmarkStart w:id="19" w:name="_GoBack"/>
                  <w:bookmarkEnd w:id="19"/>
                </w:p>
              </w:tc>
              <w:tc>
                <w:tcPr>
                  <w:tcW w:w="732" w:type="pct"/>
                  <w:tcBorders>
                    <w:top w:val="single" w:color="000000" w:sz="2" w:space="0"/>
                    <w:left w:val="single" w:color="000000" w:sz="2" w:space="0"/>
                    <w:bottom w:val="single" w:color="000000" w:sz="2" w:space="0"/>
                    <w:right w:val="single" w:color="000000" w:sz="2" w:space="0"/>
                  </w:tcBorders>
                  <w:noWrap w:val="0"/>
                  <w:vAlign w:val="center"/>
                </w:tcPr>
                <w:p>
                  <w:pPr>
                    <w:spacing w:line="240" w:lineRule="auto"/>
                    <w:ind w:left="0" w:leftChars="0" w:firstLine="0" w:firstLineChars="0"/>
                    <w:jc w:val="center"/>
                    <w:rPr>
                      <w:b/>
                      <w:bCs/>
                      <w:color w:val="auto"/>
                      <w:sz w:val="21"/>
                      <w:szCs w:val="21"/>
                    </w:rPr>
                  </w:pPr>
                  <w:r>
                    <w:rPr>
                      <w:rFonts w:hint="eastAsia"/>
                      <w:b/>
                      <w:bCs/>
                      <w:color w:val="auto"/>
                      <w:sz w:val="21"/>
                      <w:szCs w:val="21"/>
                      <w:lang w:eastAsia="zh-CN"/>
                    </w:rPr>
                    <w:t>监测</w:t>
                  </w:r>
                  <w:r>
                    <w:rPr>
                      <w:b/>
                      <w:bCs/>
                      <w:color w:val="auto"/>
                      <w:sz w:val="21"/>
                      <w:szCs w:val="21"/>
                    </w:rPr>
                    <w:t>因子</w:t>
                  </w:r>
                </w:p>
              </w:tc>
            </w:tr>
          </w:tbl>
          <w:p>
            <w:pPr>
              <w:wordWrap w:val="0"/>
              <w:adjustRightInd w:val="0"/>
              <w:snapToGrid w:val="0"/>
              <w:spacing w:line="360" w:lineRule="auto"/>
              <w:ind w:left="0" w:leftChars="0" w:firstLine="0" w:firstLineChars="0"/>
              <w:rPr>
                <w:rFonts w:hint="eastAsia"/>
                <w:b/>
                <w:bCs/>
                <w:color w:val="auto"/>
                <w:sz w:val="24"/>
              </w:rPr>
            </w:pPr>
            <w:r>
              <w:rPr>
                <w:rFonts w:hint="eastAsia"/>
                <w:b/>
                <w:bCs/>
                <w:color w:val="auto"/>
                <w:sz w:val="24"/>
              </w:rPr>
              <w:t>2.3采样及分析方法</w:t>
            </w:r>
          </w:p>
          <w:p>
            <w:pPr>
              <w:pStyle w:val="21"/>
              <w:spacing w:before="0" w:beforeAutospacing="0" w:after="0" w:afterAutospacing="0" w:line="360" w:lineRule="auto"/>
              <w:ind w:firstLine="480" w:firstLineChars="200"/>
              <w:jc w:val="both"/>
              <w:rPr>
                <w:rFonts w:ascii="Times New Roman" w:hAnsi="Times New Roman" w:cs="宋体"/>
                <w:bCs/>
                <w:color w:val="auto"/>
                <w:szCs w:val="24"/>
                <w:lang w:val="en-US" w:eastAsia="zh-CN"/>
              </w:rPr>
            </w:pPr>
            <w:r>
              <w:rPr>
                <w:rFonts w:hint="eastAsia" w:cs="宋体"/>
                <w:bCs/>
                <w:color w:val="auto"/>
                <w:szCs w:val="24"/>
                <w:lang w:val="en-US" w:eastAsia="zh-CN" w:bidi="ar"/>
              </w:rPr>
              <w:t>各监测项目的采样方法按国家环保总局颁布的《环境空气质量手工监测技术规范》（</w:t>
            </w:r>
            <w:r>
              <w:rPr>
                <w:rFonts w:ascii="Times New Roman" w:hAnsi="Times New Roman"/>
                <w:bCs/>
                <w:color w:val="auto"/>
                <w:szCs w:val="24"/>
                <w:lang w:val="en-US" w:eastAsia="zh-CN" w:bidi="ar"/>
              </w:rPr>
              <w:t>HJ 194-2017</w:t>
            </w:r>
            <w:r>
              <w:rPr>
                <w:rFonts w:hint="eastAsia" w:cs="宋体"/>
                <w:bCs/>
                <w:color w:val="auto"/>
                <w:szCs w:val="24"/>
                <w:lang w:val="en-US" w:eastAsia="zh-CN" w:bidi="ar"/>
              </w:rPr>
              <w:t>）、《环境空气质量标准》（</w:t>
            </w:r>
            <w:r>
              <w:rPr>
                <w:rFonts w:ascii="Times New Roman" w:hAnsi="Times New Roman"/>
                <w:bCs/>
                <w:color w:val="auto"/>
                <w:szCs w:val="24"/>
                <w:lang w:val="en-US" w:eastAsia="zh-CN" w:bidi="ar"/>
              </w:rPr>
              <w:t>GB3095-2012</w:t>
            </w:r>
            <w:r>
              <w:rPr>
                <w:rFonts w:hint="eastAsia" w:cs="宋体"/>
                <w:bCs/>
                <w:color w:val="auto"/>
                <w:szCs w:val="24"/>
                <w:lang w:val="en-US" w:eastAsia="zh-CN" w:bidi="ar"/>
              </w:rPr>
              <w:t>）的规定执行；分析方法按《环境空气总悬浮颗粒物的测定重量法及其修改单》（</w:t>
            </w:r>
            <w:r>
              <w:rPr>
                <w:rFonts w:ascii="Times New Roman" w:hAnsi="Times New Roman"/>
                <w:bCs/>
                <w:color w:val="auto"/>
                <w:szCs w:val="24"/>
                <w:lang w:val="en-US" w:eastAsia="zh-CN" w:bidi="ar"/>
              </w:rPr>
              <w:t>GB/T15432-1995/XG1-2018</w:t>
            </w:r>
            <w:r>
              <w:rPr>
                <w:rFonts w:hint="eastAsia" w:cs="宋体"/>
                <w:bCs/>
                <w:color w:val="auto"/>
                <w:szCs w:val="24"/>
                <w:lang w:val="en-US" w:eastAsia="zh-CN" w:bidi="ar"/>
              </w:rPr>
              <w:t>）执行。其监测和分析方法见表</w:t>
            </w:r>
            <w:r>
              <w:rPr>
                <w:rFonts w:ascii="Times New Roman" w:hAnsi="Times New Roman"/>
                <w:bCs/>
                <w:color w:val="auto"/>
                <w:szCs w:val="24"/>
                <w:lang w:val="en-US" w:eastAsia="zh-CN" w:bidi="ar"/>
              </w:rPr>
              <w:t>3-</w:t>
            </w:r>
            <w:r>
              <w:rPr>
                <w:rFonts w:hint="eastAsia" w:ascii="Times New Roman" w:hAnsi="Times New Roman"/>
                <w:bCs/>
                <w:color w:val="auto"/>
                <w:szCs w:val="24"/>
                <w:lang w:val="en-US" w:eastAsia="zh-CN" w:bidi="ar"/>
              </w:rPr>
              <w:t>4</w:t>
            </w:r>
            <w:r>
              <w:rPr>
                <w:rFonts w:hint="eastAsia" w:cs="宋体"/>
                <w:bCs/>
                <w:color w:val="auto"/>
                <w:szCs w:val="24"/>
                <w:lang w:val="en-US" w:eastAsia="zh-CN" w:bidi="ar"/>
              </w:rPr>
              <w:t>。</w:t>
            </w:r>
          </w:p>
          <w:p>
            <w:pPr>
              <w:widowControl/>
              <w:spacing w:line="240" w:lineRule="auto"/>
              <w:jc w:val="center"/>
              <w:rPr>
                <w:b/>
                <w:color w:val="auto"/>
                <w:sz w:val="21"/>
                <w:szCs w:val="21"/>
              </w:rPr>
            </w:pPr>
            <w:r>
              <w:rPr>
                <w:rFonts w:hint="eastAsia" w:ascii="宋体" w:hAnsi="宋体" w:cs="宋体"/>
                <w:b/>
                <w:color w:val="auto"/>
                <w:sz w:val="21"/>
                <w:szCs w:val="21"/>
                <w:lang w:bidi="ar"/>
              </w:rPr>
              <w:t>表</w:t>
            </w:r>
            <w:r>
              <w:rPr>
                <w:b/>
                <w:color w:val="auto"/>
                <w:sz w:val="21"/>
                <w:szCs w:val="21"/>
                <w:lang w:bidi="ar"/>
              </w:rPr>
              <w:t>3-</w:t>
            </w:r>
            <w:r>
              <w:rPr>
                <w:rFonts w:hint="eastAsia"/>
                <w:b/>
                <w:color w:val="auto"/>
                <w:sz w:val="21"/>
                <w:szCs w:val="21"/>
                <w:lang w:val="en-US" w:eastAsia="zh-CN" w:bidi="ar"/>
              </w:rPr>
              <w:t>4</w:t>
            </w:r>
            <w:r>
              <w:rPr>
                <w:b/>
                <w:color w:val="auto"/>
                <w:sz w:val="21"/>
                <w:szCs w:val="21"/>
                <w:lang w:bidi="ar"/>
              </w:rPr>
              <w:t xml:space="preserve">   </w:t>
            </w:r>
            <w:r>
              <w:rPr>
                <w:rFonts w:hint="eastAsia" w:ascii="宋体" w:hAnsi="宋体" w:cs="宋体"/>
                <w:b/>
                <w:color w:val="auto"/>
                <w:sz w:val="21"/>
                <w:szCs w:val="21"/>
                <w:lang w:bidi="ar"/>
              </w:rPr>
              <w:t>大气污染物监测分析方法</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473"/>
              <w:gridCol w:w="1757"/>
              <w:gridCol w:w="1848"/>
              <w:gridCol w:w="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2" w:type="dxa"/>
                  <w:tcBorders>
                    <w:bottom w:val="single" w:color="auto" w:sz="4" w:space="0"/>
                    <w:right w:val="single" w:color="auto" w:sz="4" w:space="0"/>
                  </w:tcBorders>
                  <w:noWrap w:val="0"/>
                  <w:vAlign w:val="center"/>
                </w:tcPr>
                <w:p>
                  <w:pPr>
                    <w:ind w:left="0" w:leftChars="0" w:firstLine="0" w:firstLineChars="0"/>
                    <w:jc w:val="center"/>
                    <w:rPr>
                      <w:b/>
                      <w:bCs/>
                      <w:color w:val="auto"/>
                      <w:sz w:val="21"/>
                      <w:szCs w:val="21"/>
                    </w:rPr>
                  </w:pPr>
                  <w:r>
                    <w:rPr>
                      <w:rFonts w:hint="eastAsia" w:ascii="宋体" w:hAnsi="宋体" w:cs="宋体"/>
                      <w:b/>
                      <w:bCs/>
                      <w:color w:val="auto"/>
                      <w:sz w:val="21"/>
                      <w:szCs w:val="21"/>
                      <w:lang w:bidi="ar"/>
                    </w:rPr>
                    <w:t>序号</w:t>
                  </w:r>
                </w:p>
              </w:tc>
              <w:tc>
                <w:tcPr>
                  <w:tcW w:w="1599" w:type="dxa"/>
                  <w:tcBorders>
                    <w:left w:val="nil"/>
                    <w:bottom w:val="single" w:color="auto" w:sz="4" w:space="0"/>
                    <w:right w:val="single" w:color="auto" w:sz="4" w:space="0"/>
                  </w:tcBorders>
                  <w:noWrap w:val="0"/>
                  <w:vAlign w:val="center"/>
                </w:tcPr>
                <w:p>
                  <w:pPr>
                    <w:ind w:left="0" w:leftChars="0" w:firstLine="0" w:firstLineChars="0"/>
                    <w:jc w:val="center"/>
                    <w:rPr>
                      <w:b/>
                      <w:bCs/>
                      <w:color w:val="auto"/>
                      <w:sz w:val="21"/>
                      <w:szCs w:val="21"/>
                    </w:rPr>
                  </w:pPr>
                  <w:r>
                    <w:rPr>
                      <w:rFonts w:hint="eastAsia" w:ascii="宋体" w:hAnsi="宋体" w:cs="宋体"/>
                      <w:b/>
                      <w:bCs/>
                      <w:color w:val="auto"/>
                      <w:sz w:val="21"/>
                      <w:szCs w:val="21"/>
                      <w:lang w:bidi="ar"/>
                    </w:rPr>
                    <w:t>监测项目</w:t>
                  </w:r>
                </w:p>
              </w:tc>
              <w:tc>
                <w:tcPr>
                  <w:tcW w:w="1944" w:type="dxa"/>
                  <w:tcBorders>
                    <w:left w:val="nil"/>
                    <w:bottom w:val="single" w:color="auto" w:sz="4" w:space="0"/>
                    <w:right w:val="single" w:color="auto" w:sz="4" w:space="0"/>
                  </w:tcBorders>
                  <w:noWrap w:val="0"/>
                  <w:vAlign w:val="center"/>
                </w:tcPr>
                <w:p>
                  <w:pPr>
                    <w:ind w:left="0" w:leftChars="0" w:firstLine="0" w:firstLineChars="0"/>
                    <w:jc w:val="center"/>
                    <w:rPr>
                      <w:b/>
                      <w:bCs/>
                      <w:color w:val="auto"/>
                      <w:sz w:val="21"/>
                      <w:szCs w:val="21"/>
                    </w:rPr>
                  </w:pPr>
                  <w:r>
                    <w:rPr>
                      <w:rFonts w:hint="eastAsia" w:ascii="宋体" w:hAnsi="宋体" w:cs="宋体"/>
                      <w:b/>
                      <w:bCs/>
                      <w:color w:val="auto"/>
                      <w:sz w:val="21"/>
                      <w:szCs w:val="21"/>
                      <w:lang w:bidi="ar"/>
                    </w:rPr>
                    <w:t>分析方法</w:t>
                  </w:r>
                </w:p>
              </w:tc>
              <w:tc>
                <w:tcPr>
                  <w:tcW w:w="1991" w:type="dxa"/>
                  <w:tcBorders>
                    <w:left w:val="nil"/>
                    <w:bottom w:val="single" w:color="auto" w:sz="4" w:space="0"/>
                    <w:right w:val="single" w:color="auto" w:sz="4" w:space="0"/>
                  </w:tcBorders>
                  <w:noWrap w:val="0"/>
                  <w:vAlign w:val="center"/>
                </w:tcPr>
                <w:p>
                  <w:pPr>
                    <w:ind w:left="0" w:leftChars="0" w:firstLine="0" w:firstLineChars="0"/>
                    <w:jc w:val="center"/>
                    <w:rPr>
                      <w:b/>
                      <w:bCs/>
                      <w:color w:val="auto"/>
                      <w:sz w:val="21"/>
                      <w:szCs w:val="21"/>
                    </w:rPr>
                  </w:pPr>
                  <w:r>
                    <w:rPr>
                      <w:rFonts w:hint="eastAsia" w:ascii="宋体" w:hAnsi="宋体" w:cs="宋体"/>
                      <w:b/>
                      <w:bCs/>
                      <w:color w:val="auto"/>
                      <w:sz w:val="21"/>
                      <w:szCs w:val="21"/>
                      <w:lang w:bidi="ar"/>
                    </w:rPr>
                    <w:t>最低检出限</w:t>
                  </w:r>
                </w:p>
              </w:tc>
              <w:tc>
                <w:tcPr>
                  <w:tcW w:w="1798" w:type="dxa"/>
                  <w:tcBorders>
                    <w:left w:val="nil"/>
                    <w:bottom w:val="single" w:color="auto" w:sz="4" w:space="0"/>
                  </w:tcBorders>
                  <w:noWrap w:val="0"/>
                  <w:vAlign w:val="center"/>
                </w:tcPr>
                <w:p>
                  <w:pPr>
                    <w:ind w:left="0" w:leftChars="0" w:firstLine="0" w:firstLineChars="0"/>
                    <w:jc w:val="center"/>
                    <w:rPr>
                      <w:b/>
                      <w:bCs/>
                      <w:color w:val="auto"/>
                      <w:sz w:val="21"/>
                      <w:szCs w:val="21"/>
                    </w:rPr>
                  </w:pPr>
                  <w:r>
                    <w:rPr>
                      <w:rFonts w:hint="eastAsia" w:ascii="宋体" w:hAnsi="宋体" w:cs="宋体"/>
                      <w:b/>
                      <w:bCs/>
                      <w:color w:val="auto"/>
                      <w:sz w:val="21"/>
                      <w:szCs w:val="21"/>
                      <w:lang w:bidi="ar"/>
                    </w:rPr>
                    <w:t>方法来源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2" w:type="dxa"/>
                  <w:tcBorders>
                    <w:top w:val="single" w:color="auto" w:sz="4" w:space="0"/>
                    <w:right w:val="single" w:color="auto" w:sz="4" w:space="0"/>
                  </w:tcBorders>
                  <w:noWrap w:val="0"/>
                  <w:vAlign w:val="center"/>
                </w:tcPr>
                <w:p>
                  <w:pPr>
                    <w:ind w:left="0" w:leftChars="0" w:firstLine="0" w:firstLineChars="0"/>
                    <w:jc w:val="center"/>
                    <w:rPr>
                      <w:color w:val="auto"/>
                      <w:sz w:val="21"/>
                      <w:szCs w:val="21"/>
                    </w:rPr>
                  </w:pPr>
                  <w:r>
                    <w:rPr>
                      <w:color w:val="auto"/>
                      <w:sz w:val="21"/>
                      <w:szCs w:val="21"/>
                      <w:lang w:bidi="ar"/>
                    </w:rPr>
                    <w:t>1</w:t>
                  </w:r>
                </w:p>
              </w:tc>
              <w:tc>
                <w:tcPr>
                  <w:tcW w:w="1599" w:type="dxa"/>
                  <w:tcBorders>
                    <w:top w:val="single" w:color="auto" w:sz="4" w:space="0"/>
                    <w:left w:val="nil"/>
                    <w:right w:val="single" w:color="auto" w:sz="4" w:space="0"/>
                  </w:tcBorders>
                  <w:noWrap w:val="0"/>
                  <w:vAlign w:val="center"/>
                </w:tcPr>
                <w:p>
                  <w:pPr>
                    <w:ind w:left="0" w:leftChars="0" w:firstLine="0" w:firstLineChars="0"/>
                    <w:jc w:val="center"/>
                    <w:rPr>
                      <w:color w:val="auto"/>
                      <w:sz w:val="21"/>
                      <w:szCs w:val="21"/>
                    </w:rPr>
                  </w:pPr>
                  <w:r>
                    <w:rPr>
                      <w:rFonts w:hint="eastAsia"/>
                      <w:color w:val="auto"/>
                      <w:sz w:val="21"/>
                      <w:szCs w:val="21"/>
                      <w:lang w:val="en-US" w:eastAsia="zh-CN" w:bidi="ar"/>
                    </w:rPr>
                    <w:t>T</w:t>
                  </w:r>
                  <w:r>
                    <w:rPr>
                      <w:color w:val="auto"/>
                      <w:sz w:val="21"/>
                      <w:szCs w:val="21"/>
                      <w:lang w:bidi="ar"/>
                    </w:rPr>
                    <w:t>SP</w:t>
                  </w:r>
                </w:p>
              </w:tc>
              <w:tc>
                <w:tcPr>
                  <w:tcW w:w="1944" w:type="dxa"/>
                  <w:tcBorders>
                    <w:top w:val="single" w:color="auto" w:sz="4" w:space="0"/>
                    <w:left w:val="nil"/>
                    <w:right w:val="single" w:color="auto" w:sz="4" w:space="0"/>
                  </w:tcBorders>
                  <w:noWrap w:val="0"/>
                  <w:vAlign w:val="center"/>
                </w:tcPr>
                <w:p>
                  <w:pPr>
                    <w:ind w:left="0" w:leftChars="0" w:firstLine="0" w:firstLineChars="0"/>
                    <w:jc w:val="center"/>
                    <w:rPr>
                      <w:rFonts w:hint="eastAsia"/>
                      <w:color w:val="auto"/>
                      <w:sz w:val="21"/>
                      <w:szCs w:val="21"/>
                    </w:rPr>
                  </w:pPr>
                  <w:r>
                    <w:rPr>
                      <w:rFonts w:hint="eastAsia"/>
                      <w:color w:val="auto"/>
                      <w:sz w:val="21"/>
                      <w:szCs w:val="21"/>
                    </w:rPr>
                    <w:t>重量法</w:t>
                  </w:r>
                </w:p>
              </w:tc>
              <w:tc>
                <w:tcPr>
                  <w:tcW w:w="1991" w:type="dxa"/>
                  <w:tcBorders>
                    <w:top w:val="single" w:color="auto" w:sz="4" w:space="0"/>
                    <w:left w:val="nil"/>
                    <w:right w:val="single" w:color="auto" w:sz="4" w:space="0"/>
                  </w:tcBorders>
                  <w:noWrap w:val="0"/>
                  <w:vAlign w:val="center"/>
                </w:tcPr>
                <w:p>
                  <w:pPr>
                    <w:ind w:left="0" w:leftChars="0" w:firstLine="0" w:firstLineChars="0"/>
                    <w:jc w:val="center"/>
                    <w:rPr>
                      <w:rFonts w:hint="eastAsia" w:cs="宋体"/>
                      <w:color w:val="auto"/>
                      <w:sz w:val="21"/>
                      <w:szCs w:val="21"/>
                    </w:rPr>
                  </w:pPr>
                  <w:r>
                    <w:rPr>
                      <w:rFonts w:hint="eastAsia"/>
                      <w:color w:val="auto"/>
                      <w:sz w:val="21"/>
                      <w:szCs w:val="21"/>
                      <w:lang w:bidi="ar"/>
                    </w:rPr>
                    <w:t>1</w:t>
                  </w:r>
                  <w:r>
                    <w:rPr>
                      <w:color w:val="auto"/>
                      <w:sz w:val="21"/>
                      <w:szCs w:val="21"/>
                      <w:lang w:bidi="ar"/>
                    </w:rPr>
                    <w:t>μg/m</w:t>
                  </w:r>
                  <w:r>
                    <w:rPr>
                      <w:color w:val="auto"/>
                      <w:sz w:val="21"/>
                      <w:szCs w:val="21"/>
                      <w:vertAlign w:val="superscript"/>
                      <w:lang w:bidi="ar"/>
                    </w:rPr>
                    <w:t>3</w:t>
                  </w:r>
                </w:p>
              </w:tc>
              <w:tc>
                <w:tcPr>
                  <w:tcW w:w="1798" w:type="dxa"/>
                  <w:tcBorders>
                    <w:top w:val="single" w:color="auto" w:sz="4" w:space="0"/>
                    <w:left w:val="nil"/>
                  </w:tcBorders>
                  <w:noWrap w:val="0"/>
                  <w:vAlign w:val="center"/>
                </w:tcPr>
                <w:p>
                  <w:pPr>
                    <w:ind w:left="0" w:leftChars="0" w:firstLine="0" w:firstLineChars="0"/>
                    <w:jc w:val="center"/>
                    <w:rPr>
                      <w:color w:val="auto"/>
                      <w:sz w:val="21"/>
                      <w:szCs w:val="21"/>
                    </w:rPr>
                  </w:pPr>
                  <w:r>
                    <w:rPr>
                      <w:bCs/>
                      <w:color w:val="auto"/>
                      <w:kern w:val="0"/>
                      <w:sz w:val="21"/>
                      <w:szCs w:val="21"/>
                      <w:lang w:bidi="ar"/>
                    </w:rPr>
                    <w:t>GB/T15432-1995/XG1-2018</w:t>
                  </w: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jc w:val="both"/>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2.</w:t>
            </w:r>
            <w:r>
              <w:rPr>
                <w:rFonts w:hint="eastAsia" w:cs="Times New Roman"/>
                <w:b/>
                <w:bCs/>
                <w:color w:val="auto"/>
                <w:sz w:val="24"/>
                <w:szCs w:val="24"/>
                <w:lang w:val="en-US" w:eastAsia="zh-CN"/>
              </w:rPr>
              <w:t>4</w:t>
            </w:r>
            <w:r>
              <w:rPr>
                <w:rFonts w:hint="default" w:ascii="Times New Roman" w:hAnsi="Times New Roman" w:eastAsia="宋体" w:cs="Times New Roman"/>
                <w:b/>
                <w:bCs/>
                <w:color w:val="auto"/>
                <w:sz w:val="24"/>
                <w:szCs w:val="24"/>
                <w:lang w:val="en-US" w:eastAsia="zh-CN"/>
              </w:rPr>
              <w:t>评价标准</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本项目所在地区属于环境空气质量二类功能区，执行《环境空气质量标准》（GB3095-2012）中TSP二级浓度限值，24h平均浓度限值为300ug/m³。监测及分析方法均按照</w:t>
            </w:r>
            <w:r>
              <w:rPr>
                <w:rFonts w:hint="eastAsia" w:cs="Times New Roman"/>
                <w:color w:val="auto"/>
                <w:sz w:val="24"/>
                <w:szCs w:val="24"/>
                <w:lang w:val="en-US" w:eastAsia="zh-CN"/>
              </w:rPr>
              <w:t>国家环保总局</w:t>
            </w:r>
            <w:r>
              <w:rPr>
                <w:rFonts w:hint="default" w:ascii="Times New Roman" w:hAnsi="Times New Roman" w:eastAsia="宋体" w:cs="Times New Roman"/>
                <w:color w:val="auto"/>
                <w:sz w:val="24"/>
                <w:szCs w:val="24"/>
                <w:lang w:val="en-US" w:eastAsia="zh-CN"/>
              </w:rPr>
              <w:t>《环境监测技术规范》和《环境空气质量标准（GB3095-2012）》要求，参照《环境空气 总悬浮物的测定重量法</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(GB15432-1995及修改单执行）。评价方法采用最大占标百分比，计算公式为：</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Pi=Ci/Coi×i</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式中：Pi——第i个污染物的最大占标百分比（%）；</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Ci——第i个污染物最大监测浓度（mg/m³）；</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Coi——第i个污染物的环境空气质量浓度标准（mg/m³）。</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jc w:val="both"/>
              <w:textAlignment w:val="auto"/>
              <w:rPr>
                <w:rFonts w:hint="default" w:ascii="Times New Roman" w:hAnsi="Times New Roman" w:cs="Times New Roman"/>
                <w:b/>
                <w:bCs/>
                <w:color w:val="auto"/>
                <w:sz w:val="24"/>
                <w:szCs w:val="24"/>
                <w:lang w:val="en-US" w:eastAsia="zh-CN"/>
              </w:rPr>
            </w:pPr>
            <w:r>
              <w:rPr>
                <w:rFonts w:hint="eastAsia" w:cs="Times New Roman"/>
                <w:b/>
                <w:bCs/>
                <w:color w:val="auto"/>
                <w:sz w:val="24"/>
                <w:szCs w:val="24"/>
                <w:lang w:val="en-US" w:eastAsia="zh-CN"/>
              </w:rPr>
              <w:t>2.5</w:t>
            </w:r>
            <w:r>
              <w:rPr>
                <w:rFonts w:hint="default" w:ascii="Times New Roman" w:hAnsi="Times New Roman" w:cs="Times New Roman"/>
                <w:b/>
                <w:bCs/>
                <w:color w:val="auto"/>
                <w:sz w:val="24"/>
                <w:szCs w:val="24"/>
                <w:lang w:val="en-US" w:eastAsia="zh-CN"/>
              </w:rPr>
              <w:t>监测结果</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环境空气质量现状监测统计结果见下表</w:t>
            </w:r>
            <w:r>
              <w:rPr>
                <w:rFonts w:hint="eastAsia" w:cs="Times New Roman"/>
                <w:color w:val="auto"/>
                <w:sz w:val="24"/>
                <w:szCs w:val="24"/>
                <w:lang w:val="en-US" w:eastAsia="zh-CN"/>
              </w:rPr>
              <w:t>3-5</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240" w:lineRule="auto"/>
              <w:ind w:firstLine="422" w:firstLineChars="20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表3</w:t>
            </w:r>
            <w:r>
              <w:rPr>
                <w:rFonts w:hint="eastAsia" w:ascii="Times New Roman" w:hAnsi="Times New Roman" w:cs="Times New Roman"/>
                <w:b/>
                <w:bCs/>
                <w:color w:val="auto"/>
                <w:sz w:val="21"/>
                <w:szCs w:val="21"/>
                <w:lang w:val="en-US" w:eastAsia="zh-CN"/>
              </w:rPr>
              <w:t>-</w:t>
            </w:r>
            <w:r>
              <w:rPr>
                <w:rFonts w:hint="eastAsia" w:cs="Times New Roman"/>
                <w:b/>
                <w:bCs/>
                <w:color w:val="auto"/>
                <w:sz w:val="21"/>
                <w:szCs w:val="21"/>
                <w:lang w:val="en-US" w:eastAsia="zh-CN"/>
              </w:rPr>
              <w:t xml:space="preserve">5   </w:t>
            </w:r>
            <w:r>
              <w:rPr>
                <w:rFonts w:hint="default" w:ascii="Times New Roman" w:hAnsi="Times New Roman" w:eastAsia="宋体" w:cs="Times New Roman"/>
                <w:b/>
                <w:bCs/>
                <w:color w:val="auto"/>
                <w:sz w:val="21"/>
                <w:szCs w:val="21"/>
                <w:lang w:val="en-US" w:eastAsia="zh-CN"/>
              </w:rPr>
              <w:t>TSP监测结果统计表（小时浓度）</w:t>
            </w:r>
          </w:p>
          <w:tbl>
            <w:tblPr>
              <w:tblStyle w:val="23"/>
              <w:tblW w:w="499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151"/>
              <w:gridCol w:w="2984"/>
              <w:gridCol w:w="32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287" w:type="pct"/>
                  <w:vMerge w:val="restar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632" w:firstLineChars="30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采样日期</w:t>
                  </w:r>
                </w:p>
              </w:tc>
              <w:tc>
                <w:tcPr>
                  <w:tcW w:w="3712" w:type="pct"/>
                  <w:gridSpan w:val="2"/>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422" w:firstLineChars="20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TSP（mg/m³）监测结果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atLeast"/>
              </w:trPr>
              <w:tc>
                <w:tcPr>
                  <w:tcW w:w="1287" w:type="pct"/>
                  <w:vMerge w:val="continue"/>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422" w:firstLineChars="200"/>
                    <w:jc w:val="center"/>
                    <w:textAlignment w:val="auto"/>
                    <w:rPr>
                      <w:rFonts w:hint="default" w:ascii="Times New Roman" w:hAnsi="Times New Roman" w:eastAsia="宋体" w:cs="Times New Roman"/>
                      <w:b/>
                      <w:bCs/>
                      <w:color w:val="auto"/>
                      <w:sz w:val="21"/>
                      <w:szCs w:val="21"/>
                      <w:lang w:val="en-US" w:eastAsia="zh-CN"/>
                    </w:rPr>
                  </w:pPr>
                </w:p>
              </w:tc>
              <w:tc>
                <w:tcPr>
                  <w:tcW w:w="1785"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422" w:firstLineChars="20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项目区</w:t>
                  </w:r>
                </w:p>
              </w:tc>
              <w:tc>
                <w:tcPr>
                  <w:tcW w:w="1926"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422" w:firstLineChars="200"/>
                    <w:jc w:val="center"/>
                    <w:textAlignment w:val="auto"/>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下风向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287"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2021.11.4-11.5</w:t>
                  </w:r>
                </w:p>
              </w:tc>
              <w:tc>
                <w:tcPr>
                  <w:tcW w:w="1785"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480" w:firstLineChars="200"/>
                    <w:jc w:val="center"/>
                    <w:textAlignment w:val="auto"/>
                    <w:rPr>
                      <w:rFonts w:hint="default" w:ascii="Times New Roman" w:hAnsi="Times New Roman" w:eastAsia="宋体" w:cs="Times New Roman"/>
                      <w:color w:val="auto"/>
                      <w:sz w:val="21"/>
                      <w:szCs w:val="21"/>
                      <w:lang w:val="en-US" w:eastAsia="zh-CN"/>
                    </w:rPr>
                  </w:pPr>
                  <w:r>
                    <w:rPr>
                      <w:rFonts w:hint="eastAsia"/>
                      <w:color w:val="auto"/>
                      <w:lang w:val="en-US" w:eastAsia="zh-CN"/>
                    </w:rPr>
                    <w:t>0.</w:t>
                  </w:r>
                  <w:r>
                    <w:rPr>
                      <w:rFonts w:hint="eastAsia"/>
                      <w:color w:val="auto"/>
                    </w:rPr>
                    <w:t>907</w:t>
                  </w:r>
                </w:p>
              </w:tc>
              <w:tc>
                <w:tcPr>
                  <w:tcW w:w="1926"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480" w:firstLineChars="200"/>
                    <w:jc w:val="center"/>
                    <w:textAlignment w:val="auto"/>
                    <w:rPr>
                      <w:rFonts w:hint="eastAsia" w:ascii="Times New Roman" w:hAnsi="Times New Roman" w:eastAsia="宋体" w:cs="Times New Roman"/>
                      <w:color w:val="auto"/>
                      <w:sz w:val="21"/>
                      <w:szCs w:val="21"/>
                      <w:lang w:val="en-US" w:eastAsia="zh-CN"/>
                    </w:rPr>
                  </w:pPr>
                  <w:r>
                    <w:rPr>
                      <w:rFonts w:hint="eastAsia"/>
                      <w:color w:val="auto"/>
                      <w:lang w:val="en-US" w:eastAsia="zh-CN"/>
                    </w:rPr>
                    <w:t>1.</w:t>
                  </w:r>
                  <w:r>
                    <w:rPr>
                      <w:rFonts w:hint="eastAsia"/>
                      <w:color w:val="auto"/>
                    </w:rPr>
                    <w:t>202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1287"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2021.11.5-11.6</w:t>
                  </w:r>
                </w:p>
              </w:tc>
              <w:tc>
                <w:tcPr>
                  <w:tcW w:w="1785"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480" w:firstLineChars="200"/>
                    <w:jc w:val="center"/>
                    <w:textAlignment w:val="auto"/>
                    <w:rPr>
                      <w:rFonts w:hint="default" w:ascii="Times New Roman" w:hAnsi="Times New Roman" w:eastAsia="宋体" w:cs="Times New Roman"/>
                      <w:color w:val="auto"/>
                      <w:sz w:val="21"/>
                      <w:szCs w:val="21"/>
                      <w:lang w:val="en-US" w:eastAsia="zh-CN"/>
                    </w:rPr>
                  </w:pPr>
                  <w:r>
                    <w:rPr>
                      <w:rFonts w:hint="eastAsia"/>
                      <w:color w:val="auto"/>
                      <w:lang w:val="en-US" w:eastAsia="zh-CN"/>
                    </w:rPr>
                    <w:t>0.</w:t>
                  </w:r>
                  <w:r>
                    <w:rPr>
                      <w:rFonts w:hint="eastAsia"/>
                      <w:color w:val="auto"/>
                    </w:rPr>
                    <w:t>713</w:t>
                  </w:r>
                </w:p>
              </w:tc>
              <w:tc>
                <w:tcPr>
                  <w:tcW w:w="1926"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480" w:firstLineChars="200"/>
                    <w:jc w:val="center"/>
                    <w:textAlignment w:val="auto"/>
                    <w:rPr>
                      <w:rFonts w:hint="eastAsia" w:ascii="Times New Roman" w:hAnsi="Times New Roman" w:eastAsia="宋体" w:cs="Times New Roman"/>
                      <w:color w:val="auto"/>
                      <w:sz w:val="21"/>
                      <w:szCs w:val="21"/>
                      <w:lang w:val="en-US" w:eastAsia="zh-CN"/>
                    </w:rPr>
                  </w:pPr>
                  <w:r>
                    <w:rPr>
                      <w:rFonts w:hint="eastAsia"/>
                      <w:color w:val="auto"/>
                      <w:lang w:val="en-US" w:eastAsia="zh-CN"/>
                    </w:rPr>
                    <w:t>0.</w:t>
                  </w:r>
                  <w:r>
                    <w:rPr>
                      <w:rFonts w:hint="eastAsia"/>
                      <w:color w:val="auto"/>
                    </w:rPr>
                    <w:t>773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287"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2021.11.6-11.7</w:t>
                  </w:r>
                </w:p>
              </w:tc>
              <w:tc>
                <w:tcPr>
                  <w:tcW w:w="1785"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480" w:firstLineChars="200"/>
                    <w:jc w:val="center"/>
                    <w:textAlignment w:val="auto"/>
                    <w:rPr>
                      <w:rFonts w:hint="default" w:ascii="Times New Roman" w:hAnsi="Times New Roman" w:eastAsia="宋体" w:cs="Times New Roman"/>
                      <w:color w:val="auto"/>
                      <w:sz w:val="21"/>
                      <w:szCs w:val="21"/>
                      <w:lang w:val="en-US" w:eastAsia="zh-CN"/>
                    </w:rPr>
                  </w:pPr>
                  <w:r>
                    <w:rPr>
                      <w:rFonts w:hint="eastAsia"/>
                      <w:color w:val="auto"/>
                      <w:lang w:val="en-US" w:eastAsia="zh-CN"/>
                    </w:rPr>
                    <w:t>0.</w:t>
                  </w:r>
                  <w:r>
                    <w:rPr>
                      <w:rFonts w:hint="eastAsia"/>
                      <w:color w:val="auto"/>
                    </w:rPr>
                    <w:t>357</w:t>
                  </w:r>
                </w:p>
              </w:tc>
              <w:tc>
                <w:tcPr>
                  <w:tcW w:w="1926"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480" w:firstLineChars="200"/>
                    <w:jc w:val="center"/>
                    <w:textAlignment w:val="auto"/>
                    <w:rPr>
                      <w:rFonts w:hint="eastAsia" w:ascii="Times New Roman" w:hAnsi="Times New Roman" w:eastAsia="宋体" w:cs="Times New Roman"/>
                      <w:color w:val="auto"/>
                      <w:sz w:val="21"/>
                      <w:szCs w:val="21"/>
                      <w:lang w:val="en-US" w:eastAsia="zh-CN"/>
                    </w:rPr>
                  </w:pPr>
                  <w:r>
                    <w:rPr>
                      <w:rFonts w:hint="eastAsia"/>
                      <w:color w:val="auto"/>
                      <w:lang w:val="en-US" w:eastAsia="zh-CN"/>
                    </w:rPr>
                    <w:t>0.</w:t>
                  </w:r>
                  <w:r>
                    <w:rPr>
                      <w:rFonts w:hint="eastAsia"/>
                      <w:color w:val="auto"/>
                    </w:rPr>
                    <w:t>342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287"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2021.11.7-11.8</w:t>
                  </w:r>
                </w:p>
              </w:tc>
              <w:tc>
                <w:tcPr>
                  <w:tcW w:w="1785"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480" w:firstLineChars="200"/>
                    <w:jc w:val="center"/>
                    <w:textAlignment w:val="auto"/>
                    <w:rPr>
                      <w:rFonts w:hint="eastAsia" w:ascii="Times New Roman" w:hAnsi="Times New Roman" w:eastAsia="宋体" w:cs="Times New Roman"/>
                      <w:color w:val="auto"/>
                      <w:sz w:val="21"/>
                      <w:szCs w:val="21"/>
                      <w:lang w:val="en-US" w:eastAsia="zh-CN"/>
                    </w:rPr>
                  </w:pPr>
                  <w:r>
                    <w:rPr>
                      <w:rFonts w:hint="eastAsia"/>
                      <w:color w:val="auto"/>
                      <w:lang w:val="en-US" w:eastAsia="zh-CN"/>
                    </w:rPr>
                    <w:t>0.</w:t>
                  </w:r>
                  <w:r>
                    <w:rPr>
                      <w:rFonts w:hint="eastAsia"/>
                      <w:color w:val="auto"/>
                    </w:rPr>
                    <w:t>378</w:t>
                  </w:r>
                </w:p>
              </w:tc>
              <w:tc>
                <w:tcPr>
                  <w:tcW w:w="1926"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480" w:firstLineChars="200"/>
                    <w:jc w:val="center"/>
                    <w:textAlignment w:val="auto"/>
                    <w:rPr>
                      <w:rFonts w:hint="eastAsia" w:ascii="Times New Roman" w:hAnsi="Times New Roman" w:eastAsia="宋体" w:cs="Times New Roman"/>
                      <w:color w:val="auto"/>
                      <w:sz w:val="21"/>
                      <w:szCs w:val="21"/>
                      <w:lang w:val="en-US" w:eastAsia="zh-CN"/>
                    </w:rPr>
                  </w:pPr>
                  <w:r>
                    <w:rPr>
                      <w:rFonts w:hint="eastAsia"/>
                      <w:color w:val="auto"/>
                      <w:lang w:val="en-US" w:eastAsia="zh-CN"/>
                    </w:rPr>
                    <w:t>0.</w:t>
                  </w:r>
                  <w:r>
                    <w:rPr>
                      <w:rFonts w:hint="eastAsia"/>
                      <w:color w:val="auto"/>
                    </w:rPr>
                    <w:t>375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287"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2021.11.8-11.9</w:t>
                  </w:r>
                </w:p>
              </w:tc>
              <w:tc>
                <w:tcPr>
                  <w:tcW w:w="1785"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480" w:firstLineChars="200"/>
                    <w:jc w:val="center"/>
                    <w:textAlignment w:val="auto"/>
                    <w:rPr>
                      <w:rFonts w:hint="eastAsia" w:ascii="Times New Roman" w:hAnsi="Times New Roman" w:eastAsia="宋体" w:cs="Times New Roman"/>
                      <w:color w:val="auto"/>
                      <w:sz w:val="21"/>
                      <w:szCs w:val="21"/>
                      <w:lang w:val="en-US" w:eastAsia="zh-CN"/>
                    </w:rPr>
                  </w:pPr>
                  <w:r>
                    <w:rPr>
                      <w:rFonts w:hint="eastAsia"/>
                      <w:color w:val="auto"/>
                      <w:lang w:val="en-US" w:eastAsia="zh-CN"/>
                    </w:rPr>
                    <w:t>0.</w:t>
                  </w:r>
                  <w:r>
                    <w:rPr>
                      <w:rFonts w:hint="eastAsia"/>
                      <w:color w:val="auto"/>
                    </w:rPr>
                    <w:t>418</w:t>
                  </w:r>
                </w:p>
              </w:tc>
              <w:tc>
                <w:tcPr>
                  <w:tcW w:w="1926"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480" w:firstLineChars="200"/>
                    <w:jc w:val="center"/>
                    <w:textAlignment w:val="auto"/>
                    <w:rPr>
                      <w:rFonts w:hint="eastAsia" w:ascii="Times New Roman" w:hAnsi="Times New Roman" w:eastAsia="宋体" w:cs="Times New Roman"/>
                      <w:color w:val="auto"/>
                      <w:sz w:val="21"/>
                      <w:szCs w:val="21"/>
                      <w:lang w:val="en-US" w:eastAsia="zh-CN"/>
                    </w:rPr>
                  </w:pPr>
                  <w:r>
                    <w:rPr>
                      <w:rFonts w:hint="eastAsia"/>
                      <w:color w:val="auto"/>
                      <w:lang w:val="en-US" w:eastAsia="zh-CN"/>
                    </w:rPr>
                    <w:t>0.</w:t>
                  </w:r>
                  <w:r>
                    <w:rPr>
                      <w:rFonts w:hint="eastAsia"/>
                      <w:color w:val="auto"/>
                    </w:rPr>
                    <w:t>418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287"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2021.11.9-11.10</w:t>
                  </w:r>
                </w:p>
              </w:tc>
              <w:tc>
                <w:tcPr>
                  <w:tcW w:w="1785"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480" w:firstLineChars="200"/>
                    <w:jc w:val="center"/>
                    <w:textAlignment w:val="auto"/>
                    <w:rPr>
                      <w:rFonts w:hint="eastAsia" w:ascii="Times New Roman" w:hAnsi="Times New Roman" w:eastAsia="宋体" w:cs="Times New Roman"/>
                      <w:color w:val="auto"/>
                      <w:sz w:val="21"/>
                      <w:szCs w:val="21"/>
                      <w:lang w:val="en-US" w:eastAsia="zh-CN"/>
                    </w:rPr>
                  </w:pPr>
                  <w:r>
                    <w:rPr>
                      <w:rFonts w:hint="eastAsia"/>
                      <w:color w:val="auto"/>
                      <w:lang w:val="en-US" w:eastAsia="zh-CN"/>
                    </w:rPr>
                    <w:t>0.</w:t>
                  </w:r>
                  <w:r>
                    <w:rPr>
                      <w:rFonts w:hint="eastAsia"/>
                      <w:color w:val="auto"/>
                    </w:rPr>
                    <w:t>476</w:t>
                  </w:r>
                </w:p>
              </w:tc>
              <w:tc>
                <w:tcPr>
                  <w:tcW w:w="1926"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480" w:firstLineChars="200"/>
                    <w:jc w:val="center"/>
                    <w:textAlignment w:val="auto"/>
                    <w:rPr>
                      <w:rFonts w:hint="eastAsia" w:ascii="Times New Roman" w:hAnsi="Times New Roman" w:eastAsia="宋体" w:cs="Times New Roman"/>
                      <w:color w:val="auto"/>
                      <w:sz w:val="21"/>
                      <w:szCs w:val="21"/>
                      <w:lang w:val="en-US" w:eastAsia="zh-CN"/>
                    </w:rPr>
                  </w:pPr>
                  <w:r>
                    <w:rPr>
                      <w:rFonts w:hint="eastAsia"/>
                      <w:color w:val="auto"/>
                      <w:lang w:val="en-US" w:eastAsia="zh-CN"/>
                    </w:rPr>
                    <w:t>0.</w:t>
                  </w:r>
                  <w:r>
                    <w:rPr>
                      <w:rFonts w:hint="eastAsia"/>
                      <w:color w:val="auto"/>
                    </w:rPr>
                    <w:t>471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287"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2021.11.10-11.11</w:t>
                  </w:r>
                </w:p>
              </w:tc>
              <w:tc>
                <w:tcPr>
                  <w:tcW w:w="1785"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480" w:firstLineChars="200"/>
                    <w:jc w:val="center"/>
                    <w:textAlignment w:val="auto"/>
                    <w:rPr>
                      <w:rFonts w:hint="eastAsia" w:ascii="Times New Roman" w:hAnsi="Times New Roman" w:eastAsia="宋体" w:cs="Times New Roman"/>
                      <w:color w:val="auto"/>
                      <w:sz w:val="21"/>
                      <w:szCs w:val="21"/>
                      <w:lang w:val="en-US" w:eastAsia="zh-CN"/>
                    </w:rPr>
                  </w:pPr>
                  <w:r>
                    <w:rPr>
                      <w:rFonts w:hint="eastAsia"/>
                      <w:color w:val="auto"/>
                      <w:lang w:val="en-US" w:eastAsia="zh-CN"/>
                    </w:rPr>
                    <w:t>0.</w:t>
                  </w:r>
                  <w:r>
                    <w:rPr>
                      <w:rFonts w:hint="eastAsia"/>
                      <w:color w:val="auto"/>
                    </w:rPr>
                    <w:t>494</w:t>
                  </w:r>
                </w:p>
              </w:tc>
              <w:tc>
                <w:tcPr>
                  <w:tcW w:w="1926"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480" w:firstLineChars="200"/>
                    <w:jc w:val="center"/>
                    <w:textAlignment w:val="auto"/>
                    <w:rPr>
                      <w:rFonts w:hint="eastAsia" w:ascii="Times New Roman" w:hAnsi="Times New Roman" w:eastAsia="宋体" w:cs="Times New Roman"/>
                      <w:color w:val="auto"/>
                      <w:sz w:val="21"/>
                      <w:szCs w:val="21"/>
                      <w:lang w:val="en-US" w:eastAsia="zh-CN"/>
                    </w:rPr>
                  </w:pPr>
                  <w:r>
                    <w:rPr>
                      <w:rFonts w:hint="eastAsia"/>
                      <w:color w:val="auto"/>
                      <w:lang w:val="en-US" w:eastAsia="zh-CN"/>
                    </w:rPr>
                    <w:t>0.</w:t>
                  </w:r>
                  <w:r>
                    <w:rPr>
                      <w:rFonts w:hint="eastAsia"/>
                      <w:color w:val="auto"/>
                    </w:rPr>
                    <w:t>485</w:t>
                  </w:r>
                </w:p>
              </w:tc>
            </w:tr>
          </w:tbl>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bookmarkStart w:id="6" w:name="根据现状监测数据和《环境影响评价技术导则 大气环境》（HJ/T2.2-2018）"/>
            <w:bookmarkEnd w:id="6"/>
            <w:r>
              <w:rPr>
                <w:rFonts w:hint="default" w:ascii="Times New Roman" w:hAnsi="Times New Roman" w:eastAsia="宋体" w:cs="Times New Roman"/>
                <w:color w:val="auto"/>
                <w:sz w:val="24"/>
                <w:szCs w:val="24"/>
                <w:lang w:val="en-US" w:eastAsia="zh-CN"/>
              </w:rPr>
              <w:t>根据现状监测数据和《环境影响评价技术导则 大气环境》（HJ/T2.2-2018）对监测数据统计分析要求，其环境空气质量监测点各项污染物的评价结果见表3-</w:t>
            </w: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240" w:lineRule="auto"/>
              <w:ind w:firstLine="2530" w:firstLineChars="1200"/>
              <w:jc w:val="left"/>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 3-</w:t>
            </w:r>
            <w:r>
              <w:rPr>
                <w:rFonts w:hint="eastAsia" w:cs="Times New Roman"/>
                <w:b/>
                <w:bCs/>
                <w:color w:val="auto"/>
                <w:sz w:val="21"/>
                <w:szCs w:val="21"/>
                <w:lang w:val="en-US" w:eastAsia="zh-CN"/>
              </w:rPr>
              <w:t>6</w:t>
            </w:r>
            <w:r>
              <w:rPr>
                <w:rFonts w:hint="default" w:ascii="Times New Roman" w:hAnsi="Times New Roman" w:eastAsia="宋体" w:cs="Times New Roman"/>
                <w:b/>
                <w:bCs/>
                <w:color w:val="auto"/>
                <w:sz w:val="21"/>
                <w:szCs w:val="21"/>
                <w:lang w:val="en-US" w:eastAsia="zh-CN"/>
              </w:rPr>
              <w:tab/>
            </w:r>
            <w:r>
              <w:rPr>
                <w:rFonts w:hint="default" w:ascii="Times New Roman" w:hAnsi="Times New Roman" w:eastAsia="宋体" w:cs="Times New Roman"/>
                <w:b/>
                <w:bCs/>
                <w:color w:val="auto"/>
                <w:sz w:val="21"/>
                <w:szCs w:val="21"/>
                <w:lang w:val="en-US" w:eastAsia="zh-CN"/>
              </w:rPr>
              <w:t>环境空气质量统计分析表</w:t>
            </w:r>
          </w:p>
          <w:tbl>
            <w:tblPr>
              <w:tblStyle w:val="23"/>
              <w:tblpPr w:leftFromText="180" w:rightFromText="180" w:vertAnchor="text" w:horzAnchor="page" w:tblpX="114" w:tblpY="94"/>
              <w:tblOverlap w:val="never"/>
              <w:tblW w:w="494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82"/>
              <w:gridCol w:w="1059"/>
              <w:gridCol w:w="1047"/>
              <w:gridCol w:w="777"/>
              <w:gridCol w:w="658"/>
              <w:gridCol w:w="742"/>
              <w:gridCol w:w="1183"/>
              <w:gridCol w:w="802"/>
              <w:gridCol w:w="615"/>
              <w:gridCol w:w="6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472" w:type="pct"/>
                  <w:vMerge w:val="restar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监测</w:t>
                  </w:r>
                </w:p>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点位</w:t>
                  </w:r>
                </w:p>
              </w:tc>
              <w:tc>
                <w:tcPr>
                  <w:tcW w:w="1271" w:type="pct"/>
                  <w:gridSpan w:val="2"/>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422" w:firstLineChars="200"/>
                    <w:jc w:val="both"/>
                    <w:textAlignment w:val="auto"/>
                    <w:rPr>
                      <w:rFonts w:hint="default" w:ascii="Times New Roman" w:hAnsi="Times New Roman" w:cs="Times New Roman"/>
                      <w:b/>
                      <w:bCs/>
                      <w:color w:val="auto"/>
                      <w:sz w:val="21"/>
                      <w:szCs w:val="21"/>
                      <w:lang w:val="en-US" w:eastAsia="zh-CN"/>
                    </w:rPr>
                  </w:pPr>
                </w:p>
              </w:tc>
              <w:tc>
                <w:tcPr>
                  <w:tcW w:w="469" w:type="pct"/>
                  <w:vMerge w:val="restar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污染物</w:t>
                  </w:r>
                </w:p>
              </w:tc>
              <w:tc>
                <w:tcPr>
                  <w:tcW w:w="397" w:type="pct"/>
                  <w:vMerge w:val="restar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平均时间</w:t>
                  </w:r>
                </w:p>
              </w:tc>
              <w:tc>
                <w:tcPr>
                  <w:tcW w:w="448" w:type="pct"/>
                  <w:vMerge w:val="restar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评价标准mg/m³</w:t>
                  </w:r>
                </w:p>
              </w:tc>
              <w:tc>
                <w:tcPr>
                  <w:tcW w:w="714" w:type="pct"/>
                  <w:vMerge w:val="restar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监测浓度范围mg/m³</w:t>
                  </w:r>
                </w:p>
              </w:tc>
              <w:tc>
                <w:tcPr>
                  <w:tcW w:w="484" w:type="pct"/>
                  <w:vMerge w:val="restar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最大浓度占标率%</w:t>
                  </w:r>
                </w:p>
              </w:tc>
              <w:tc>
                <w:tcPr>
                  <w:tcW w:w="371" w:type="pct"/>
                  <w:vMerge w:val="restar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超标率%</w:t>
                  </w:r>
                </w:p>
              </w:tc>
              <w:tc>
                <w:tcPr>
                  <w:tcW w:w="370" w:type="pct"/>
                  <w:vMerge w:val="restar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达标情况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472" w:type="pct"/>
                  <w:vMerge w:val="continue"/>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211" w:firstLineChars="100"/>
                    <w:jc w:val="center"/>
                    <w:textAlignment w:val="auto"/>
                    <w:rPr>
                      <w:rFonts w:hint="default" w:ascii="Times New Roman" w:hAnsi="Times New Roman" w:cs="Times New Roman"/>
                      <w:b/>
                      <w:bCs/>
                      <w:color w:val="auto"/>
                      <w:sz w:val="21"/>
                      <w:szCs w:val="21"/>
                      <w:lang w:val="en-US" w:eastAsia="zh-CN"/>
                    </w:rPr>
                  </w:pPr>
                </w:p>
              </w:tc>
              <w:tc>
                <w:tcPr>
                  <w:tcW w:w="639"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N</w:t>
                  </w:r>
                </w:p>
              </w:tc>
              <w:tc>
                <w:tcPr>
                  <w:tcW w:w="631" w:type="pct"/>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E</w:t>
                  </w:r>
                </w:p>
              </w:tc>
              <w:tc>
                <w:tcPr>
                  <w:tcW w:w="469" w:type="pct"/>
                  <w:vMerge w:val="continue"/>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210" w:firstLineChars="100"/>
                    <w:jc w:val="center"/>
                    <w:textAlignment w:val="auto"/>
                    <w:rPr>
                      <w:rFonts w:hint="default" w:ascii="Times New Roman" w:hAnsi="Times New Roman" w:cs="Times New Roman"/>
                      <w:color w:val="auto"/>
                      <w:sz w:val="21"/>
                      <w:szCs w:val="21"/>
                      <w:lang w:val="en-US" w:eastAsia="zh-CN"/>
                    </w:rPr>
                  </w:pPr>
                </w:p>
              </w:tc>
              <w:tc>
                <w:tcPr>
                  <w:tcW w:w="397" w:type="pct"/>
                  <w:vMerge w:val="continue"/>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210" w:firstLineChars="100"/>
                    <w:jc w:val="center"/>
                    <w:textAlignment w:val="auto"/>
                    <w:rPr>
                      <w:rFonts w:hint="default" w:ascii="Times New Roman" w:hAnsi="Times New Roman" w:cs="Times New Roman"/>
                      <w:color w:val="auto"/>
                      <w:sz w:val="21"/>
                      <w:szCs w:val="21"/>
                      <w:lang w:val="en-US" w:eastAsia="zh-CN"/>
                    </w:rPr>
                  </w:pPr>
                </w:p>
              </w:tc>
              <w:tc>
                <w:tcPr>
                  <w:tcW w:w="448" w:type="pct"/>
                  <w:vMerge w:val="continue"/>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210" w:firstLineChars="100"/>
                    <w:jc w:val="center"/>
                    <w:textAlignment w:val="auto"/>
                    <w:rPr>
                      <w:rFonts w:hint="default" w:ascii="Times New Roman" w:hAnsi="Times New Roman" w:cs="Times New Roman"/>
                      <w:color w:val="auto"/>
                      <w:sz w:val="21"/>
                      <w:szCs w:val="21"/>
                      <w:lang w:val="en-US" w:eastAsia="zh-CN"/>
                    </w:rPr>
                  </w:pPr>
                </w:p>
              </w:tc>
              <w:tc>
                <w:tcPr>
                  <w:tcW w:w="714" w:type="pct"/>
                  <w:vMerge w:val="continue"/>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210" w:firstLineChars="100"/>
                    <w:jc w:val="center"/>
                    <w:textAlignment w:val="auto"/>
                    <w:rPr>
                      <w:rFonts w:hint="default" w:ascii="Times New Roman" w:hAnsi="Times New Roman" w:cs="Times New Roman"/>
                      <w:color w:val="auto"/>
                      <w:sz w:val="21"/>
                      <w:szCs w:val="21"/>
                      <w:lang w:val="en-US" w:eastAsia="zh-CN"/>
                    </w:rPr>
                  </w:pPr>
                </w:p>
              </w:tc>
              <w:tc>
                <w:tcPr>
                  <w:tcW w:w="484" w:type="pct"/>
                  <w:vMerge w:val="continue"/>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210" w:firstLineChars="100"/>
                    <w:jc w:val="center"/>
                    <w:textAlignment w:val="auto"/>
                    <w:rPr>
                      <w:rFonts w:hint="default" w:ascii="Times New Roman" w:hAnsi="Times New Roman" w:cs="Times New Roman"/>
                      <w:color w:val="auto"/>
                      <w:sz w:val="21"/>
                      <w:szCs w:val="21"/>
                      <w:lang w:val="en-US" w:eastAsia="zh-CN"/>
                    </w:rPr>
                  </w:pPr>
                </w:p>
              </w:tc>
              <w:tc>
                <w:tcPr>
                  <w:tcW w:w="371" w:type="pct"/>
                  <w:vMerge w:val="continue"/>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210" w:firstLineChars="100"/>
                    <w:jc w:val="center"/>
                    <w:textAlignment w:val="auto"/>
                    <w:rPr>
                      <w:rFonts w:hint="default" w:ascii="Times New Roman" w:hAnsi="Times New Roman" w:cs="Times New Roman"/>
                      <w:color w:val="auto"/>
                      <w:sz w:val="21"/>
                      <w:szCs w:val="21"/>
                      <w:lang w:val="en-US" w:eastAsia="zh-CN"/>
                    </w:rPr>
                  </w:pPr>
                </w:p>
              </w:tc>
              <w:tc>
                <w:tcPr>
                  <w:tcW w:w="370" w:type="pct"/>
                  <w:vMerge w:val="continue"/>
                  <w:tcBorders>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ind w:firstLine="210" w:firstLineChars="100"/>
                    <w:jc w:val="center"/>
                    <w:textAlignment w:val="auto"/>
                    <w:rPr>
                      <w:rFonts w:hint="default" w:ascii="Times New Roman" w:hAnsi="Times New Roman" w:cs="Times New Roman"/>
                      <w:color w:val="auto"/>
                      <w:sz w:val="21"/>
                      <w:szCs w:val="21"/>
                      <w:lang w:val="en-US" w:eastAsia="zh-CN"/>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现状监测结果表明，评价区内监测点环境空气中TSP</w:t>
            </w:r>
            <w:r>
              <w:rPr>
                <w:rFonts w:hint="eastAsia" w:cs="Times New Roman"/>
                <w:color w:val="auto"/>
                <w:sz w:val="24"/>
                <w:szCs w:val="24"/>
                <w:lang w:val="en-US" w:eastAsia="zh-CN"/>
              </w:rPr>
              <w:t>超过</w:t>
            </w:r>
            <w:r>
              <w:rPr>
                <w:rFonts w:hint="default" w:ascii="Times New Roman" w:hAnsi="Times New Roman" w:eastAsia="宋体" w:cs="Times New Roman"/>
                <w:color w:val="auto"/>
                <w:sz w:val="24"/>
                <w:szCs w:val="24"/>
                <w:lang w:val="en-US" w:eastAsia="zh-CN"/>
              </w:rPr>
              <w:t>《环境空气质量标准》（GB3095-2012）及其修改单的二级标准要求。</w:t>
            </w:r>
            <w:r>
              <w:rPr>
                <w:rFonts w:hint="eastAsia" w:cs="Times New Roman"/>
                <w:color w:val="auto"/>
                <w:sz w:val="24"/>
                <w:szCs w:val="24"/>
                <w:lang w:val="en-US" w:eastAsia="zh-CN"/>
              </w:rPr>
              <w:t>其超标原因为本</w:t>
            </w:r>
            <w:r>
              <w:rPr>
                <w:rFonts w:hint="default" w:ascii="Times New Roman" w:hAnsi="Times New Roman" w:eastAsia="宋体" w:cs="Times New Roman"/>
                <w:color w:val="auto"/>
                <w:sz w:val="24"/>
                <w:szCs w:val="24"/>
              </w:rPr>
              <w:t>项目所在区域为大气环境质量非达标区</w:t>
            </w:r>
            <w:r>
              <w:rPr>
                <w:rFonts w:hint="eastAsia" w:cs="Times New Roman"/>
                <w:color w:val="auto"/>
                <w:sz w:val="24"/>
                <w:szCs w:val="24"/>
                <w:lang w:eastAsia="zh-CN"/>
              </w:rPr>
              <w:t>，</w:t>
            </w:r>
            <w:r>
              <w:rPr>
                <w:rFonts w:hint="eastAsia" w:cs="Times New Roman"/>
                <w:color w:val="auto"/>
                <w:sz w:val="24"/>
                <w:szCs w:val="24"/>
                <w:lang w:val="en-US" w:eastAsia="zh-CN"/>
              </w:rPr>
              <w:t>且位于伊</w:t>
            </w:r>
            <w:r>
              <w:rPr>
                <w:rFonts w:hint="default" w:ascii="Times New Roman" w:hAnsi="Times New Roman" w:eastAsia="宋体" w:cs="Times New Roman"/>
                <w:color w:val="000000"/>
                <w:sz w:val="24"/>
              </w:rPr>
              <w:t>拉湖循环经济产业园</w:t>
            </w:r>
            <w:r>
              <w:rPr>
                <w:rFonts w:hint="eastAsia" w:cs="Times New Roman"/>
                <w:color w:val="000000"/>
                <w:sz w:val="24"/>
                <w:lang w:val="en-US" w:eastAsia="zh-CN"/>
              </w:rPr>
              <w:t>北侧，该产业园以煤化工产业区为主，特征因子为TSP，故TSP空气质量现状值超标。</w:t>
            </w:r>
          </w:p>
          <w:p>
            <w:pPr>
              <w:adjustRightInd w:val="0"/>
              <w:spacing w:line="360" w:lineRule="auto"/>
              <w:ind w:left="0" w:leftChars="0" w:firstLine="0" w:firstLineChars="0"/>
              <w:rPr>
                <w:b/>
                <w:bCs/>
                <w:sz w:val="24"/>
              </w:rPr>
            </w:pPr>
            <w:r>
              <w:rPr>
                <w:rFonts w:hint="eastAsia"/>
                <w:b/>
                <w:bCs/>
                <w:sz w:val="24"/>
                <w:lang w:val="en-US" w:eastAsia="zh-CN"/>
              </w:rPr>
              <w:t>3</w:t>
            </w:r>
            <w:r>
              <w:rPr>
                <w:rFonts w:hint="eastAsia"/>
                <w:b/>
                <w:bCs/>
                <w:sz w:val="24"/>
              </w:rPr>
              <w:t>.地表水</w:t>
            </w:r>
            <w:r>
              <w:rPr>
                <w:b/>
                <w:bCs/>
                <w:sz w:val="24"/>
              </w:rPr>
              <w:t>环境</w:t>
            </w:r>
          </w:p>
          <w:p>
            <w:pPr>
              <w:adjustRightInd w:val="0"/>
              <w:spacing w:line="360" w:lineRule="auto"/>
              <w:ind w:firstLine="480" w:firstLineChars="200"/>
              <w:rPr>
                <w:color w:val="auto"/>
                <w:sz w:val="24"/>
              </w:rPr>
            </w:pPr>
            <w:r>
              <w:rPr>
                <w:rFonts w:hint="default" w:ascii="Times New Roman" w:hAnsi="Times New Roman" w:eastAsia="宋体" w:cs="Times New Roman"/>
                <w:color w:val="auto"/>
                <w:sz w:val="24"/>
                <w:szCs w:val="24"/>
                <w:lang w:val="en-US" w:eastAsia="zh-CN"/>
              </w:rPr>
              <w:t>本项目</w:t>
            </w:r>
            <w:r>
              <w:rPr>
                <w:rFonts w:hint="eastAsia" w:ascii="Times New Roman" w:hAnsi="Times New Roman" w:eastAsia="宋体" w:cs="Times New Roman"/>
                <w:color w:val="auto"/>
                <w:sz w:val="24"/>
                <w:szCs w:val="24"/>
                <w:lang w:val="en-US" w:eastAsia="zh-CN"/>
              </w:rPr>
              <w:t>生产废水循环使用不外排，生活污水经化粪池预处理以后，定期清运至</w:t>
            </w:r>
            <w:r>
              <w:rPr>
                <w:rFonts w:hint="eastAsia" w:cs="Times New Roman"/>
                <w:color w:val="auto"/>
                <w:sz w:val="24"/>
                <w:szCs w:val="24"/>
                <w:lang w:val="en-US" w:eastAsia="zh-CN"/>
              </w:rPr>
              <w:t>伊拉湖镇污水处理厂</w:t>
            </w:r>
            <w:r>
              <w:rPr>
                <w:rFonts w:hint="default" w:ascii="Times New Roman" w:hAnsi="Times New Roman" w:eastAsia="宋体" w:cs="Times New Roman"/>
                <w:color w:val="auto"/>
                <w:sz w:val="24"/>
                <w:szCs w:val="24"/>
                <w:lang w:val="en-US" w:eastAsia="zh-CN"/>
              </w:rPr>
              <w:t>。根据《环境影响评价技术导则地表水环境》（HJ2.3-2018），本项目地表水评价等级为三级B，且</w:t>
            </w:r>
            <w:r>
              <w:rPr>
                <w:rFonts w:hint="eastAsia" w:ascii="Times New Roman" w:hAnsi="Times New Roman" w:eastAsia="宋体" w:cs="Times New Roman"/>
                <w:color w:val="auto"/>
                <w:sz w:val="24"/>
                <w:szCs w:val="24"/>
                <w:lang w:val="en-US" w:eastAsia="zh-CN"/>
              </w:rPr>
              <w:t>本项</w:t>
            </w:r>
            <w:r>
              <w:rPr>
                <w:rFonts w:hint="eastAsia"/>
                <w:color w:val="auto"/>
                <w:sz w:val="24"/>
                <w:lang w:eastAsia="zh-CN"/>
              </w:rPr>
              <w:t>目</w:t>
            </w:r>
            <w:r>
              <w:rPr>
                <w:rFonts w:hint="eastAsia"/>
                <w:color w:val="auto"/>
                <w:sz w:val="24"/>
                <w:lang w:val="en-US" w:eastAsia="zh-CN"/>
              </w:rPr>
              <w:t>1km范围内</w:t>
            </w:r>
            <w:r>
              <w:rPr>
                <w:color w:val="auto"/>
                <w:sz w:val="24"/>
              </w:rPr>
              <w:t>的无与本项目有</w:t>
            </w:r>
            <w:r>
              <w:rPr>
                <w:rFonts w:hint="eastAsia"/>
                <w:color w:val="auto"/>
                <w:sz w:val="24"/>
              </w:rPr>
              <w:t>水利</w:t>
            </w:r>
            <w:r>
              <w:rPr>
                <w:color w:val="auto"/>
                <w:sz w:val="24"/>
              </w:rPr>
              <w:t>联系的地表水体。故</w:t>
            </w:r>
            <w:r>
              <w:rPr>
                <w:rFonts w:hint="eastAsia"/>
                <w:color w:val="auto"/>
                <w:sz w:val="24"/>
                <w:lang w:eastAsia="zh-CN"/>
              </w:rPr>
              <w:t>可不</w:t>
            </w:r>
            <w:r>
              <w:rPr>
                <w:color w:val="auto"/>
                <w:sz w:val="24"/>
              </w:rPr>
              <w:t>开展地表水环境影响评价。</w:t>
            </w:r>
          </w:p>
          <w:p>
            <w:pPr>
              <w:adjustRightInd w:val="0"/>
              <w:spacing w:line="360" w:lineRule="auto"/>
              <w:ind w:left="0" w:leftChars="0" w:firstLine="0" w:firstLineChars="0"/>
              <w:rPr>
                <w:b/>
                <w:bCs/>
                <w:kern w:val="0"/>
                <w:sz w:val="24"/>
              </w:rPr>
            </w:pPr>
            <w:r>
              <w:rPr>
                <w:rFonts w:hint="eastAsia"/>
                <w:b/>
                <w:bCs/>
                <w:sz w:val="24"/>
                <w:lang w:val="en-US" w:eastAsia="zh-CN"/>
              </w:rPr>
              <w:t>4</w:t>
            </w:r>
            <w:r>
              <w:rPr>
                <w:rFonts w:hint="eastAsia"/>
                <w:b/>
                <w:bCs/>
                <w:sz w:val="24"/>
              </w:rPr>
              <w:t>.</w:t>
            </w:r>
            <w:r>
              <w:rPr>
                <w:b/>
                <w:bCs/>
                <w:kern w:val="0"/>
                <w:sz w:val="24"/>
              </w:rPr>
              <w:t>声环境</w:t>
            </w:r>
          </w:p>
          <w:p>
            <w:pPr>
              <w:adjustRightInd w:val="0"/>
              <w:spacing w:line="360" w:lineRule="auto"/>
              <w:ind w:firstLine="480" w:firstLineChars="200"/>
              <w:rPr>
                <w:rFonts w:hint="eastAsia" w:eastAsia="宋体"/>
                <w:sz w:val="24"/>
                <w:lang w:eastAsia="zh-CN"/>
              </w:rPr>
            </w:pPr>
            <w:r>
              <w:rPr>
                <w:sz w:val="24"/>
              </w:rPr>
              <w:t>根据本项目所在位置、所在区域声环境功能及当地气象、地形等因素，项目区</w:t>
            </w:r>
            <w:r>
              <w:rPr>
                <w:rFonts w:hint="eastAsia"/>
                <w:sz w:val="24"/>
              </w:rPr>
              <w:t>50</w:t>
            </w:r>
            <w:r>
              <w:rPr>
                <w:sz w:val="24"/>
              </w:rPr>
              <w:t>m范围内无声环境敏感目标，</w:t>
            </w:r>
            <w:r>
              <w:rPr>
                <w:rFonts w:hint="eastAsia"/>
                <w:sz w:val="24"/>
              </w:rPr>
              <w:t>根据</w:t>
            </w:r>
            <w:r>
              <w:rPr>
                <w:sz w:val="24"/>
              </w:rPr>
              <w:t>建设项目环境影响报告表编制技术指南（污染影响类）（试行）</w:t>
            </w:r>
            <w:r>
              <w:rPr>
                <w:rFonts w:hint="eastAsia"/>
                <w:sz w:val="24"/>
              </w:rPr>
              <w:t>，</w:t>
            </w:r>
            <w:r>
              <w:rPr>
                <w:sz w:val="24"/>
              </w:rPr>
              <w:t>可不开展声环境现状调查</w:t>
            </w:r>
            <w:r>
              <w:rPr>
                <w:rFonts w:hint="eastAsia"/>
                <w:sz w:val="24"/>
                <w:lang w:eastAsia="zh-CN"/>
              </w:rPr>
              <w:t>。</w:t>
            </w:r>
          </w:p>
          <w:p>
            <w:pPr>
              <w:adjustRightInd w:val="0"/>
              <w:spacing w:line="360" w:lineRule="auto"/>
              <w:ind w:left="0" w:leftChars="0" w:firstLine="0" w:firstLineChars="0"/>
              <w:rPr>
                <w:rFonts w:hint="eastAsia"/>
                <w:b/>
                <w:bCs/>
                <w:color w:val="auto"/>
                <w:sz w:val="24"/>
                <w:highlight w:val="none"/>
                <w:lang w:val="en-US" w:eastAsia="zh-CN"/>
              </w:rPr>
            </w:pPr>
            <w:r>
              <w:rPr>
                <w:rFonts w:hint="eastAsia"/>
                <w:b/>
                <w:bCs/>
                <w:color w:val="auto"/>
                <w:sz w:val="24"/>
                <w:highlight w:val="none"/>
                <w:lang w:val="en-US" w:eastAsia="zh-CN"/>
              </w:rPr>
              <w:t>5地下水、土壤环境</w:t>
            </w:r>
          </w:p>
          <w:p>
            <w:pPr>
              <w:pStyle w:val="37"/>
              <w:pageBreakBefore w:val="0"/>
              <w:widowControl w:val="0"/>
              <w:kinsoku/>
              <w:wordWrap/>
              <w:overflowPunct/>
              <w:topLinePunct w:val="0"/>
              <w:bidi w:val="0"/>
              <w:snapToGrid w:val="0"/>
              <w:spacing w:line="360" w:lineRule="auto"/>
              <w:ind w:left="0" w:leftChars="0" w:firstLine="0" w:firstLineChars="0"/>
              <w:rPr>
                <w:rFonts w:hint="eastAsia" w:ascii="Times New Roman" w:eastAsia="宋体" w:cs="Times New Roman"/>
                <w:b/>
                <w:bCs/>
                <w:color w:val="auto"/>
                <w:highlight w:val="none"/>
                <w:lang w:val="en-US" w:eastAsia="zh-CN"/>
              </w:rPr>
            </w:pPr>
            <w:r>
              <w:rPr>
                <w:rFonts w:hint="eastAsia" w:ascii="Times New Roman" w:eastAsia="宋体" w:cs="Times New Roman"/>
                <w:b/>
                <w:bCs/>
                <w:color w:val="auto"/>
                <w:highlight w:val="none"/>
                <w:lang w:val="en-US" w:eastAsia="zh-CN"/>
              </w:rPr>
              <w:t>5.1地下水环境</w:t>
            </w:r>
          </w:p>
          <w:p>
            <w:pPr>
              <w:bidi w:val="0"/>
              <w:spacing w:line="360" w:lineRule="auto"/>
              <w:rPr>
                <w:rFonts w:hint="default"/>
                <w:lang w:val="en-US" w:eastAsia="zh-CN"/>
              </w:rPr>
            </w:pPr>
            <w:r>
              <w:rPr>
                <w:rFonts w:hint="default"/>
                <w:lang w:val="en-US" w:eastAsia="zh-CN"/>
              </w:rPr>
              <w:t>根据《环境影响评价技术导则 地下水环境》（HJ610-2016）附录A，本项目为“J非金属矿采选及制品制造、60商品混凝土加工”，其报告表地下水环境影响评价类别属于Ⅳ类项目。根据《环境影响评价技术导则 地下水环境》可知，Ⅳ类建设项目不展开地下水环境影响评价。</w:t>
            </w:r>
          </w:p>
          <w:p>
            <w:pPr>
              <w:keepNext w:val="0"/>
              <w:keepLines w:val="0"/>
              <w:suppressLineNumbers w:val="0"/>
              <w:spacing w:before="0" w:beforeAutospacing="0" w:after="0" w:afterAutospacing="0"/>
              <w:ind w:left="0" w:right="0" w:firstLine="480"/>
              <w:rPr>
                <w:rFonts w:hint="default" w:eastAsia="宋体"/>
                <w:lang w:val="en-US" w:eastAsia="zh-CN"/>
              </w:rPr>
            </w:pPr>
            <w:r>
              <w:rPr>
                <w:rFonts w:hint="eastAsia"/>
                <w:lang w:val="en-US" w:eastAsia="zh-CN"/>
              </w:rPr>
              <w:t>同时根据《建设项目环境影响报告表编制技术指南（污染影响类）》（试行），本项目不存在直接地下水污染途径，不存在地下水敏感目标，亦可不开展地下水现状调查与评价。</w:t>
            </w:r>
          </w:p>
          <w:p>
            <w:pPr>
              <w:spacing w:line="360" w:lineRule="auto"/>
              <w:ind w:left="0" w:leftChars="0" w:firstLine="0" w:firstLineChars="0"/>
              <w:rPr>
                <w:rFonts w:ascii="Times New Roman" w:cs="Times New Roman"/>
                <w:color w:val="000000"/>
              </w:rPr>
            </w:pPr>
            <w:r>
              <w:rPr>
                <w:rFonts w:hint="eastAsia" w:cs="Times New Roman"/>
                <w:b/>
                <w:bCs/>
                <w:color w:val="auto"/>
                <w:sz w:val="24"/>
                <w:szCs w:val="24"/>
                <w:highlight w:val="none"/>
                <w:lang w:val="en-US" w:eastAsia="zh-CN"/>
              </w:rPr>
              <w:t>5.2土壤环境</w:t>
            </w:r>
          </w:p>
          <w:p>
            <w:pPr>
              <w:adjustRightInd w:val="0"/>
              <w:spacing w:line="360" w:lineRule="auto"/>
              <w:ind w:firstLine="480" w:firstLineChars="200"/>
              <w:rPr>
                <w:rFonts w:hint="eastAsia" w:ascii="Times New Roman" w:cs="Times New Roman"/>
                <w:color w:val="auto"/>
                <w:lang w:eastAsia="zh-CN"/>
              </w:rPr>
            </w:pPr>
            <w:r>
              <w:rPr>
                <w:rFonts w:ascii="Times New Roman" w:cs="Times New Roman"/>
                <w:color w:val="000000"/>
              </w:rPr>
              <w:t>依据《建设项目环境影响报告表编制技术指南（污染影响类）（试行）》：原则上不开展环境质量现状调查。建设项目存在土壤、地下水环境污染途径的，应结合污染源、保护目标分布情况开展现状调查以留作背景值。本项目运营期无地下水和土壤污染源，对地下水及土壤影响不大，故不再开展地下水、土壤环境质</w:t>
            </w:r>
            <w:r>
              <w:rPr>
                <w:rFonts w:ascii="Times New Roman" w:cs="Times New Roman"/>
                <w:color w:val="auto"/>
              </w:rPr>
              <w:t>量现状评价</w:t>
            </w:r>
            <w:r>
              <w:rPr>
                <w:rFonts w:hint="eastAsia" w:ascii="Times New Roman" w:cs="Times New Roman"/>
                <w:color w:val="auto"/>
                <w:lang w:eastAsia="zh-CN"/>
              </w:rPr>
              <w:t>。</w:t>
            </w:r>
          </w:p>
          <w:p>
            <w:pPr>
              <w:adjustRightInd w:val="0"/>
              <w:spacing w:line="360" w:lineRule="auto"/>
              <w:ind w:left="0" w:leftChars="0" w:firstLine="0" w:firstLineChars="0"/>
              <w:rPr>
                <w:rFonts w:hint="eastAsia" w:ascii="Times New Roman" w:cs="Times New Roman"/>
                <w:b/>
                <w:bCs/>
                <w:color w:val="auto"/>
                <w:lang w:val="en-US" w:eastAsia="zh-CN"/>
              </w:rPr>
            </w:pPr>
            <w:r>
              <w:rPr>
                <w:rFonts w:hint="eastAsia" w:ascii="Times New Roman" w:cs="Times New Roman"/>
                <w:b/>
                <w:bCs/>
                <w:color w:val="auto"/>
                <w:lang w:val="en-US" w:eastAsia="zh-CN"/>
              </w:rPr>
              <w:t>6.生态环境</w:t>
            </w:r>
          </w:p>
          <w:p>
            <w:pPr>
              <w:keepNext w:val="0"/>
              <w:keepLines w:val="0"/>
              <w:widowControl/>
              <w:suppressLineNumbers w:val="0"/>
              <w:spacing w:line="360" w:lineRule="auto"/>
              <w:ind w:left="0" w:leftChars="0" w:firstLine="0" w:firstLineChars="0"/>
              <w:jc w:val="left"/>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cs="Times New Roman"/>
                <w:b/>
                <w:bCs/>
                <w:color w:val="auto"/>
                <w:kern w:val="0"/>
                <w:sz w:val="24"/>
                <w:szCs w:val="24"/>
                <w:lang w:val="en-US" w:eastAsia="zh-CN" w:bidi="ar"/>
              </w:rPr>
              <w:t>6.1</w:t>
            </w:r>
            <w:r>
              <w:rPr>
                <w:rFonts w:hint="default" w:ascii="Times New Roman" w:hAnsi="Times New Roman" w:eastAsia="宋体" w:cs="Times New Roman"/>
                <w:b/>
                <w:bCs/>
                <w:color w:val="auto"/>
                <w:kern w:val="0"/>
                <w:sz w:val="24"/>
                <w:szCs w:val="24"/>
                <w:lang w:val="en-US" w:eastAsia="zh-CN" w:bidi="ar"/>
              </w:rPr>
              <w:t>土壤</w:t>
            </w:r>
            <w:r>
              <w:rPr>
                <w:rFonts w:hint="default" w:ascii="Times New Roman" w:hAnsi="Times New Roman" w:cs="Times New Roman"/>
                <w:b/>
                <w:bCs/>
                <w:color w:val="auto"/>
                <w:kern w:val="0"/>
                <w:sz w:val="24"/>
                <w:szCs w:val="24"/>
                <w:lang w:val="en-US" w:eastAsia="zh-CN" w:bidi="ar"/>
              </w:rPr>
              <w:t>现状调查</w:t>
            </w:r>
          </w:p>
          <w:p>
            <w:pPr>
              <w:keepNext w:val="0"/>
              <w:keepLines w:val="0"/>
              <w:suppressLineNumbers w:val="0"/>
              <w:spacing w:before="0" w:beforeAutospacing="0" w:after="0" w:afterAutospacing="0" w:line="360" w:lineRule="auto"/>
              <w:ind w:left="0" w:right="0" w:firstLine="480" w:firstLineChars="200"/>
              <w:rPr>
                <w:rFonts w:hint="default"/>
                <w:color w:val="auto"/>
                <w:lang w:val="en-US" w:eastAsia="zh-CN"/>
              </w:rPr>
            </w:pPr>
            <w:r>
              <w:rPr>
                <w:rFonts w:hint="eastAsia" w:ascii="Times New Roman" w:hAnsi="Times New Roman" w:eastAsia="宋体" w:cs="Times New Roman"/>
                <w:color w:val="auto"/>
                <w:highlight w:val="none"/>
                <w:lang w:val="en-US" w:eastAsia="zh-CN"/>
              </w:rPr>
              <w:t>本项目位于</w:t>
            </w:r>
            <w:r>
              <w:rPr>
                <w:rFonts w:hint="default" w:ascii="Times New Roman" w:hAnsi="Times New Roman" w:eastAsia="宋体" w:cs="Times New Roman"/>
                <w:color w:val="auto"/>
                <w:highlight w:val="none"/>
                <w:lang w:val="en-US" w:eastAsia="zh-CN"/>
              </w:rPr>
              <w:t>托克逊县S301省道北侧</w:t>
            </w:r>
            <w:r>
              <w:rPr>
                <w:rFonts w:hint="eastAsia" w:cs="Times New Roman"/>
                <w:color w:val="auto"/>
                <w:highlight w:val="none"/>
                <w:lang w:val="en-US" w:eastAsia="zh-CN"/>
              </w:rPr>
              <w:t>1.9公里</w:t>
            </w:r>
            <w:r>
              <w:rPr>
                <w:rFonts w:hint="default" w:ascii="Times New Roman" w:hAnsi="Times New Roman" w:eastAsia="宋体" w:cs="Times New Roman"/>
                <w:color w:val="auto"/>
                <w:highlight w:val="none"/>
                <w:lang w:val="en-US" w:eastAsia="zh-CN"/>
              </w:rPr>
              <w:t>、中泰天雨煤化工东侧4公里</w:t>
            </w:r>
            <w:r>
              <w:rPr>
                <w:rFonts w:hint="eastAsia" w:cs="Times New Roman"/>
                <w:color w:val="auto"/>
                <w:highlight w:val="none"/>
                <w:lang w:val="en-US" w:eastAsia="zh-CN"/>
              </w:rPr>
              <w:t>处，南</w:t>
            </w:r>
            <w:r>
              <w:rPr>
                <w:rFonts w:hint="eastAsia" w:ascii="Times New Roman" w:hAnsi="Times New Roman" w:eastAsia="宋体" w:cs="Times New Roman"/>
                <w:color w:val="auto"/>
                <w:highlight w:val="none"/>
                <w:lang w:val="en-US" w:eastAsia="zh-CN"/>
              </w:rPr>
              <w:t>侧</w:t>
            </w:r>
            <w:r>
              <w:rPr>
                <w:rFonts w:hint="eastAsia" w:cs="Times New Roman"/>
                <w:color w:val="auto"/>
                <w:highlight w:val="none"/>
                <w:lang w:val="en-US" w:eastAsia="zh-CN"/>
              </w:rPr>
              <w:t>85</w:t>
            </w:r>
            <w:r>
              <w:rPr>
                <w:rFonts w:hint="eastAsia" w:ascii="Times New Roman" w:hAnsi="Times New Roman" w:eastAsia="宋体" w:cs="Times New Roman"/>
                <w:color w:val="auto"/>
                <w:highlight w:val="none"/>
                <w:lang w:val="en-US" w:eastAsia="zh-CN"/>
              </w:rPr>
              <w:t>m处为陇新化工，东侧</w:t>
            </w:r>
            <w:r>
              <w:rPr>
                <w:rFonts w:hint="eastAsia" w:cs="Times New Roman"/>
                <w:color w:val="auto"/>
                <w:highlight w:val="none"/>
                <w:lang w:val="en-US" w:eastAsia="zh-CN"/>
              </w:rPr>
              <w:t>4km处为中泰天雨煤化工</w:t>
            </w:r>
            <w:r>
              <w:rPr>
                <w:rFonts w:hint="eastAsia" w:ascii="Times New Roman" w:hAnsi="Times New Roman" w:eastAsia="宋体" w:cs="Times New Roman"/>
                <w:color w:val="auto"/>
                <w:highlight w:val="none"/>
                <w:lang w:val="en-US" w:eastAsia="zh-CN"/>
              </w:rPr>
              <w:t>、</w:t>
            </w:r>
            <w:r>
              <w:rPr>
                <w:rFonts w:hint="eastAsia" w:cs="Times New Roman"/>
                <w:color w:val="auto"/>
                <w:highlight w:val="none"/>
                <w:lang w:val="en-US" w:eastAsia="zh-CN"/>
              </w:rPr>
              <w:t>西侧</w:t>
            </w:r>
            <w:r>
              <w:rPr>
                <w:rFonts w:hint="eastAsia" w:ascii="Times New Roman" w:hAnsi="Times New Roman" w:eastAsia="宋体" w:cs="Times New Roman"/>
                <w:color w:val="auto"/>
                <w:highlight w:val="none"/>
                <w:lang w:val="en-US" w:eastAsia="zh-CN"/>
              </w:rPr>
              <w:t>现状</w:t>
            </w:r>
            <w:r>
              <w:rPr>
                <w:rFonts w:hint="eastAsia" w:cs="Times New Roman"/>
                <w:color w:val="auto"/>
                <w:highlight w:val="none"/>
                <w:lang w:val="en-US" w:eastAsia="zh-CN"/>
              </w:rPr>
              <w:t>空地</w:t>
            </w:r>
            <w:r>
              <w:rPr>
                <w:rFonts w:hint="eastAsia" w:ascii="Times New Roman" w:hAnsi="Times New Roman" w:eastAsia="宋体" w:cs="Times New Roman"/>
                <w:color w:val="auto"/>
                <w:highlight w:val="none"/>
                <w:lang w:val="en-US" w:eastAsia="zh-CN"/>
              </w:rPr>
              <w:t>。</w:t>
            </w:r>
            <w:r>
              <w:rPr>
                <w:rFonts w:hint="default"/>
                <w:color w:val="auto"/>
                <w:lang w:val="en-US" w:eastAsia="zh-CN"/>
              </w:rPr>
              <w:t>土壤类型为棕漠土。棕漠土是在极端干旱的气候条件下，由砾质冲积物发育而形成的一类地带性土壤。这类土壤与砾石戈壁相联系，土质多为砾类土，土壤剖面中看不出有明显的腐殖质层，表层有机质含量低，平均仅占0.91%，砂砾级含量较高，主要为砾石覆盖层，粒径3～12cm之间。剖面中下层也出现较厚的砂砾层和砂土层，母质层一般质地较粗，一般5m以下有数量不同的石膏聚集和可溶性盐类沉淀，具有较高的碱化度。棕漠土具有矿物质分解作用弱，土壤质地粗，地表有较多的粗细砾石，植物生存条件极差。</w:t>
            </w:r>
          </w:p>
          <w:p>
            <w:pPr>
              <w:keepNext w:val="0"/>
              <w:keepLines w:val="0"/>
              <w:widowControl/>
              <w:suppressLineNumbers w:val="0"/>
              <w:spacing w:line="360" w:lineRule="auto"/>
              <w:ind w:left="0" w:leftChars="0" w:firstLine="0" w:firstLineChars="0"/>
              <w:jc w:val="left"/>
              <w:rPr>
                <w:rFonts w:hint="default" w:ascii="Times New Roman" w:hAnsi="Times New Roman" w:cs="Times New Roman"/>
                <w:b/>
                <w:bCs/>
                <w:color w:val="auto"/>
                <w:kern w:val="0"/>
                <w:sz w:val="24"/>
                <w:szCs w:val="24"/>
                <w:lang w:val="en-US" w:eastAsia="zh-CN" w:bidi="ar"/>
              </w:rPr>
            </w:pPr>
            <w:r>
              <w:rPr>
                <w:rFonts w:hint="eastAsia" w:cs="Times New Roman"/>
                <w:b/>
                <w:bCs/>
                <w:color w:val="auto"/>
                <w:kern w:val="0"/>
                <w:sz w:val="24"/>
                <w:szCs w:val="24"/>
                <w:lang w:val="en-US" w:eastAsia="zh-CN" w:bidi="ar"/>
              </w:rPr>
              <w:t>6.2</w:t>
            </w:r>
            <w:r>
              <w:rPr>
                <w:rFonts w:hint="eastAsia" w:ascii="Times New Roman" w:hAnsi="Times New Roman" w:cs="Times New Roman"/>
                <w:b/>
                <w:bCs/>
                <w:color w:val="auto"/>
                <w:kern w:val="0"/>
                <w:sz w:val="24"/>
                <w:szCs w:val="24"/>
                <w:lang w:val="en-US" w:eastAsia="zh-CN" w:bidi="ar"/>
              </w:rPr>
              <w:t xml:space="preserve">植被现状调查 </w:t>
            </w:r>
          </w:p>
          <w:p>
            <w:pPr>
              <w:keepNext w:val="0"/>
              <w:keepLines w:val="0"/>
              <w:widowControl/>
              <w:suppressLineNumbers w:val="0"/>
              <w:spacing w:line="360" w:lineRule="auto"/>
              <w:jc w:val="left"/>
              <w:rPr>
                <w:color w:val="auto"/>
              </w:rPr>
            </w:pPr>
            <w:r>
              <w:rPr>
                <w:rFonts w:hint="eastAsia"/>
                <w:color w:val="auto"/>
                <w:sz w:val="24"/>
                <w:szCs w:val="24"/>
                <w:lang w:val="en-US" w:eastAsia="zh-CN"/>
              </w:rPr>
              <w:t>本项目属于项目区自然条件恶劣，生态环境脆弱，生态容量低，生态类型属草原荒漠。占地范围内地表植被稀疏，零星分布有戈壁藜、柽柳等物种。植被覆盖度几为零。</w:t>
            </w:r>
          </w:p>
          <w:p>
            <w:pPr>
              <w:keepNext w:val="0"/>
              <w:keepLines w:val="0"/>
              <w:widowControl/>
              <w:suppressLineNumbers w:val="0"/>
              <w:spacing w:line="360" w:lineRule="auto"/>
              <w:ind w:left="0" w:leftChars="0" w:firstLine="0" w:firstLineChars="0"/>
              <w:jc w:val="left"/>
              <w:rPr>
                <w:rFonts w:hint="eastAsia" w:ascii="Times New Roman" w:hAnsi="Times New Roman" w:cs="Times New Roman"/>
                <w:b/>
                <w:bCs/>
                <w:color w:val="auto"/>
                <w:kern w:val="0"/>
                <w:sz w:val="24"/>
                <w:szCs w:val="24"/>
                <w:lang w:val="en-US" w:eastAsia="zh-CN" w:bidi="ar"/>
              </w:rPr>
            </w:pPr>
            <w:r>
              <w:rPr>
                <w:rFonts w:hint="eastAsia" w:cs="Times New Roman"/>
                <w:b/>
                <w:bCs/>
                <w:color w:val="auto"/>
                <w:kern w:val="0"/>
                <w:sz w:val="24"/>
                <w:szCs w:val="24"/>
                <w:lang w:val="en-US" w:eastAsia="zh-CN" w:bidi="ar"/>
              </w:rPr>
              <w:t>6.3</w:t>
            </w:r>
            <w:r>
              <w:rPr>
                <w:rFonts w:hint="eastAsia" w:ascii="Times New Roman" w:hAnsi="Times New Roman" w:cs="Times New Roman"/>
                <w:b/>
                <w:bCs/>
                <w:color w:val="auto"/>
                <w:kern w:val="0"/>
                <w:sz w:val="24"/>
                <w:szCs w:val="24"/>
                <w:lang w:val="en-US" w:eastAsia="zh-CN" w:bidi="ar"/>
              </w:rPr>
              <w:t xml:space="preserve">动物现状调查 </w:t>
            </w:r>
          </w:p>
          <w:p>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根据吐鲁番地区环境质量报告书（1991～1995年）介绍，目前已查明，吐鲁番境内受保护的野生动物有：鸟类：一类：金雕、大鸨；二类：高山雪鸡、苍鹰、猎隼、猫头鹰。</w:t>
            </w:r>
            <w:r>
              <w:rPr>
                <w:rFonts w:hint="default" w:ascii="Times New Roman" w:hAnsi="Times New Roman" w:cs="Times New Roman"/>
                <w:color w:val="auto"/>
                <w:kern w:val="0"/>
                <w:sz w:val="24"/>
                <w:szCs w:val="24"/>
                <w:lang w:val="en-US" w:eastAsia="zh-CN" w:bidi="ar"/>
              </w:rPr>
              <w:t>其他还有</w:t>
            </w:r>
            <w:r>
              <w:rPr>
                <w:rFonts w:hint="default" w:ascii="Times New Roman" w:hAnsi="Times New Roman" w:eastAsia="宋体" w:cs="Times New Roman"/>
                <w:color w:val="auto"/>
                <w:kern w:val="0"/>
                <w:sz w:val="24"/>
                <w:szCs w:val="24"/>
                <w:lang w:val="en-US" w:eastAsia="zh-CN" w:bidi="ar"/>
              </w:rPr>
              <w:t>：麻雀、呱啦鸡、家燕、野鸭、大雁等。鸟类中国家一、二级有18种，其它有17种</w:t>
            </w:r>
            <w:r>
              <w:rPr>
                <w:rFonts w:hint="eastAsia" w:ascii="宋体" w:hAnsi="宋体" w:eastAsia="宋体" w:cs="宋体"/>
                <w:color w:val="auto"/>
                <w:kern w:val="0"/>
                <w:sz w:val="24"/>
                <w:szCs w:val="24"/>
                <w:lang w:val="en-US" w:eastAsia="zh-CN" w:bidi="ar"/>
              </w:rPr>
              <w:t>。兽类：一类：雪豹、蒙新野驴、野骆驼、北山羊、盘羊；二类：猞猁、黄羊（鹅喉羚）、兔狲、塔里木兔、摹斑毛、马鹿。此外还有：狗熊、野猪、赤狸等。</w:t>
            </w:r>
          </w:p>
          <w:p>
            <w:pPr>
              <w:keepNext w:val="0"/>
              <w:keepLines w:val="0"/>
              <w:widowControl/>
              <w:suppressLineNumbers w:val="0"/>
              <w:spacing w:line="360" w:lineRule="auto"/>
              <w:jc w:val="left"/>
              <w:rPr>
                <w:rFonts w:hint="eastAsia" w:eastAsia="宋体"/>
                <w:color w:val="FF0000"/>
                <w:lang w:val="en-US" w:eastAsia="zh-CN"/>
              </w:rPr>
            </w:pPr>
            <w:r>
              <w:rPr>
                <w:rFonts w:hint="eastAsia" w:ascii="宋体" w:hAnsi="宋体" w:eastAsia="宋体" w:cs="宋体"/>
                <w:color w:val="auto"/>
                <w:kern w:val="0"/>
                <w:sz w:val="24"/>
                <w:szCs w:val="24"/>
                <w:lang w:val="en-US" w:eastAsia="zh-CN" w:bidi="ar"/>
              </w:rPr>
              <w:t>本项目所在区域内无珍稀野生动物，主要生存着鼠类、麻雀等动物。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05" w:type="dxa"/>
            <w:tcBorders>
              <w:tl2br w:val="nil"/>
              <w:tr2bl w:val="nil"/>
            </w:tcBorders>
            <w:noWrap w:val="0"/>
            <w:vAlign w:val="center"/>
          </w:tcPr>
          <w:p>
            <w:pPr>
              <w:pStyle w:val="31"/>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环境</w:t>
            </w:r>
          </w:p>
          <w:p>
            <w:pPr>
              <w:pStyle w:val="31"/>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保护</w:t>
            </w:r>
          </w:p>
          <w:p>
            <w:pPr>
              <w:pStyle w:val="31"/>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目标</w:t>
            </w:r>
          </w:p>
        </w:tc>
        <w:tc>
          <w:tcPr>
            <w:tcW w:w="8449" w:type="dxa"/>
            <w:tcBorders>
              <w:tl2br w:val="nil"/>
              <w:tr2bl w:val="nil"/>
            </w:tcBorders>
            <w:noWrap w:val="0"/>
            <w:vAlign w:val="center"/>
          </w:tcPr>
          <w:p>
            <w:pPr>
              <w:keepNext w:val="0"/>
              <w:keepLines w:val="0"/>
              <w:widowControl/>
              <w:suppressLineNumbers w:val="0"/>
              <w:ind w:left="0" w:leftChars="0" w:firstLine="480" w:firstLineChars="200"/>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根据《建设项目环境影响报告表编制技术指南（污染影响类）（试行）》</w:t>
            </w:r>
          </w:p>
          <w:p>
            <w:pPr>
              <w:keepNext w:val="0"/>
              <w:keepLines w:val="0"/>
              <w:widowControl/>
              <w:suppressLineNumbers w:val="0"/>
              <w:ind w:left="0" w:leftChars="0" w:firstLine="0" w:firstLineChars="0"/>
              <w:jc w:val="left"/>
            </w:pPr>
            <w:r>
              <w:rPr>
                <w:rFonts w:hint="default" w:ascii="Times New Roman" w:hAnsi="Times New Roman" w:eastAsia="宋体" w:cs="Times New Roman"/>
                <w:color w:val="000000"/>
                <w:kern w:val="0"/>
                <w:sz w:val="24"/>
                <w:szCs w:val="24"/>
                <w:lang w:val="en-US" w:eastAsia="zh-CN" w:bidi="ar"/>
              </w:rPr>
              <w:t>（2021），确定大气环境：明确厂界外500m范围内的自然保护区、风景名胜区、居住区、文化区和农村地区中人群较集中的区域等保护目标的名称及与建设项目厂界位置关系。声环境：明确厂</w:t>
            </w:r>
            <w:r>
              <w:rPr>
                <w:rFonts w:hint="eastAsia" w:ascii="宋体" w:hAnsi="宋体" w:eastAsia="宋体" w:cs="宋体"/>
                <w:color w:val="000000"/>
                <w:kern w:val="0"/>
                <w:sz w:val="24"/>
                <w:szCs w:val="24"/>
                <w:lang w:val="en-US" w:eastAsia="zh-CN" w:bidi="ar"/>
              </w:rPr>
              <w:t>界外</w:t>
            </w:r>
            <w:r>
              <w:rPr>
                <w:rFonts w:hint="default" w:ascii="Times New Roman" w:hAnsi="Times New Roman" w:eastAsia="宋体" w:cs="Times New Roman"/>
                <w:color w:val="000000"/>
                <w:kern w:val="0"/>
                <w:sz w:val="24"/>
                <w:szCs w:val="24"/>
                <w:lang w:val="en-US" w:eastAsia="zh-CN" w:bidi="ar"/>
              </w:rPr>
              <w:t>50m</w:t>
            </w:r>
            <w:r>
              <w:rPr>
                <w:rFonts w:hint="eastAsia" w:ascii="宋体" w:hAnsi="宋体" w:eastAsia="宋体" w:cs="宋体"/>
                <w:color w:val="000000"/>
                <w:kern w:val="0"/>
                <w:sz w:val="24"/>
                <w:szCs w:val="24"/>
                <w:lang w:val="en-US" w:eastAsia="zh-CN" w:bidi="ar"/>
              </w:rPr>
              <w:t>范围内声环境保护目标。</w:t>
            </w:r>
          </w:p>
          <w:p>
            <w:pPr>
              <w:keepNext w:val="0"/>
              <w:keepLines w:val="0"/>
              <w:widowControl/>
              <w:suppressLineNumbers w:val="0"/>
              <w:jc w:val="left"/>
              <w:rPr>
                <w:rFonts w:hint="eastAsia"/>
                <w:color w:val="000000" w:themeColor="text1"/>
                <w:sz w:val="24"/>
                <w:szCs w:val="24"/>
                <w:lang w:val="en-US" w:eastAsia="zh-CN"/>
                <w14:textFill>
                  <w14:solidFill>
                    <w14:schemeClr w14:val="tx1"/>
                  </w14:solidFill>
                </w14:textFill>
              </w:rPr>
            </w:pPr>
            <w:r>
              <w:rPr>
                <w:rFonts w:hint="eastAsia" w:ascii="宋体" w:hAnsi="宋体" w:eastAsia="宋体" w:cs="宋体"/>
                <w:color w:val="000000"/>
                <w:kern w:val="0"/>
                <w:sz w:val="24"/>
                <w:szCs w:val="24"/>
                <w:lang w:val="en-US" w:eastAsia="zh-CN" w:bidi="ar"/>
              </w:rPr>
              <w:t>地下水环境：明确厂界外</w:t>
            </w:r>
            <w:r>
              <w:rPr>
                <w:rFonts w:hint="default" w:ascii="Times New Roman" w:hAnsi="Times New Roman" w:eastAsia="宋体" w:cs="Times New Roman"/>
                <w:color w:val="000000"/>
                <w:kern w:val="0"/>
                <w:sz w:val="24"/>
                <w:szCs w:val="24"/>
                <w:lang w:val="en-US" w:eastAsia="zh-CN" w:bidi="ar"/>
              </w:rPr>
              <w:t>500m</w:t>
            </w:r>
            <w:r>
              <w:rPr>
                <w:rFonts w:hint="eastAsia" w:ascii="宋体" w:hAnsi="宋体" w:eastAsia="宋体" w:cs="宋体"/>
                <w:color w:val="000000"/>
                <w:kern w:val="0"/>
                <w:sz w:val="24"/>
                <w:szCs w:val="24"/>
                <w:lang w:val="en-US" w:eastAsia="zh-CN" w:bidi="ar"/>
              </w:rPr>
              <w:t>范围内的地下水集中式饮用水水源和热水矿泉水、温泉等特殊地下水资源。本项目位于吐鲁番市托克逊县圣雄同心工业园，厂界外</w:t>
            </w:r>
            <w:r>
              <w:rPr>
                <w:rFonts w:hint="default" w:ascii="Times New Roman" w:hAnsi="Times New Roman" w:eastAsia="宋体" w:cs="Times New Roman"/>
                <w:color w:val="000000"/>
                <w:kern w:val="0"/>
                <w:sz w:val="24"/>
                <w:szCs w:val="24"/>
                <w:lang w:val="en-US" w:eastAsia="zh-CN" w:bidi="ar"/>
              </w:rPr>
              <w:t>500m</w:t>
            </w:r>
            <w:r>
              <w:rPr>
                <w:rFonts w:hint="eastAsia" w:ascii="宋体" w:hAnsi="宋体" w:eastAsia="宋体" w:cs="宋体"/>
                <w:color w:val="000000"/>
                <w:kern w:val="0"/>
                <w:sz w:val="24"/>
                <w:szCs w:val="24"/>
                <w:lang w:val="en-US" w:eastAsia="zh-CN" w:bidi="ar"/>
              </w:rPr>
              <w:t>范围内无自然保护区、风景名胜区、居住区、文化区和农村地区中人群较集中的区域等大气环境保护目标。厂界外</w:t>
            </w:r>
            <w:r>
              <w:rPr>
                <w:rFonts w:hint="default" w:ascii="Times New Roman" w:hAnsi="Times New Roman" w:eastAsia="宋体" w:cs="Times New Roman"/>
                <w:color w:val="000000"/>
                <w:kern w:val="0"/>
                <w:sz w:val="24"/>
                <w:szCs w:val="24"/>
                <w:lang w:val="en-US" w:eastAsia="zh-CN" w:bidi="ar"/>
              </w:rPr>
              <w:t>50m</w:t>
            </w:r>
            <w:r>
              <w:rPr>
                <w:rFonts w:hint="eastAsia" w:ascii="宋体" w:hAnsi="宋体" w:eastAsia="宋体" w:cs="宋体"/>
                <w:color w:val="000000"/>
                <w:kern w:val="0"/>
                <w:sz w:val="24"/>
                <w:szCs w:val="24"/>
                <w:lang w:val="en-US" w:eastAsia="zh-CN" w:bidi="ar"/>
              </w:rPr>
              <w:t>范围内无声环境保护目标。厂界外</w:t>
            </w:r>
            <w:r>
              <w:rPr>
                <w:rFonts w:hint="default" w:ascii="Times New Roman" w:hAnsi="Times New Roman" w:eastAsia="宋体" w:cs="Times New Roman"/>
                <w:color w:val="000000"/>
                <w:kern w:val="0"/>
                <w:sz w:val="24"/>
                <w:szCs w:val="24"/>
                <w:lang w:val="en-US" w:eastAsia="zh-CN" w:bidi="ar"/>
              </w:rPr>
              <w:t>500m</w:t>
            </w:r>
            <w:r>
              <w:rPr>
                <w:rFonts w:hint="eastAsia" w:ascii="宋体" w:hAnsi="宋体" w:eastAsia="宋体" w:cs="宋体"/>
                <w:color w:val="000000"/>
                <w:kern w:val="0"/>
                <w:sz w:val="24"/>
                <w:szCs w:val="24"/>
                <w:lang w:val="en-US" w:eastAsia="zh-CN" w:bidi="ar"/>
              </w:rPr>
              <w:t>范围内无地下水集中式饮用水水源和热水、矿泉水、温泉等特殊地下水资源。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05" w:type="dxa"/>
            <w:tcBorders>
              <w:tl2br w:val="nil"/>
              <w:tr2bl w:val="nil"/>
            </w:tcBorders>
            <w:noWrap w:val="0"/>
            <w:tcMar>
              <w:left w:w="28" w:type="dxa"/>
              <w:right w:w="28" w:type="dxa"/>
            </w:tcMar>
            <w:vAlign w:val="center"/>
          </w:tcPr>
          <w:p>
            <w:pPr>
              <w:pStyle w:val="31"/>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污染</w:t>
            </w:r>
          </w:p>
          <w:p>
            <w:pPr>
              <w:pStyle w:val="31"/>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物排</w:t>
            </w:r>
          </w:p>
          <w:p>
            <w:pPr>
              <w:pStyle w:val="31"/>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放控</w:t>
            </w:r>
          </w:p>
          <w:p>
            <w:pPr>
              <w:pStyle w:val="31"/>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制标</w:t>
            </w:r>
          </w:p>
          <w:p>
            <w:pPr>
              <w:pStyle w:val="31"/>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准</w:t>
            </w:r>
          </w:p>
        </w:tc>
        <w:tc>
          <w:tcPr>
            <w:tcW w:w="8449" w:type="dxa"/>
            <w:tcBorders>
              <w:tl2br w:val="nil"/>
              <w:tr2bl w:val="nil"/>
            </w:tcBorders>
            <w:noWrap w:val="0"/>
            <w:vAlign w:val="center"/>
          </w:tcPr>
          <w:p>
            <w:pPr>
              <w:ind w:left="0" w:leftChars="0" w:firstLine="0" w:firstLineChars="0"/>
              <w:rPr>
                <w:rFonts w:hint="eastAsia"/>
                <w:b/>
                <w:bCs/>
              </w:rPr>
            </w:pPr>
            <w:r>
              <w:rPr>
                <w:rFonts w:hint="eastAsia"/>
                <w:b/>
                <w:bCs/>
                <w:lang w:val="en-US" w:eastAsia="zh-CN"/>
              </w:rPr>
              <w:t>1.</w:t>
            </w:r>
            <w:r>
              <w:rPr>
                <w:rFonts w:hint="eastAsia"/>
                <w:b/>
                <w:bCs/>
              </w:rPr>
              <w:t>大气污染物排放标准</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（1）施工期大气污染物排放标准执行《大气污染物综合排放标准》（GB16297-1996）中无组织排放监控浓度限值。</w:t>
            </w:r>
          </w:p>
          <w:p>
            <w:pPr>
              <w:keepNext w:val="0"/>
              <w:keepLines w:val="0"/>
              <w:suppressLineNumbers w:val="0"/>
              <w:spacing w:before="0" w:beforeAutospacing="0" w:after="0" w:afterAutospacing="0" w:line="360" w:lineRule="auto"/>
              <w:ind w:left="0" w:leftChars="0" w:right="0" w:firstLine="480" w:firstLineChars="200"/>
              <w:rPr>
                <w:rFonts w:hint="default" w:ascii="Times New Roman" w:hAnsi="Times New Roman" w:eastAsia="宋体" w:cs="Times New Roman"/>
                <w:b/>
                <w:bCs/>
                <w:color w:val="auto"/>
                <w:szCs w:val="20"/>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eastAsia="zh-CN"/>
              </w:rPr>
              <w:t>）运营期</w:t>
            </w:r>
            <w:r>
              <w:rPr>
                <w:rFonts w:hint="default" w:ascii="Times New Roman" w:hAnsi="Times New Roman" w:eastAsia="宋体" w:cs="Times New Roman"/>
                <w:color w:val="auto"/>
                <w:sz w:val="24"/>
                <w:szCs w:val="24"/>
              </w:rPr>
              <w:t>有组织</w:t>
            </w:r>
            <w:r>
              <w:rPr>
                <w:rFonts w:hint="default" w:ascii="Times New Roman" w:hAnsi="Times New Roman" w:cs="Times New Roman"/>
                <w:color w:val="auto"/>
                <w:sz w:val="24"/>
                <w:szCs w:val="24"/>
                <w:lang w:val="en-US" w:eastAsia="zh-CN"/>
              </w:rPr>
              <w:t>颗粒物</w:t>
            </w:r>
            <w:r>
              <w:rPr>
                <w:rFonts w:hint="default" w:ascii="Times New Roman" w:hAnsi="Times New Roman" w:eastAsia="宋体" w:cs="Times New Roman"/>
                <w:color w:val="auto"/>
                <w:sz w:val="24"/>
                <w:szCs w:val="24"/>
              </w:rPr>
              <w:t>排放执行《水泥工业大气污染物排放标准》（GB4915-2013）表1中限值，无组织</w:t>
            </w:r>
            <w:r>
              <w:rPr>
                <w:rFonts w:hint="default" w:ascii="Times New Roman" w:hAnsi="Times New Roman" w:cs="Times New Roman"/>
                <w:color w:val="auto"/>
                <w:sz w:val="24"/>
                <w:szCs w:val="24"/>
                <w:lang w:val="en-US" w:eastAsia="zh-CN"/>
              </w:rPr>
              <w:t>颗粒物</w:t>
            </w:r>
            <w:r>
              <w:rPr>
                <w:rFonts w:hint="default" w:ascii="Times New Roman" w:hAnsi="Times New Roman" w:eastAsia="宋体" w:cs="Times New Roman"/>
                <w:color w:val="auto"/>
                <w:sz w:val="24"/>
                <w:szCs w:val="24"/>
              </w:rPr>
              <w:t>排放执行《水泥工业大气污染物排放标准》（GB4915-2013）表3中的限值。</w:t>
            </w:r>
            <w:r>
              <w:rPr>
                <w:rFonts w:hint="default" w:ascii="Times New Roman" w:hAnsi="Times New Roman" w:cs="Times New Roman"/>
                <w:color w:val="auto"/>
                <w:sz w:val="24"/>
                <w:szCs w:val="24"/>
                <w:lang w:val="en-US" w:eastAsia="zh-CN"/>
              </w:rPr>
              <w:t>有组织饮食业油烟执行</w:t>
            </w:r>
            <w:r>
              <w:rPr>
                <w:rFonts w:hint="default" w:ascii="Times New Roman" w:hAnsi="Times New Roman" w:eastAsia="宋体" w:cs="Times New Roman"/>
                <w:color w:val="auto"/>
                <w:sz w:val="24"/>
              </w:rPr>
              <w:t>《饮食业油烟排放标准》（试行）</w:t>
            </w:r>
            <w:r>
              <w:rPr>
                <w:rFonts w:hint="default" w:ascii="Times New Roman" w:hAnsi="Times New Roman" w:cs="Times New Roman"/>
                <w:color w:val="auto"/>
                <w:sz w:val="24"/>
                <w:lang w:eastAsia="zh-CN"/>
              </w:rPr>
              <w:t>（</w:t>
            </w:r>
            <w:r>
              <w:rPr>
                <w:rFonts w:hint="default" w:ascii="Times New Roman" w:hAnsi="Times New Roman" w:eastAsia="宋体" w:cs="Times New Roman"/>
                <w:color w:val="auto"/>
                <w:sz w:val="24"/>
              </w:rPr>
              <w:t>GB18483-2001</w:t>
            </w:r>
            <w:r>
              <w:rPr>
                <w:rFonts w:hint="default" w:ascii="Times New Roman" w:hAnsi="Times New Roman" w:cs="Times New Roman"/>
                <w:color w:val="auto"/>
                <w:sz w:val="24"/>
                <w:lang w:eastAsia="zh-CN"/>
              </w:rPr>
              <w:t>）</w:t>
            </w:r>
            <w:r>
              <w:rPr>
                <w:rFonts w:hint="default" w:ascii="Times New Roman" w:hAnsi="Times New Roman" w:eastAsia="宋体" w:cs="Times New Roman"/>
                <w:color w:val="auto"/>
                <w:sz w:val="24"/>
              </w:rPr>
              <w:t>标准2.0mg/m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要求</w:t>
            </w:r>
            <w:r>
              <w:rPr>
                <w:rFonts w:hint="default" w:ascii="Times New Roman" w:hAnsi="Times New Roman" w:cs="Times New Roman"/>
                <w:color w:val="auto"/>
                <w:sz w:val="24"/>
                <w:lang w:eastAsia="zh-CN"/>
              </w:rPr>
              <w:t>。</w:t>
            </w:r>
          </w:p>
          <w:p>
            <w:pPr>
              <w:pStyle w:val="30"/>
              <w:bidi w:val="0"/>
              <w:rPr>
                <w:rFonts w:hint="default" w:ascii="Times New Roman" w:hAnsi="Times New Roman" w:eastAsia="宋体" w:cs="Times New Roman"/>
                <w:b/>
                <w:bCs/>
                <w:color w:val="auto"/>
                <w:lang w:val="en-US" w:eastAsia="zh-CN"/>
              </w:rPr>
            </w:pPr>
            <w:r>
              <w:rPr>
                <w:rFonts w:hint="default" w:ascii="Times New Roman" w:hAnsi="Times New Roman" w:cs="Times New Roman"/>
                <w:b/>
                <w:bCs/>
                <w:color w:val="auto"/>
              </w:rPr>
              <w:t>表</w:t>
            </w:r>
            <w:r>
              <w:rPr>
                <w:rFonts w:hint="default" w:ascii="Times New Roman" w:hAnsi="Times New Roman" w:cs="Times New Roman"/>
                <w:b/>
                <w:bCs/>
                <w:color w:val="auto"/>
                <w:lang w:val="en-US" w:eastAsia="zh-CN"/>
              </w:rPr>
              <w:t>3-7</w:t>
            </w:r>
            <w:r>
              <w:rPr>
                <w:rFonts w:hint="default" w:ascii="Times New Roman" w:hAnsi="Times New Roman" w:cs="Times New Roman"/>
                <w:b/>
                <w:bCs/>
                <w:color w:val="auto"/>
              </w:rPr>
              <w:t xml:space="preserve"> </w:t>
            </w:r>
            <w:r>
              <w:rPr>
                <w:rFonts w:hint="default" w:ascii="Times New Roman" w:hAnsi="Times New Roman" w:cs="Times New Roman"/>
                <w:b/>
                <w:bCs/>
                <w:color w:val="auto"/>
                <w:lang w:val="en-US" w:eastAsia="zh-CN"/>
              </w:rPr>
              <w:t xml:space="preserve"> </w:t>
            </w:r>
            <w:r>
              <w:rPr>
                <w:rFonts w:hint="default" w:ascii="Times New Roman" w:hAnsi="Times New Roman" w:cs="Times New Roman"/>
                <w:b/>
                <w:bCs/>
                <w:color w:val="auto"/>
              </w:rPr>
              <w:t xml:space="preserve"> </w:t>
            </w:r>
            <w:r>
              <w:rPr>
                <w:rFonts w:hint="default" w:ascii="Times New Roman" w:hAnsi="Times New Roman" w:cs="Times New Roman"/>
                <w:b/>
                <w:bCs/>
                <w:color w:val="auto"/>
                <w:lang w:val="en-US" w:eastAsia="zh-CN"/>
              </w:rPr>
              <w:t>废气污染物执行标准</w:t>
            </w:r>
          </w:p>
          <w:tbl>
            <w:tblPr>
              <w:tblStyle w:val="23"/>
              <w:tblW w:w="8364" w:type="dxa"/>
              <w:tblInd w:w="-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341"/>
              <w:gridCol w:w="2190"/>
              <w:gridCol w:w="2670"/>
              <w:gridCol w:w="216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2" w:hRule="atLeast"/>
              </w:trPr>
              <w:tc>
                <w:tcPr>
                  <w:tcW w:w="1341" w:type="dxa"/>
                  <w:vMerge w:val="restart"/>
                  <w:tcBorders>
                    <w:tl2br w:val="nil"/>
                    <w:tr2bl w:val="nil"/>
                  </w:tcBorders>
                  <w:noWrap w:val="0"/>
                  <w:vAlign w:val="center"/>
                </w:tcPr>
                <w:p>
                  <w:pPr>
                    <w:pStyle w:val="30"/>
                    <w:bidi w:val="0"/>
                    <w:rPr>
                      <w:rFonts w:hint="default"/>
                      <w:b/>
                      <w:bCs/>
                      <w:color w:val="auto"/>
                    </w:rPr>
                  </w:pPr>
                  <w:r>
                    <w:rPr>
                      <w:rFonts w:hint="default"/>
                      <w:b/>
                      <w:bCs/>
                      <w:color w:val="auto"/>
                    </w:rPr>
                    <w:t>污染物</w:t>
                  </w:r>
                </w:p>
              </w:tc>
              <w:tc>
                <w:tcPr>
                  <w:tcW w:w="2190" w:type="dxa"/>
                  <w:tcBorders>
                    <w:tl2br w:val="nil"/>
                    <w:tr2bl w:val="nil"/>
                  </w:tcBorders>
                  <w:noWrap w:val="0"/>
                  <w:vAlign w:val="center"/>
                </w:tcPr>
                <w:p>
                  <w:pPr>
                    <w:pStyle w:val="30"/>
                    <w:bidi w:val="0"/>
                    <w:rPr>
                      <w:rFonts w:hint="default"/>
                      <w:b/>
                      <w:bCs/>
                      <w:color w:val="auto"/>
                    </w:rPr>
                  </w:pPr>
                  <w:r>
                    <w:rPr>
                      <w:rFonts w:hint="default"/>
                      <w:b/>
                      <w:bCs/>
                      <w:color w:val="auto"/>
                    </w:rPr>
                    <w:t>有组织排放</w:t>
                  </w:r>
                </w:p>
              </w:tc>
              <w:tc>
                <w:tcPr>
                  <w:tcW w:w="2670" w:type="dxa"/>
                  <w:tcBorders>
                    <w:tl2br w:val="nil"/>
                    <w:tr2bl w:val="nil"/>
                  </w:tcBorders>
                  <w:noWrap w:val="0"/>
                  <w:vAlign w:val="center"/>
                </w:tcPr>
                <w:p>
                  <w:pPr>
                    <w:pStyle w:val="30"/>
                    <w:bidi w:val="0"/>
                    <w:rPr>
                      <w:rFonts w:hint="default"/>
                      <w:b/>
                      <w:bCs/>
                      <w:color w:val="auto"/>
                    </w:rPr>
                  </w:pPr>
                  <w:r>
                    <w:rPr>
                      <w:rFonts w:hint="default"/>
                      <w:b/>
                      <w:bCs/>
                      <w:color w:val="auto"/>
                    </w:rPr>
                    <w:t>无组织排放监控浓度限值</w:t>
                  </w:r>
                </w:p>
              </w:tc>
              <w:tc>
                <w:tcPr>
                  <w:tcW w:w="2163" w:type="dxa"/>
                  <w:vMerge w:val="restart"/>
                  <w:tcBorders>
                    <w:tl2br w:val="nil"/>
                    <w:tr2bl w:val="nil"/>
                  </w:tcBorders>
                  <w:noWrap w:val="0"/>
                  <w:vAlign w:val="center"/>
                </w:tcPr>
                <w:p>
                  <w:pPr>
                    <w:pStyle w:val="30"/>
                    <w:bidi w:val="0"/>
                    <w:rPr>
                      <w:rFonts w:hint="default" w:eastAsia="宋体"/>
                      <w:b/>
                      <w:bCs/>
                      <w:color w:val="auto"/>
                      <w:lang w:val="en-US" w:eastAsia="zh-CN"/>
                    </w:rPr>
                  </w:pPr>
                  <w:r>
                    <w:rPr>
                      <w:rFonts w:hint="eastAsia"/>
                      <w:b/>
                      <w:bCs/>
                      <w:color w:val="auto"/>
                      <w:lang w:val="en-US" w:eastAsia="zh-CN"/>
                    </w:rPr>
                    <w:t>执行标准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41" w:type="dxa"/>
                  <w:vMerge w:val="continue"/>
                  <w:tcBorders>
                    <w:tl2br w:val="nil"/>
                    <w:tr2bl w:val="nil"/>
                  </w:tcBorders>
                  <w:noWrap w:val="0"/>
                  <w:vAlign w:val="center"/>
                </w:tcPr>
                <w:p>
                  <w:pPr>
                    <w:pStyle w:val="30"/>
                    <w:bidi w:val="0"/>
                    <w:rPr>
                      <w:rFonts w:hint="default"/>
                      <w:b/>
                      <w:bCs/>
                      <w:color w:val="auto"/>
                    </w:rPr>
                  </w:pPr>
                </w:p>
              </w:tc>
              <w:tc>
                <w:tcPr>
                  <w:tcW w:w="2190" w:type="dxa"/>
                  <w:tcBorders>
                    <w:tl2br w:val="nil"/>
                    <w:tr2bl w:val="nil"/>
                  </w:tcBorders>
                  <w:noWrap w:val="0"/>
                  <w:vAlign w:val="center"/>
                </w:tcPr>
                <w:p>
                  <w:pPr>
                    <w:pStyle w:val="30"/>
                    <w:bidi w:val="0"/>
                    <w:rPr>
                      <w:rFonts w:hint="default"/>
                      <w:b/>
                      <w:bCs/>
                      <w:color w:val="auto"/>
                    </w:rPr>
                  </w:pPr>
                  <w:r>
                    <w:rPr>
                      <w:rFonts w:hint="default"/>
                      <w:b/>
                      <w:bCs/>
                      <w:color w:val="auto"/>
                    </w:rPr>
                    <w:t>浓度限值（mg/</w:t>
                  </w:r>
                  <w:r>
                    <w:rPr>
                      <w:rFonts w:hint="eastAsia"/>
                      <w:b/>
                      <w:bCs/>
                      <w:color w:val="auto"/>
                      <w:lang w:eastAsia="zh-CN"/>
                    </w:rPr>
                    <w:t>m³</w:t>
                  </w:r>
                  <w:r>
                    <w:rPr>
                      <w:rFonts w:hint="default"/>
                      <w:b/>
                      <w:bCs/>
                      <w:color w:val="auto"/>
                    </w:rPr>
                    <w:t>）</w:t>
                  </w:r>
                </w:p>
              </w:tc>
              <w:tc>
                <w:tcPr>
                  <w:tcW w:w="2670" w:type="dxa"/>
                  <w:tcBorders>
                    <w:tl2br w:val="nil"/>
                    <w:tr2bl w:val="nil"/>
                  </w:tcBorders>
                  <w:noWrap w:val="0"/>
                  <w:vAlign w:val="center"/>
                </w:tcPr>
                <w:p>
                  <w:pPr>
                    <w:pStyle w:val="30"/>
                    <w:bidi w:val="0"/>
                    <w:rPr>
                      <w:rFonts w:hint="default"/>
                      <w:b/>
                      <w:bCs/>
                      <w:color w:val="auto"/>
                    </w:rPr>
                  </w:pPr>
                  <w:r>
                    <w:rPr>
                      <w:rFonts w:hint="default"/>
                      <w:b/>
                      <w:bCs/>
                      <w:color w:val="auto"/>
                    </w:rPr>
                    <w:t>浓度限值（mg/</w:t>
                  </w:r>
                  <w:r>
                    <w:rPr>
                      <w:rFonts w:hint="eastAsia"/>
                      <w:b/>
                      <w:bCs/>
                      <w:color w:val="auto"/>
                      <w:lang w:eastAsia="zh-CN"/>
                    </w:rPr>
                    <w:t>m³</w:t>
                  </w:r>
                  <w:r>
                    <w:rPr>
                      <w:rFonts w:hint="default"/>
                      <w:b/>
                      <w:bCs/>
                      <w:color w:val="auto"/>
                    </w:rPr>
                    <w:t>）</w:t>
                  </w:r>
                </w:p>
              </w:tc>
              <w:tc>
                <w:tcPr>
                  <w:tcW w:w="2163" w:type="dxa"/>
                  <w:vMerge w:val="continue"/>
                  <w:tcBorders>
                    <w:tl2br w:val="nil"/>
                    <w:tr2bl w:val="nil"/>
                  </w:tcBorders>
                  <w:noWrap w:val="0"/>
                  <w:vAlign w:val="center"/>
                </w:tcPr>
                <w:p>
                  <w:pPr>
                    <w:pStyle w:val="30"/>
                    <w:bidi w:val="0"/>
                    <w:rPr>
                      <w:rFonts w:hint="default"/>
                      <w:b/>
                      <w:bCs/>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7" w:hRule="atLeast"/>
              </w:trPr>
              <w:tc>
                <w:tcPr>
                  <w:tcW w:w="1341" w:type="dxa"/>
                  <w:tcBorders>
                    <w:tl2br w:val="nil"/>
                    <w:tr2bl w:val="nil"/>
                  </w:tcBorders>
                  <w:noWrap w:val="0"/>
                  <w:vAlign w:val="center"/>
                </w:tcPr>
                <w:p>
                  <w:pPr>
                    <w:pStyle w:val="30"/>
                    <w:bidi w:val="0"/>
                    <w:rPr>
                      <w:rFonts w:hint="default"/>
                      <w:b w:val="0"/>
                      <w:bCs w:val="0"/>
                      <w:color w:val="auto"/>
                    </w:rPr>
                  </w:pPr>
                  <w:r>
                    <w:rPr>
                      <w:rFonts w:hint="default"/>
                      <w:b w:val="0"/>
                      <w:bCs w:val="0"/>
                      <w:color w:val="auto"/>
                    </w:rPr>
                    <w:t>颗粒物</w:t>
                  </w:r>
                </w:p>
              </w:tc>
              <w:tc>
                <w:tcPr>
                  <w:tcW w:w="2190" w:type="dxa"/>
                  <w:tcBorders>
                    <w:tl2br w:val="nil"/>
                    <w:tr2bl w:val="nil"/>
                  </w:tcBorders>
                  <w:noWrap w:val="0"/>
                  <w:vAlign w:val="center"/>
                </w:tcPr>
                <w:p>
                  <w:pPr>
                    <w:pStyle w:val="30"/>
                    <w:bidi w:val="0"/>
                    <w:rPr>
                      <w:rFonts w:hint="default"/>
                      <w:b w:val="0"/>
                      <w:bCs w:val="0"/>
                      <w:color w:val="auto"/>
                    </w:rPr>
                  </w:pPr>
                  <w:r>
                    <w:rPr>
                      <w:rFonts w:hint="default"/>
                      <w:b w:val="0"/>
                      <w:bCs w:val="0"/>
                      <w:color w:val="auto"/>
                    </w:rPr>
                    <w:t>20</w:t>
                  </w:r>
                </w:p>
              </w:tc>
              <w:tc>
                <w:tcPr>
                  <w:tcW w:w="2670" w:type="dxa"/>
                  <w:tcBorders>
                    <w:tl2br w:val="nil"/>
                    <w:tr2bl w:val="nil"/>
                  </w:tcBorders>
                  <w:noWrap w:val="0"/>
                  <w:vAlign w:val="center"/>
                </w:tcPr>
                <w:p>
                  <w:pPr>
                    <w:pStyle w:val="30"/>
                    <w:bidi w:val="0"/>
                    <w:rPr>
                      <w:rFonts w:hint="default"/>
                      <w:b w:val="0"/>
                      <w:bCs w:val="0"/>
                      <w:color w:val="auto"/>
                    </w:rPr>
                  </w:pPr>
                  <w:r>
                    <w:rPr>
                      <w:rFonts w:hint="default"/>
                      <w:b w:val="0"/>
                      <w:bCs w:val="0"/>
                      <w:color w:val="auto"/>
                    </w:rPr>
                    <w:t>0.5</w:t>
                  </w:r>
                </w:p>
              </w:tc>
              <w:tc>
                <w:tcPr>
                  <w:tcW w:w="2163" w:type="dxa"/>
                  <w:tcBorders>
                    <w:tl2br w:val="nil"/>
                    <w:tr2bl w:val="nil"/>
                  </w:tcBorders>
                  <w:noWrap w:val="0"/>
                  <w:vAlign w:val="center"/>
                </w:tcPr>
                <w:p>
                  <w:pPr>
                    <w:pStyle w:val="30"/>
                    <w:bidi w:val="0"/>
                    <w:rPr>
                      <w:rFonts w:hint="default"/>
                      <w:b w:val="0"/>
                      <w:bCs w:val="0"/>
                      <w:color w:val="auto"/>
                    </w:rPr>
                  </w:pPr>
                  <w:r>
                    <w:rPr>
                      <w:rFonts w:hint="default"/>
                      <w:b w:val="0"/>
                      <w:bCs w:val="0"/>
                      <w:color w:val="auto"/>
                    </w:rPr>
                    <w:t>《水</w:t>
                  </w:r>
                  <w:r>
                    <w:rPr>
                      <w:rFonts w:hint="default"/>
                      <w:b w:val="0"/>
                      <w:bCs w:val="0"/>
                      <w:color w:val="auto"/>
                      <w:sz w:val="21"/>
                      <w:szCs w:val="21"/>
                    </w:rPr>
                    <w:t>泥工业大气污染物排放标准》（GB4915-2013）</w:t>
                  </w:r>
                  <w:r>
                    <w:rPr>
                      <w:rFonts w:hint="default" w:ascii="Times New Roman" w:hAnsi="Times New Roman" w:eastAsia="宋体" w:cs="Times New Roman"/>
                      <w:color w:val="auto"/>
                      <w:sz w:val="21"/>
                      <w:szCs w:val="21"/>
                    </w:rPr>
                    <w:t>表1中限值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0" w:hRule="atLeast"/>
              </w:trPr>
              <w:tc>
                <w:tcPr>
                  <w:tcW w:w="1341" w:type="dxa"/>
                  <w:tcBorders>
                    <w:tl2br w:val="nil"/>
                    <w:tr2bl w:val="nil"/>
                  </w:tcBorders>
                  <w:noWrap w:val="0"/>
                  <w:vAlign w:val="center"/>
                </w:tcPr>
                <w:p>
                  <w:pPr>
                    <w:pStyle w:val="30"/>
                    <w:bidi w:val="0"/>
                    <w:rPr>
                      <w:rFonts w:hint="default" w:eastAsia="宋体"/>
                      <w:b w:val="0"/>
                      <w:bCs w:val="0"/>
                      <w:color w:val="auto"/>
                      <w:lang w:val="en-US" w:eastAsia="zh-CN"/>
                    </w:rPr>
                  </w:pPr>
                  <w:r>
                    <w:rPr>
                      <w:rFonts w:hint="eastAsia"/>
                      <w:b w:val="0"/>
                      <w:bCs w:val="0"/>
                      <w:color w:val="auto"/>
                      <w:lang w:val="en-US" w:eastAsia="zh-CN"/>
                    </w:rPr>
                    <w:t>饮食业油烟</w:t>
                  </w:r>
                </w:p>
              </w:tc>
              <w:tc>
                <w:tcPr>
                  <w:tcW w:w="2190" w:type="dxa"/>
                  <w:tcBorders>
                    <w:tl2br w:val="nil"/>
                    <w:tr2bl w:val="nil"/>
                  </w:tcBorders>
                  <w:noWrap w:val="0"/>
                  <w:vAlign w:val="center"/>
                </w:tcPr>
                <w:p>
                  <w:pPr>
                    <w:pStyle w:val="30"/>
                    <w:bidi w:val="0"/>
                    <w:rPr>
                      <w:rFonts w:hint="default" w:eastAsia="宋体"/>
                      <w:b w:val="0"/>
                      <w:bCs w:val="0"/>
                      <w:color w:val="auto"/>
                      <w:lang w:val="en-US" w:eastAsia="zh-CN"/>
                    </w:rPr>
                  </w:pPr>
                  <w:r>
                    <w:rPr>
                      <w:rFonts w:hint="eastAsia"/>
                      <w:b w:val="0"/>
                      <w:bCs w:val="0"/>
                      <w:color w:val="auto"/>
                      <w:lang w:val="en-US" w:eastAsia="zh-CN"/>
                    </w:rPr>
                    <w:t>2.0</w:t>
                  </w:r>
                </w:p>
              </w:tc>
              <w:tc>
                <w:tcPr>
                  <w:tcW w:w="2670" w:type="dxa"/>
                  <w:tcBorders>
                    <w:tl2br w:val="nil"/>
                    <w:tr2bl w:val="nil"/>
                  </w:tcBorders>
                  <w:noWrap w:val="0"/>
                  <w:vAlign w:val="center"/>
                </w:tcPr>
                <w:p>
                  <w:pPr>
                    <w:pStyle w:val="30"/>
                    <w:bidi w:val="0"/>
                    <w:rPr>
                      <w:rFonts w:hint="eastAsia" w:eastAsia="宋体"/>
                      <w:b w:val="0"/>
                      <w:bCs w:val="0"/>
                      <w:color w:val="auto"/>
                      <w:lang w:val="en-US" w:eastAsia="zh-CN"/>
                    </w:rPr>
                  </w:pPr>
                  <w:r>
                    <w:rPr>
                      <w:rFonts w:hint="eastAsia"/>
                      <w:b w:val="0"/>
                      <w:bCs w:val="0"/>
                      <w:color w:val="auto"/>
                      <w:lang w:val="en-US" w:eastAsia="zh-CN"/>
                    </w:rPr>
                    <w:t>/</w:t>
                  </w:r>
                </w:p>
              </w:tc>
              <w:tc>
                <w:tcPr>
                  <w:tcW w:w="2163" w:type="dxa"/>
                  <w:tcBorders>
                    <w:tl2br w:val="nil"/>
                    <w:tr2bl w:val="nil"/>
                  </w:tcBorders>
                  <w:noWrap w:val="0"/>
                  <w:vAlign w:val="center"/>
                </w:tcPr>
                <w:p>
                  <w:pPr>
                    <w:pStyle w:val="30"/>
                    <w:bidi w:val="0"/>
                    <w:rPr>
                      <w:rFonts w:hint="default"/>
                      <w:b w:val="0"/>
                      <w:bCs w:val="0"/>
                      <w:color w:val="auto"/>
                    </w:rPr>
                  </w:pPr>
                  <w:r>
                    <w:rPr>
                      <w:rFonts w:hint="default" w:ascii="Times New Roman" w:hAnsi="Times New Roman" w:eastAsia="宋体" w:cs="Times New Roman"/>
                      <w:b w:val="0"/>
                      <w:bCs w:val="0"/>
                      <w:color w:val="auto"/>
                      <w:sz w:val="21"/>
                      <w:szCs w:val="18"/>
                    </w:rPr>
                    <w:t>《饮食业油烟排放标准》（试行）</w:t>
                  </w:r>
                  <w:r>
                    <w:rPr>
                      <w:rFonts w:hint="eastAsia" w:cs="Times New Roman"/>
                      <w:b w:val="0"/>
                      <w:bCs w:val="0"/>
                      <w:color w:val="auto"/>
                      <w:sz w:val="21"/>
                      <w:szCs w:val="18"/>
                      <w:lang w:eastAsia="zh-CN"/>
                    </w:rPr>
                    <w:t>（</w:t>
                  </w:r>
                  <w:r>
                    <w:rPr>
                      <w:rFonts w:hint="default" w:ascii="Times New Roman" w:hAnsi="Times New Roman" w:eastAsia="宋体" w:cs="Times New Roman"/>
                      <w:b w:val="0"/>
                      <w:bCs w:val="0"/>
                      <w:color w:val="auto"/>
                      <w:sz w:val="21"/>
                      <w:szCs w:val="18"/>
                    </w:rPr>
                    <w:t>GB18483-2001)</w:t>
                  </w:r>
                </w:p>
              </w:tc>
            </w:tr>
          </w:tbl>
          <w:p>
            <w:pPr>
              <w:spacing w:line="360" w:lineRule="auto"/>
              <w:ind w:left="0" w:leftChars="0" w:firstLine="0" w:firstLineChars="0"/>
              <w:rPr>
                <w:rFonts w:hint="default"/>
                <w:b/>
                <w:bCs/>
              </w:rPr>
            </w:pPr>
            <w:r>
              <w:rPr>
                <w:rFonts w:hint="eastAsia"/>
                <w:b/>
                <w:bCs/>
                <w:lang w:val="en-US" w:eastAsia="zh-CN"/>
              </w:rPr>
              <w:t>2.</w:t>
            </w:r>
            <w:r>
              <w:rPr>
                <w:rFonts w:hint="default"/>
                <w:b/>
                <w:bCs/>
              </w:rPr>
              <w:t>噪声排放标准</w:t>
            </w:r>
          </w:p>
          <w:p>
            <w:pPr>
              <w:keepNext w:val="0"/>
              <w:keepLines w:val="0"/>
              <w:widowControl/>
              <w:suppressLineNumbers w:val="0"/>
              <w:ind w:left="480" w:leftChars="200" w:firstLine="0" w:firstLineChars="0"/>
              <w:jc w:val="both"/>
              <w:rPr>
                <w:rFonts w:hint="default"/>
                <w:color w:val="auto"/>
              </w:rPr>
            </w:pPr>
            <w:r>
              <w:rPr>
                <w:rFonts w:hint="eastAsia"/>
                <w:lang w:eastAsia="zh-CN"/>
              </w:rPr>
              <w:t>（</w:t>
            </w:r>
            <w:r>
              <w:rPr>
                <w:rFonts w:hint="eastAsia"/>
                <w:lang w:val="en-US" w:eastAsia="zh-CN"/>
              </w:rPr>
              <w:t>1</w:t>
            </w:r>
            <w:r>
              <w:rPr>
                <w:rFonts w:hint="eastAsia"/>
                <w:lang w:eastAsia="zh-CN"/>
              </w:rPr>
              <w:t>）</w:t>
            </w:r>
            <w:r>
              <w:rPr>
                <w:rFonts w:hint="eastAsia"/>
                <w:lang w:val="en-US" w:eastAsia="zh-CN"/>
              </w:rPr>
              <w:t>施工期噪声执行《</w:t>
            </w:r>
            <w:r>
              <w:rPr>
                <w:rFonts w:hint="eastAsia"/>
                <w:color w:val="auto"/>
                <w:lang w:val="en-US" w:eastAsia="zh-CN"/>
              </w:rPr>
              <w:t>建筑施工场界环境噪声排放标准》（</w:t>
            </w:r>
            <w:r>
              <w:rPr>
                <w:rFonts w:hint="default"/>
                <w:color w:val="auto"/>
                <w:lang w:val="en-US" w:eastAsia="zh-CN"/>
              </w:rPr>
              <w:t>GB12523-2011</w:t>
            </w:r>
            <w:r>
              <w:rPr>
                <w:rFonts w:hint="eastAsia"/>
                <w:color w:val="auto"/>
                <w:lang w:val="en-US" w:eastAsia="zh-CN"/>
              </w:rPr>
              <w:t>）；</w:t>
            </w:r>
            <w:r>
              <w:rPr>
                <w:rFonts w:hint="default"/>
                <w:color w:val="auto"/>
              </w:rPr>
              <w:t>（</w:t>
            </w:r>
            <w:r>
              <w:rPr>
                <w:rFonts w:hint="eastAsia"/>
                <w:color w:val="auto"/>
                <w:lang w:val="en-US" w:eastAsia="zh-CN"/>
              </w:rPr>
              <w:t>2</w:t>
            </w:r>
            <w:r>
              <w:rPr>
                <w:rFonts w:hint="default"/>
                <w:color w:val="auto"/>
              </w:rPr>
              <w:t>）运营期项目区噪声执行《工业企业厂界环境噪声排放标准</w:t>
            </w:r>
            <w:r>
              <w:rPr>
                <w:rFonts w:hint="eastAsia"/>
                <w:color w:val="auto"/>
                <w:lang w:eastAsia="zh-CN"/>
              </w:rPr>
              <w:t>》</w:t>
            </w:r>
            <w:r>
              <w:rPr>
                <w:rFonts w:hint="default"/>
                <w:color w:val="auto"/>
              </w:rPr>
              <w:t>（GB12348-2008）中的</w:t>
            </w:r>
            <w:r>
              <w:rPr>
                <w:rFonts w:hint="eastAsia"/>
                <w:color w:val="auto"/>
                <w:lang w:val="en-US" w:eastAsia="zh-CN"/>
              </w:rPr>
              <w:t>3</w:t>
            </w:r>
            <w:r>
              <w:rPr>
                <w:rFonts w:hint="default"/>
                <w:color w:val="auto"/>
              </w:rPr>
              <w:t>类区标准。</w:t>
            </w:r>
          </w:p>
          <w:tbl>
            <w:tblPr>
              <w:tblStyle w:val="24"/>
              <w:tblpPr w:leftFromText="180" w:rightFromText="180" w:vertAnchor="text" w:horzAnchor="page" w:tblpX="76" w:tblpY="274"/>
              <w:tblOverlap w:val="never"/>
              <w:tblW w:w="4999"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554"/>
              <w:gridCol w:w="2352"/>
              <w:gridCol w:w="245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2125" w:type="pct"/>
                  <w:vMerge w:val="restart"/>
                  <w:tcBorders>
                    <w:tl2br w:val="nil"/>
                    <w:tr2bl w:val="nil"/>
                  </w:tcBorders>
                  <w:noWrap w:val="0"/>
                  <w:vAlign w:val="center"/>
                </w:tcPr>
                <w:p>
                  <w:pPr>
                    <w:pStyle w:val="30"/>
                    <w:bidi w:val="0"/>
                    <w:rPr>
                      <w:rFonts w:hint="default"/>
                      <w:color w:val="auto"/>
                    </w:rPr>
                  </w:pPr>
                  <w:r>
                    <w:rPr>
                      <w:rFonts w:hint="default"/>
                      <w:color w:val="auto"/>
                    </w:rPr>
                    <w:t>厂界外声环境功能区类别</w:t>
                  </w:r>
                </w:p>
              </w:tc>
              <w:tc>
                <w:tcPr>
                  <w:tcW w:w="2874" w:type="pct"/>
                  <w:gridSpan w:val="2"/>
                  <w:tcBorders>
                    <w:tl2br w:val="nil"/>
                    <w:tr2bl w:val="nil"/>
                  </w:tcBorders>
                  <w:noWrap w:val="0"/>
                  <w:vAlign w:val="center"/>
                </w:tcPr>
                <w:p>
                  <w:pPr>
                    <w:pStyle w:val="30"/>
                    <w:bidi w:val="0"/>
                    <w:rPr>
                      <w:rFonts w:hint="default"/>
                      <w:color w:val="auto"/>
                    </w:rPr>
                  </w:pPr>
                  <w:r>
                    <w:rPr>
                      <w:rFonts w:hint="default"/>
                      <w:color w:val="auto"/>
                    </w:rPr>
                    <w:t>时段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2125" w:type="pct"/>
                  <w:vMerge w:val="continue"/>
                  <w:tcBorders>
                    <w:tl2br w:val="nil"/>
                    <w:tr2bl w:val="nil"/>
                  </w:tcBorders>
                  <w:noWrap w:val="0"/>
                  <w:vAlign w:val="center"/>
                </w:tcPr>
                <w:p>
                  <w:pPr>
                    <w:pStyle w:val="30"/>
                    <w:bidi w:val="0"/>
                    <w:rPr>
                      <w:rFonts w:hint="default"/>
                      <w:color w:val="auto"/>
                    </w:rPr>
                  </w:pPr>
                </w:p>
              </w:tc>
              <w:tc>
                <w:tcPr>
                  <w:tcW w:w="1406" w:type="pct"/>
                  <w:tcBorders>
                    <w:tl2br w:val="nil"/>
                    <w:tr2bl w:val="nil"/>
                  </w:tcBorders>
                  <w:noWrap w:val="0"/>
                  <w:vAlign w:val="center"/>
                </w:tcPr>
                <w:p>
                  <w:pPr>
                    <w:pStyle w:val="30"/>
                    <w:bidi w:val="0"/>
                    <w:rPr>
                      <w:rFonts w:hint="default"/>
                      <w:color w:val="auto"/>
                    </w:rPr>
                  </w:pPr>
                  <w:r>
                    <w:rPr>
                      <w:rFonts w:hint="default"/>
                      <w:color w:val="auto"/>
                    </w:rPr>
                    <w:t>昼间</w:t>
                  </w:r>
                </w:p>
              </w:tc>
              <w:tc>
                <w:tcPr>
                  <w:tcW w:w="1468" w:type="pct"/>
                  <w:tcBorders>
                    <w:tl2br w:val="nil"/>
                    <w:tr2bl w:val="nil"/>
                  </w:tcBorders>
                  <w:noWrap w:val="0"/>
                  <w:vAlign w:val="center"/>
                </w:tcPr>
                <w:p>
                  <w:pPr>
                    <w:pStyle w:val="30"/>
                    <w:bidi w:val="0"/>
                    <w:rPr>
                      <w:rFonts w:hint="default"/>
                      <w:color w:val="auto"/>
                    </w:rPr>
                  </w:pPr>
                  <w:r>
                    <w:rPr>
                      <w:rFonts w:hint="default"/>
                      <w:color w:val="auto"/>
                    </w:rPr>
                    <w:t>夜间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2125" w:type="pct"/>
                  <w:tcBorders>
                    <w:tl2br w:val="nil"/>
                    <w:tr2bl w:val="nil"/>
                  </w:tcBorders>
                  <w:noWrap w:val="0"/>
                  <w:vAlign w:val="center"/>
                </w:tcPr>
                <w:p>
                  <w:pPr>
                    <w:pStyle w:val="30"/>
                    <w:bidi w:val="0"/>
                    <w:rPr>
                      <w:rFonts w:hint="default"/>
                      <w:color w:val="auto"/>
                      <w:lang w:val="en-US" w:eastAsia="zh-CN"/>
                    </w:rPr>
                  </w:pPr>
                  <w:r>
                    <w:rPr>
                      <w:rFonts w:hint="eastAsia"/>
                      <w:color w:val="auto"/>
                      <w:lang w:val="en-US" w:eastAsia="zh-CN"/>
                    </w:rPr>
                    <w:t>3</w:t>
                  </w:r>
                </w:p>
              </w:tc>
              <w:tc>
                <w:tcPr>
                  <w:tcW w:w="1406" w:type="pct"/>
                  <w:tcBorders>
                    <w:tl2br w:val="nil"/>
                    <w:tr2bl w:val="nil"/>
                  </w:tcBorders>
                  <w:noWrap w:val="0"/>
                  <w:vAlign w:val="center"/>
                </w:tcPr>
                <w:p>
                  <w:pPr>
                    <w:pStyle w:val="30"/>
                    <w:bidi w:val="0"/>
                    <w:rPr>
                      <w:rFonts w:hint="default"/>
                      <w:color w:val="auto"/>
                      <w:lang w:val="en-US" w:eastAsia="zh-CN"/>
                    </w:rPr>
                  </w:pPr>
                  <w:r>
                    <w:rPr>
                      <w:rFonts w:hint="eastAsia"/>
                      <w:color w:val="auto"/>
                      <w:lang w:val="en-US" w:eastAsia="zh-CN"/>
                    </w:rPr>
                    <w:t>65</w:t>
                  </w:r>
                </w:p>
              </w:tc>
              <w:tc>
                <w:tcPr>
                  <w:tcW w:w="1468" w:type="pct"/>
                  <w:tcBorders>
                    <w:tl2br w:val="nil"/>
                    <w:tr2bl w:val="nil"/>
                  </w:tcBorders>
                  <w:noWrap w:val="0"/>
                  <w:vAlign w:val="center"/>
                </w:tcPr>
                <w:p>
                  <w:pPr>
                    <w:pStyle w:val="30"/>
                    <w:bidi w:val="0"/>
                    <w:rPr>
                      <w:rFonts w:hint="default"/>
                      <w:color w:val="auto"/>
                      <w:lang w:val="en-US" w:eastAsia="zh-CN"/>
                    </w:rPr>
                  </w:pPr>
                  <w:r>
                    <w:rPr>
                      <w:rFonts w:hint="eastAsia"/>
                      <w:color w:val="auto"/>
                      <w:lang w:val="en-US" w:eastAsia="zh-CN"/>
                    </w:rPr>
                    <w:t>55</w:t>
                  </w:r>
                </w:p>
              </w:tc>
            </w:tr>
          </w:tbl>
          <w:p>
            <w:pPr>
              <w:pStyle w:val="30"/>
              <w:bidi w:val="0"/>
              <w:rPr>
                <w:rFonts w:hint="default"/>
                <w:b/>
                <w:bCs/>
                <w:color w:val="auto"/>
              </w:rPr>
            </w:pPr>
            <w:r>
              <w:rPr>
                <w:rFonts w:hint="default"/>
                <w:b/>
                <w:bCs/>
                <w:color w:val="auto"/>
              </w:rPr>
              <w:t>表</w:t>
            </w:r>
            <w:r>
              <w:rPr>
                <w:rFonts w:hint="eastAsia"/>
                <w:b/>
                <w:bCs/>
                <w:color w:val="auto"/>
                <w:lang w:val="en-US" w:eastAsia="zh-CN"/>
              </w:rPr>
              <w:t xml:space="preserve">3-8 </w:t>
            </w:r>
            <w:r>
              <w:rPr>
                <w:rFonts w:hint="default"/>
                <w:b/>
                <w:bCs/>
                <w:color w:val="auto"/>
              </w:rPr>
              <w:t xml:space="preserve">  工业企业厂界环境噪声排放限值   单位：dB（A）</w:t>
            </w:r>
          </w:p>
          <w:p>
            <w:pPr>
              <w:ind w:left="0" w:leftChars="0" w:firstLine="0" w:firstLineChars="0"/>
              <w:rPr>
                <w:rFonts w:hint="eastAsia"/>
                <w:b/>
                <w:bCs/>
                <w:color w:val="auto"/>
              </w:rPr>
            </w:pPr>
            <w:r>
              <w:rPr>
                <w:rFonts w:hint="eastAsia"/>
                <w:b/>
                <w:bCs/>
                <w:color w:val="auto"/>
                <w:lang w:val="en-US" w:eastAsia="zh-CN"/>
              </w:rPr>
              <w:t>3.</w:t>
            </w:r>
            <w:r>
              <w:rPr>
                <w:rFonts w:hint="eastAsia"/>
                <w:b/>
                <w:bCs/>
                <w:color w:val="auto"/>
              </w:rPr>
              <w:t>水污染物排放标准</w:t>
            </w:r>
          </w:p>
          <w:p>
            <w:pPr>
              <w:ind w:firstLine="480"/>
              <w:rPr>
                <w:rFonts w:hint="eastAsia"/>
                <w:color w:val="auto"/>
              </w:rPr>
            </w:pPr>
            <w:r>
              <w:rPr>
                <w:rFonts w:hint="eastAsia"/>
                <w:color w:val="auto"/>
              </w:rPr>
              <w:t>运营期间，生活污水排入</w:t>
            </w:r>
            <w:r>
              <w:rPr>
                <w:rFonts w:hint="eastAsia"/>
                <w:color w:val="auto"/>
                <w:lang w:val="en-US" w:eastAsia="zh-CN"/>
              </w:rPr>
              <w:t>防渗</w:t>
            </w:r>
            <w:r>
              <w:rPr>
                <w:rFonts w:hint="eastAsia"/>
                <w:color w:val="auto"/>
              </w:rPr>
              <w:t>化粪池收集，定期抽运至</w:t>
            </w:r>
            <w:r>
              <w:rPr>
                <w:rFonts w:hint="eastAsia"/>
                <w:color w:val="auto"/>
                <w:lang w:eastAsia="zh-CN"/>
              </w:rPr>
              <w:t>伊拉湖镇污水处理厂</w:t>
            </w:r>
            <w:r>
              <w:rPr>
                <w:rFonts w:hint="eastAsia"/>
                <w:color w:val="auto"/>
              </w:rPr>
              <w:t>，故执行</w:t>
            </w:r>
            <w:r>
              <w:rPr>
                <w:color w:val="auto"/>
              </w:rPr>
              <w:t>《污水综合排放标准》（GB8978-1996）</w:t>
            </w:r>
            <w:r>
              <w:rPr>
                <w:rFonts w:hint="eastAsia"/>
                <w:color w:val="auto"/>
              </w:rPr>
              <w:t>表4</w:t>
            </w:r>
            <w:r>
              <w:rPr>
                <w:rFonts w:hint="eastAsia"/>
                <w:color w:val="auto"/>
                <w:lang w:eastAsia="zh-CN"/>
              </w:rPr>
              <w:t>中的</w:t>
            </w:r>
            <w:r>
              <w:rPr>
                <w:rFonts w:hint="eastAsia"/>
                <w:color w:val="auto"/>
              </w:rPr>
              <w:t>三级排放标准，具体如下表</w:t>
            </w:r>
            <w:r>
              <w:rPr>
                <w:rFonts w:hint="eastAsia"/>
                <w:color w:val="auto"/>
                <w:lang w:val="en-US" w:eastAsia="zh-CN"/>
              </w:rPr>
              <w:t>3-9</w:t>
            </w:r>
            <w:r>
              <w:rPr>
                <w:rFonts w:hint="eastAsia"/>
                <w:color w:val="auto"/>
              </w:rPr>
              <w:t>。</w:t>
            </w:r>
          </w:p>
          <w:p>
            <w:pPr>
              <w:pStyle w:val="30"/>
              <w:rPr>
                <w:b/>
                <w:bCs/>
                <w:color w:val="auto"/>
              </w:rPr>
            </w:pPr>
            <w:r>
              <w:rPr>
                <w:b/>
                <w:bCs/>
                <w:color w:val="auto"/>
              </w:rPr>
              <w:t>表</w:t>
            </w:r>
            <w:r>
              <w:rPr>
                <w:rFonts w:hint="eastAsia"/>
                <w:b/>
                <w:bCs/>
                <w:color w:val="auto"/>
              </w:rPr>
              <w:t>3-</w:t>
            </w:r>
            <w:r>
              <w:rPr>
                <w:rFonts w:hint="eastAsia"/>
                <w:b/>
                <w:bCs/>
                <w:color w:val="auto"/>
                <w:lang w:val="en-US" w:eastAsia="zh-CN"/>
              </w:rPr>
              <w:t>9</w:t>
            </w:r>
            <w:r>
              <w:rPr>
                <w:rFonts w:hint="eastAsia"/>
                <w:b/>
                <w:bCs/>
                <w:color w:val="auto"/>
              </w:rPr>
              <w:t xml:space="preserve"> </w:t>
            </w:r>
            <w:r>
              <w:rPr>
                <w:b/>
                <w:bCs/>
                <w:color w:val="auto"/>
              </w:rPr>
              <w:t xml:space="preserve">  《污水综合排放标准》（GB8978-1996）</w:t>
            </w:r>
          </w:p>
          <w:tbl>
            <w:tblPr>
              <w:tblStyle w:val="23"/>
              <w:tblW w:w="8293"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0"/>
              <w:gridCol w:w="3110"/>
              <w:gridCol w:w="2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tcBorders>
                    <w:tl2br w:val="nil"/>
                    <w:tr2bl w:val="nil"/>
                  </w:tcBorders>
                  <w:noWrap w:val="0"/>
                  <w:vAlign w:val="top"/>
                </w:tcPr>
                <w:p>
                  <w:pPr>
                    <w:pStyle w:val="30"/>
                    <w:rPr>
                      <w:color w:val="auto"/>
                    </w:rPr>
                  </w:pPr>
                  <w:r>
                    <w:rPr>
                      <w:color w:val="auto"/>
                    </w:rPr>
                    <w:t>序号</w:t>
                  </w:r>
                </w:p>
              </w:tc>
              <w:tc>
                <w:tcPr>
                  <w:tcW w:w="3110" w:type="dxa"/>
                  <w:tcBorders>
                    <w:tl2br w:val="nil"/>
                    <w:tr2bl w:val="nil"/>
                  </w:tcBorders>
                  <w:noWrap w:val="0"/>
                  <w:vAlign w:val="top"/>
                </w:tcPr>
                <w:p>
                  <w:pPr>
                    <w:pStyle w:val="30"/>
                    <w:rPr>
                      <w:color w:val="auto"/>
                    </w:rPr>
                  </w:pPr>
                  <w:r>
                    <w:rPr>
                      <w:color w:val="auto"/>
                    </w:rPr>
                    <w:t>污染物</w:t>
                  </w:r>
                </w:p>
              </w:tc>
              <w:tc>
                <w:tcPr>
                  <w:tcW w:w="2813" w:type="dxa"/>
                  <w:tcBorders>
                    <w:tl2br w:val="nil"/>
                    <w:tr2bl w:val="nil"/>
                  </w:tcBorders>
                  <w:noWrap w:val="0"/>
                  <w:vAlign w:val="top"/>
                </w:tcPr>
                <w:p>
                  <w:pPr>
                    <w:pStyle w:val="30"/>
                    <w:rPr>
                      <w:color w:val="auto"/>
                    </w:rPr>
                  </w:pPr>
                  <w:r>
                    <w:rPr>
                      <w:rFonts w:hint="eastAsia"/>
                      <w:color w:val="auto"/>
                      <w:lang w:val="en-US" w:eastAsia="zh-CN"/>
                    </w:rPr>
                    <w:t>三</w:t>
                  </w:r>
                  <w:r>
                    <w:rPr>
                      <w:rFonts w:hint="eastAsia"/>
                      <w:color w:val="auto"/>
                    </w:rPr>
                    <w:t>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tcBorders>
                    <w:tl2br w:val="nil"/>
                    <w:tr2bl w:val="nil"/>
                  </w:tcBorders>
                  <w:noWrap w:val="0"/>
                  <w:vAlign w:val="top"/>
                </w:tcPr>
                <w:p>
                  <w:pPr>
                    <w:pStyle w:val="30"/>
                    <w:rPr>
                      <w:color w:val="auto"/>
                    </w:rPr>
                  </w:pPr>
                  <w:r>
                    <w:rPr>
                      <w:color w:val="auto"/>
                    </w:rPr>
                    <w:t>1</w:t>
                  </w:r>
                </w:p>
              </w:tc>
              <w:tc>
                <w:tcPr>
                  <w:tcW w:w="3110" w:type="dxa"/>
                  <w:tcBorders>
                    <w:tl2br w:val="nil"/>
                    <w:tr2bl w:val="nil"/>
                  </w:tcBorders>
                  <w:noWrap w:val="0"/>
                  <w:vAlign w:val="top"/>
                </w:tcPr>
                <w:p>
                  <w:pPr>
                    <w:pStyle w:val="30"/>
                    <w:rPr>
                      <w:color w:val="auto"/>
                    </w:rPr>
                  </w:pPr>
                  <w:r>
                    <w:rPr>
                      <w:rFonts w:hint="eastAsia"/>
                      <w:color w:val="auto"/>
                    </w:rPr>
                    <w:t>pH值</w:t>
                  </w:r>
                </w:p>
              </w:tc>
              <w:tc>
                <w:tcPr>
                  <w:tcW w:w="2813" w:type="dxa"/>
                  <w:tcBorders>
                    <w:tl2br w:val="nil"/>
                    <w:tr2bl w:val="nil"/>
                  </w:tcBorders>
                  <w:noWrap w:val="0"/>
                  <w:vAlign w:val="top"/>
                </w:tcPr>
                <w:p>
                  <w:pPr>
                    <w:pStyle w:val="30"/>
                    <w:rPr>
                      <w:color w:val="auto"/>
                    </w:rPr>
                  </w:pPr>
                  <w:r>
                    <w:rPr>
                      <w:rFonts w:hint="eastAsia"/>
                      <w:color w:val="auto"/>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370" w:type="dxa"/>
                  <w:tcBorders>
                    <w:tl2br w:val="nil"/>
                    <w:tr2bl w:val="nil"/>
                  </w:tcBorders>
                  <w:noWrap w:val="0"/>
                  <w:vAlign w:val="top"/>
                </w:tcPr>
                <w:p>
                  <w:pPr>
                    <w:pStyle w:val="30"/>
                    <w:rPr>
                      <w:color w:val="auto"/>
                    </w:rPr>
                  </w:pPr>
                  <w:r>
                    <w:rPr>
                      <w:color w:val="auto"/>
                    </w:rPr>
                    <w:t>2</w:t>
                  </w:r>
                </w:p>
              </w:tc>
              <w:tc>
                <w:tcPr>
                  <w:tcW w:w="3110" w:type="dxa"/>
                  <w:tcBorders>
                    <w:tl2br w:val="nil"/>
                    <w:tr2bl w:val="nil"/>
                  </w:tcBorders>
                  <w:noWrap w:val="0"/>
                  <w:vAlign w:val="top"/>
                </w:tcPr>
                <w:p>
                  <w:pPr>
                    <w:pStyle w:val="30"/>
                    <w:rPr>
                      <w:color w:val="auto"/>
                    </w:rPr>
                  </w:pPr>
                  <w:r>
                    <w:rPr>
                      <w:rFonts w:hint="eastAsia"/>
                      <w:color w:val="auto"/>
                    </w:rPr>
                    <w:t>CODCr</w:t>
                  </w:r>
                </w:p>
              </w:tc>
              <w:tc>
                <w:tcPr>
                  <w:tcW w:w="2813" w:type="dxa"/>
                  <w:tcBorders>
                    <w:tl2br w:val="nil"/>
                    <w:tr2bl w:val="nil"/>
                  </w:tcBorders>
                  <w:noWrap w:val="0"/>
                  <w:vAlign w:val="top"/>
                </w:tcPr>
                <w:p>
                  <w:pPr>
                    <w:pStyle w:val="30"/>
                    <w:rPr>
                      <w:color w:val="auto"/>
                    </w:rPr>
                  </w:pPr>
                  <w:r>
                    <w:rPr>
                      <w:rFonts w:hint="eastAsia"/>
                      <w:color w:val="auto"/>
                    </w:rPr>
                    <w:t>500mg/L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tcBorders>
                    <w:tl2br w:val="nil"/>
                    <w:tr2bl w:val="nil"/>
                  </w:tcBorders>
                  <w:noWrap w:val="0"/>
                  <w:vAlign w:val="top"/>
                </w:tcPr>
                <w:p>
                  <w:pPr>
                    <w:pStyle w:val="30"/>
                    <w:rPr>
                      <w:color w:val="auto"/>
                    </w:rPr>
                  </w:pPr>
                  <w:r>
                    <w:rPr>
                      <w:color w:val="auto"/>
                    </w:rPr>
                    <w:t>3</w:t>
                  </w:r>
                </w:p>
              </w:tc>
              <w:tc>
                <w:tcPr>
                  <w:tcW w:w="3110" w:type="dxa"/>
                  <w:tcBorders>
                    <w:tl2br w:val="nil"/>
                    <w:tr2bl w:val="nil"/>
                  </w:tcBorders>
                  <w:noWrap w:val="0"/>
                  <w:vAlign w:val="top"/>
                </w:tcPr>
                <w:p>
                  <w:pPr>
                    <w:pStyle w:val="30"/>
                    <w:rPr>
                      <w:color w:val="auto"/>
                    </w:rPr>
                  </w:pPr>
                  <w:r>
                    <w:rPr>
                      <w:rFonts w:hint="eastAsia"/>
                      <w:color w:val="auto"/>
                    </w:rPr>
                    <w:t>SS</w:t>
                  </w:r>
                </w:p>
              </w:tc>
              <w:tc>
                <w:tcPr>
                  <w:tcW w:w="2813" w:type="dxa"/>
                  <w:tcBorders>
                    <w:tl2br w:val="nil"/>
                    <w:tr2bl w:val="nil"/>
                  </w:tcBorders>
                  <w:noWrap w:val="0"/>
                  <w:vAlign w:val="top"/>
                </w:tcPr>
                <w:p>
                  <w:pPr>
                    <w:pStyle w:val="30"/>
                    <w:rPr>
                      <w:color w:val="auto"/>
                    </w:rPr>
                  </w:pPr>
                  <w:r>
                    <w:rPr>
                      <w:rFonts w:hint="eastAsia"/>
                      <w:color w:val="auto"/>
                    </w:rPr>
                    <w:t>400mg/L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tcBorders>
                    <w:tl2br w:val="nil"/>
                    <w:tr2bl w:val="nil"/>
                  </w:tcBorders>
                  <w:noWrap w:val="0"/>
                  <w:vAlign w:val="top"/>
                </w:tcPr>
                <w:p>
                  <w:pPr>
                    <w:pStyle w:val="30"/>
                    <w:rPr>
                      <w:color w:val="auto"/>
                    </w:rPr>
                  </w:pPr>
                  <w:r>
                    <w:rPr>
                      <w:color w:val="auto"/>
                    </w:rPr>
                    <w:t>4</w:t>
                  </w:r>
                </w:p>
              </w:tc>
              <w:tc>
                <w:tcPr>
                  <w:tcW w:w="3110" w:type="dxa"/>
                  <w:tcBorders>
                    <w:tl2br w:val="nil"/>
                    <w:tr2bl w:val="nil"/>
                  </w:tcBorders>
                  <w:noWrap w:val="0"/>
                  <w:vAlign w:val="top"/>
                </w:tcPr>
                <w:p>
                  <w:pPr>
                    <w:pStyle w:val="30"/>
                    <w:rPr>
                      <w:color w:val="auto"/>
                    </w:rPr>
                  </w:pPr>
                  <w:r>
                    <w:rPr>
                      <w:rFonts w:hint="eastAsia"/>
                      <w:color w:val="auto"/>
                    </w:rPr>
                    <w:t>BOD5</w:t>
                  </w:r>
                </w:p>
              </w:tc>
              <w:tc>
                <w:tcPr>
                  <w:tcW w:w="2813" w:type="dxa"/>
                  <w:tcBorders>
                    <w:tl2br w:val="nil"/>
                    <w:tr2bl w:val="nil"/>
                  </w:tcBorders>
                  <w:noWrap w:val="0"/>
                  <w:vAlign w:val="top"/>
                </w:tcPr>
                <w:p>
                  <w:pPr>
                    <w:pStyle w:val="30"/>
                    <w:rPr>
                      <w:color w:val="auto"/>
                    </w:rPr>
                  </w:pPr>
                  <w:r>
                    <w:rPr>
                      <w:rFonts w:hint="eastAsia"/>
                      <w:color w:val="auto"/>
                    </w:rPr>
                    <w:t>300mg/L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tcBorders>
                    <w:tl2br w:val="nil"/>
                    <w:tr2bl w:val="nil"/>
                  </w:tcBorders>
                  <w:noWrap w:val="0"/>
                  <w:vAlign w:val="top"/>
                </w:tcPr>
                <w:p>
                  <w:pPr>
                    <w:pStyle w:val="30"/>
                    <w:rPr>
                      <w:rFonts w:hint="eastAsia"/>
                      <w:color w:val="auto"/>
                    </w:rPr>
                  </w:pPr>
                  <w:r>
                    <w:rPr>
                      <w:rFonts w:hint="eastAsia"/>
                      <w:color w:val="auto"/>
                    </w:rPr>
                    <w:t>5</w:t>
                  </w:r>
                </w:p>
              </w:tc>
              <w:tc>
                <w:tcPr>
                  <w:tcW w:w="3110" w:type="dxa"/>
                  <w:tcBorders>
                    <w:tl2br w:val="nil"/>
                    <w:tr2bl w:val="nil"/>
                  </w:tcBorders>
                  <w:noWrap w:val="0"/>
                  <w:vAlign w:val="top"/>
                </w:tcPr>
                <w:p>
                  <w:pPr>
                    <w:pStyle w:val="30"/>
                    <w:rPr>
                      <w:color w:val="auto"/>
                    </w:rPr>
                  </w:pPr>
                  <w:r>
                    <w:rPr>
                      <w:rFonts w:hint="eastAsia"/>
                      <w:color w:val="auto"/>
                    </w:rPr>
                    <w:t>动植物油</w:t>
                  </w:r>
                </w:p>
              </w:tc>
              <w:tc>
                <w:tcPr>
                  <w:tcW w:w="2813" w:type="dxa"/>
                  <w:tcBorders>
                    <w:tl2br w:val="nil"/>
                    <w:tr2bl w:val="nil"/>
                  </w:tcBorders>
                  <w:noWrap w:val="0"/>
                  <w:vAlign w:val="top"/>
                </w:tcPr>
                <w:p>
                  <w:pPr>
                    <w:pStyle w:val="30"/>
                    <w:rPr>
                      <w:color w:val="auto"/>
                    </w:rPr>
                  </w:pPr>
                  <w:r>
                    <w:rPr>
                      <w:rFonts w:hint="eastAsia"/>
                      <w:color w:val="auto"/>
                    </w:rPr>
                    <w:t>100mg/L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0" w:type="dxa"/>
                  <w:tcBorders>
                    <w:tl2br w:val="nil"/>
                    <w:tr2bl w:val="nil"/>
                  </w:tcBorders>
                  <w:noWrap w:val="0"/>
                  <w:vAlign w:val="top"/>
                </w:tcPr>
                <w:p>
                  <w:pPr>
                    <w:pStyle w:val="30"/>
                    <w:rPr>
                      <w:color w:val="auto"/>
                    </w:rPr>
                  </w:pPr>
                  <w:r>
                    <w:rPr>
                      <w:rFonts w:hint="eastAsia"/>
                      <w:color w:val="auto"/>
                    </w:rPr>
                    <w:t>6</w:t>
                  </w:r>
                </w:p>
              </w:tc>
              <w:tc>
                <w:tcPr>
                  <w:tcW w:w="3110" w:type="dxa"/>
                  <w:tcBorders>
                    <w:tl2br w:val="nil"/>
                    <w:tr2bl w:val="nil"/>
                  </w:tcBorders>
                  <w:noWrap w:val="0"/>
                  <w:vAlign w:val="top"/>
                </w:tcPr>
                <w:p>
                  <w:pPr>
                    <w:pStyle w:val="30"/>
                    <w:rPr>
                      <w:color w:val="auto"/>
                    </w:rPr>
                  </w:pPr>
                  <w:r>
                    <w:rPr>
                      <w:rFonts w:hint="eastAsia"/>
                      <w:color w:val="auto"/>
                    </w:rPr>
                    <w:t>氨氮</w:t>
                  </w:r>
                </w:p>
              </w:tc>
              <w:tc>
                <w:tcPr>
                  <w:tcW w:w="2813" w:type="dxa"/>
                  <w:tcBorders>
                    <w:tl2br w:val="nil"/>
                    <w:tr2bl w:val="nil"/>
                  </w:tcBorders>
                  <w:noWrap w:val="0"/>
                  <w:vAlign w:val="top"/>
                </w:tcPr>
                <w:p>
                  <w:pPr>
                    <w:pStyle w:val="30"/>
                    <w:rPr>
                      <w:color w:val="auto"/>
                    </w:rPr>
                  </w:pPr>
                  <w:r>
                    <w:rPr>
                      <w:rFonts w:hint="eastAsia"/>
                      <w:color w:val="auto"/>
                    </w:rPr>
                    <w:t>/</w:t>
                  </w:r>
                </w:p>
              </w:tc>
            </w:tr>
          </w:tbl>
          <w:p>
            <w:pPr>
              <w:spacing w:line="360" w:lineRule="auto"/>
              <w:ind w:left="0" w:leftChars="0" w:firstLine="0" w:firstLineChars="0"/>
              <w:rPr>
                <w:rFonts w:hint="default"/>
                <w:b/>
                <w:bCs/>
                <w:color w:val="auto"/>
              </w:rPr>
            </w:pPr>
            <w:r>
              <w:rPr>
                <w:rFonts w:hint="default"/>
                <w:b/>
                <w:bCs/>
                <w:color w:val="auto"/>
              </w:rPr>
              <w:t>4、固体废物执行标准或规定</w:t>
            </w:r>
          </w:p>
          <w:p>
            <w:pPr>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（1）一般固体废物执行</w:t>
            </w:r>
            <w:r>
              <w:rPr>
                <w:rFonts w:hint="default" w:ascii="Times New Roman" w:hAnsi="Times New Roman" w:cs="Times New Roman"/>
                <w:color w:val="auto"/>
                <w:lang w:eastAsia="zh-CN"/>
              </w:rPr>
              <w:t>《</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"http://www.mee.gov.cn/ywgz/fgbz/bz/bzwb/gthw/gtfwwrkzbz/202012/W020201218695845325455.pdf" </w:instrText>
            </w:r>
            <w:r>
              <w:rPr>
                <w:rFonts w:hint="default" w:ascii="Times New Roman" w:hAnsi="Times New Roman" w:cs="Times New Roman"/>
                <w:color w:val="auto"/>
              </w:rPr>
              <w:fldChar w:fldCharType="separate"/>
            </w:r>
            <w:r>
              <w:rPr>
                <w:rFonts w:hint="default" w:ascii="Times New Roman" w:hAnsi="Times New Roman" w:cs="Times New Roman"/>
                <w:color w:val="auto"/>
              </w:rPr>
              <w:t>一般工业固体废物贮存和填埋污染控制标准</w:t>
            </w:r>
            <w:r>
              <w:rPr>
                <w:rFonts w:hint="default" w:ascii="Times New Roman" w:hAnsi="Times New Roman" w:cs="Times New Roman"/>
                <w:color w:val="auto"/>
                <w:lang w:eastAsia="zh-CN"/>
              </w:rPr>
              <w:t>》</w:t>
            </w:r>
            <w:r>
              <w:rPr>
                <w:rFonts w:hint="default" w:ascii="Times New Roman" w:hAnsi="Times New Roman" w:cs="Times New Roman"/>
                <w:color w:val="auto"/>
              </w:rPr>
              <w:t>（GB 18599-2020）</w:t>
            </w:r>
            <w:r>
              <w:rPr>
                <w:rFonts w:hint="default" w:ascii="Times New Roman" w:hAnsi="Times New Roman" w:cs="Times New Roman"/>
                <w:color w:val="auto"/>
              </w:rPr>
              <w:fldChar w:fldCharType="end"/>
            </w:r>
            <w:r>
              <w:rPr>
                <w:rFonts w:hint="default" w:ascii="Times New Roman" w:hAnsi="Times New Roman" w:cs="Times New Roman"/>
                <w:color w:val="auto"/>
              </w:rPr>
              <w:t>的相关标准；</w:t>
            </w:r>
            <w:r>
              <w:rPr>
                <w:rFonts w:hint="default" w:ascii="Times New Roman" w:hAnsi="Times New Roman" w:eastAsia="宋体" w:cs="Times New Roman"/>
                <w:color w:val="auto"/>
                <w:sz w:val="24"/>
                <w:szCs w:val="24"/>
              </w:rPr>
              <w:t>危险废物贮存执行《危险废物贮存污染控制标准》（GB18597-2023）。</w:t>
            </w:r>
          </w:p>
          <w:p>
            <w:pPr>
              <w:spacing w:line="360" w:lineRule="auto"/>
              <w:ind w:firstLine="480" w:firstLineChars="200"/>
              <w:rPr>
                <w:rFonts w:hint="default" w:eastAsia="宋体"/>
                <w:lang w:val="en-US" w:eastAsia="zh-CN"/>
              </w:rPr>
            </w:pPr>
            <w:r>
              <w:rPr>
                <w:rFonts w:hint="default" w:ascii="Times New Roman" w:hAnsi="Times New Roman" w:cs="Times New Roman"/>
                <w:color w:val="auto"/>
              </w:rPr>
              <w:t>（2）生活垃圾执行《中华人民共和国固体废物污染环境防治法》（20</w:t>
            </w:r>
            <w:r>
              <w:rPr>
                <w:rFonts w:hint="default" w:ascii="Times New Roman" w:hAnsi="Times New Roman" w:cs="Times New Roman"/>
                <w:color w:val="auto"/>
                <w:lang w:val="en-US" w:eastAsia="zh-CN"/>
              </w:rPr>
              <w:t>18</w:t>
            </w:r>
            <w:r>
              <w:rPr>
                <w:rFonts w:hint="default" w:ascii="Times New Roman" w:hAnsi="Times New Roman" w:cs="Times New Roman"/>
                <w:color w:val="auto"/>
              </w:rPr>
              <w:t>年修订）的生活垃圾分类处置要求。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4" w:hRule="atLeast"/>
          <w:jc w:val="center"/>
        </w:trPr>
        <w:tc>
          <w:tcPr>
            <w:tcW w:w="905" w:type="dxa"/>
            <w:tcBorders>
              <w:tl2br w:val="nil"/>
              <w:tr2bl w:val="nil"/>
            </w:tcBorders>
            <w:noWrap w:val="0"/>
            <w:vAlign w:val="center"/>
          </w:tcPr>
          <w:p>
            <w:pPr>
              <w:pStyle w:val="31"/>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总量</w:t>
            </w:r>
          </w:p>
          <w:p>
            <w:pPr>
              <w:pStyle w:val="31"/>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控制</w:t>
            </w:r>
          </w:p>
          <w:p>
            <w:pPr>
              <w:pStyle w:val="31"/>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指标</w:t>
            </w:r>
          </w:p>
        </w:tc>
        <w:tc>
          <w:tcPr>
            <w:tcW w:w="8449" w:type="dxa"/>
            <w:tcBorders>
              <w:tl2br w:val="nil"/>
              <w:tr2bl w:val="nil"/>
            </w:tcBorders>
            <w:noWrap w:val="0"/>
            <w:vAlign w:val="center"/>
          </w:tcPr>
          <w:p>
            <w:pPr>
              <w:bidi w:val="0"/>
              <w:rPr>
                <w:rFonts w:hint="default" w:ascii="Times New Roman" w:hAnsi="Times New Roman" w:eastAsia="宋体" w:cs="Times New Roman"/>
                <w:color w:val="auto"/>
                <w:szCs w:val="24"/>
                <w:lang w:val="en-US" w:eastAsia="zh-CN"/>
              </w:rPr>
            </w:pPr>
            <w:r>
              <w:rPr>
                <w:rFonts w:hint="default"/>
                <w:color w:val="auto"/>
              </w:rPr>
              <w:t>根据国家规定的总量控制污染物种类，结合本项目的排污特点、所在区域的环境质量现状等因素综合考虑，</w:t>
            </w:r>
            <w:r>
              <w:rPr>
                <w:rFonts w:hint="eastAsia"/>
                <w:color w:val="auto"/>
                <w:lang w:val="en-US" w:eastAsia="zh-CN"/>
              </w:rPr>
              <w:t>建议</w:t>
            </w:r>
            <w:r>
              <w:rPr>
                <w:rFonts w:hint="default"/>
                <w:color w:val="auto"/>
                <w:lang w:val="en-US" w:eastAsia="zh-CN"/>
              </w:rPr>
              <w:t>本项目</w:t>
            </w:r>
            <w:r>
              <w:rPr>
                <w:rFonts w:hint="eastAsia"/>
                <w:color w:val="auto"/>
                <w:lang w:val="en-US" w:eastAsia="zh-CN"/>
              </w:rPr>
              <w:t>不</w:t>
            </w:r>
            <w:r>
              <w:rPr>
                <w:rFonts w:hint="default"/>
                <w:color w:val="auto"/>
                <w:lang w:val="en-US" w:eastAsia="zh-CN"/>
              </w:rPr>
              <w:t>设置总量控制指标</w:t>
            </w:r>
            <w:r>
              <w:rPr>
                <w:rFonts w:hint="eastAsia"/>
                <w:color w:val="auto"/>
                <w:lang w:val="en-US" w:eastAsia="zh-CN"/>
              </w:rPr>
              <w:t>。</w:t>
            </w:r>
          </w:p>
          <w:p>
            <w:pPr>
              <w:bidi w:val="0"/>
              <w:rPr>
                <w:color w:val="000000" w:themeColor="text1"/>
                <w14:textFill>
                  <w14:solidFill>
                    <w14:schemeClr w14:val="tx1"/>
                  </w14:solidFill>
                </w14:textFill>
              </w:rPr>
            </w:pPr>
          </w:p>
        </w:tc>
      </w:tr>
    </w:tbl>
    <w:p>
      <w:pPr>
        <w:bidi w:val="0"/>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bidi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四、主要环境影响和保护措施</w:t>
      </w:r>
    </w:p>
    <w:tbl>
      <w:tblPr>
        <w:tblStyle w:val="23"/>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9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tcBorders>
              <w:tl2br w:val="nil"/>
              <w:tr2bl w:val="nil"/>
            </w:tcBorders>
            <w:noWrap w:val="0"/>
            <w:tcMar>
              <w:left w:w="28" w:type="dxa"/>
              <w:right w:w="28" w:type="dxa"/>
            </w:tcMar>
            <w:vAlign w:val="center"/>
          </w:tcPr>
          <w:p>
            <w:pPr>
              <w:pStyle w:val="31"/>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施工</w:t>
            </w:r>
          </w:p>
          <w:p>
            <w:pPr>
              <w:pStyle w:val="31"/>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期环</w:t>
            </w:r>
          </w:p>
          <w:p>
            <w:pPr>
              <w:pStyle w:val="31"/>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境保</w:t>
            </w:r>
          </w:p>
          <w:p>
            <w:pPr>
              <w:pStyle w:val="31"/>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护措</w:t>
            </w:r>
          </w:p>
          <w:p>
            <w:pPr>
              <w:pStyle w:val="31"/>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施</w:t>
            </w:r>
          </w:p>
        </w:tc>
        <w:tc>
          <w:tcPr>
            <w:tcW w:w="9365" w:type="dxa"/>
            <w:tcBorders>
              <w:tl2br w:val="nil"/>
              <w:tr2bl w:val="nil"/>
            </w:tcBorders>
            <w:noWrap w:val="0"/>
            <w:vAlign w:val="center"/>
          </w:tcPr>
          <w:p>
            <w:pPr>
              <w:pStyle w:val="3"/>
              <w:keepNext/>
              <w:keepLines/>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施工期大气环境影响和保护措施</w:t>
            </w:r>
          </w:p>
          <w:p>
            <w:pPr>
              <w:keepNext w:val="0"/>
              <w:keepLines w:val="0"/>
              <w:pageBreakBefore w:val="0"/>
              <w:widowControl w:val="0"/>
              <w:kinsoku/>
              <w:wordWrap w:val="0"/>
              <w:overflowPunct/>
              <w:topLinePunct w:val="0"/>
              <w:autoSpaceDE/>
              <w:autoSpaceDN/>
              <w:bidi w:val="0"/>
              <w:snapToGrid/>
              <w:spacing w:line="360" w:lineRule="auto"/>
              <w:ind w:firstLine="48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为降低扬尘对施工场地附近的环境空气质量造成的影响，项目</w:t>
            </w:r>
            <w:r>
              <w:rPr>
                <w:rFonts w:hint="default" w:ascii="Times New Roman" w:hAnsi="Times New Roman" w:cs="Times New Roman"/>
                <w:color w:val="auto"/>
                <w:sz w:val="24"/>
                <w:szCs w:val="24"/>
                <w:lang w:val="en-US" w:eastAsia="zh-CN"/>
              </w:rPr>
              <w:t>区需</w:t>
            </w:r>
            <w:r>
              <w:rPr>
                <w:rFonts w:hint="default" w:ascii="Times New Roman" w:hAnsi="Times New Roman" w:cs="Times New Roman"/>
                <w:color w:val="auto"/>
                <w:sz w:val="24"/>
                <w:szCs w:val="24"/>
                <w:lang w:eastAsia="zh-CN"/>
              </w:rPr>
              <w:t>划定施工作业区、设置围墙、棚式贮存物料、场地洒水、硬化道路、车辆减速慢行等措施。具体如下：</w:t>
            </w:r>
          </w:p>
          <w:p>
            <w:pPr>
              <w:keepNext w:val="0"/>
              <w:keepLines w:val="0"/>
              <w:pageBreakBefore w:val="0"/>
              <w:widowControl w:val="0"/>
              <w:kinsoku/>
              <w:wordWrap w:val="0"/>
              <w:overflowPunct/>
              <w:topLinePunct w:val="0"/>
              <w:autoSpaceDE/>
              <w:autoSpaceDN/>
              <w:bidi w:val="0"/>
              <w:snapToGrid/>
              <w:spacing w:line="360" w:lineRule="auto"/>
              <w:ind w:firstLine="48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lang w:eastAsia="zh-CN"/>
              </w:rPr>
              <w:t>施工现场堆放使用水泥、石灰、砂石、涂料、铺装材料等易产生扬尘的建筑材料应入库贮存装卸，搬运时轻拿轻放，避免包装破裂产生扬尘；</w:t>
            </w:r>
          </w:p>
          <w:p>
            <w:pPr>
              <w:keepNext w:val="0"/>
              <w:keepLines w:val="0"/>
              <w:pageBreakBefore w:val="0"/>
              <w:widowControl w:val="0"/>
              <w:kinsoku/>
              <w:wordWrap w:val="0"/>
              <w:overflowPunct/>
              <w:topLinePunct w:val="0"/>
              <w:autoSpaceDE/>
              <w:autoSpaceDN/>
              <w:bidi w:val="0"/>
              <w:snapToGrid/>
              <w:spacing w:line="360" w:lineRule="auto"/>
              <w:ind w:firstLine="48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eastAsia="zh-CN"/>
              </w:rPr>
              <w:t>对现场存放的土方洒水，保持其表面潮湿，以避免扬尘；</w:t>
            </w:r>
          </w:p>
          <w:p>
            <w:pPr>
              <w:keepNext w:val="0"/>
              <w:keepLines w:val="0"/>
              <w:pageBreakBefore w:val="0"/>
              <w:widowControl w:val="0"/>
              <w:kinsoku/>
              <w:wordWrap w:val="0"/>
              <w:overflowPunct/>
              <w:topLinePunct w:val="0"/>
              <w:autoSpaceDE/>
              <w:autoSpaceDN/>
              <w:bidi w:val="0"/>
              <w:snapToGrid/>
              <w:spacing w:line="360" w:lineRule="auto"/>
              <w:ind w:firstLine="48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lang w:eastAsia="zh-CN"/>
              </w:rPr>
              <w:t xml:space="preserve">施工内部工地裸露地面应覆盖防尘布或防尘网、定时水雾喷洒降低施工场地扬尘、配置文明施工等措施防止扬尘造成影响； </w:t>
            </w:r>
          </w:p>
          <w:p>
            <w:pPr>
              <w:keepNext w:val="0"/>
              <w:keepLines w:val="0"/>
              <w:pageBreakBefore w:val="0"/>
              <w:widowControl w:val="0"/>
              <w:kinsoku/>
              <w:wordWrap w:val="0"/>
              <w:overflowPunct/>
              <w:topLinePunct w:val="0"/>
              <w:autoSpaceDE/>
              <w:autoSpaceDN/>
              <w:bidi w:val="0"/>
              <w:snapToGrid/>
              <w:spacing w:line="360" w:lineRule="auto"/>
              <w:ind w:firstLine="48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土方工程作业时，遇到四级或四级以上大风天气，应停止土方作业，同时作业处覆以防尘网；</w:t>
            </w:r>
          </w:p>
          <w:p>
            <w:pPr>
              <w:keepNext w:val="0"/>
              <w:keepLines w:val="0"/>
              <w:pageBreakBefore w:val="0"/>
              <w:widowControl w:val="0"/>
              <w:kinsoku/>
              <w:wordWrap w:val="0"/>
              <w:overflowPunct/>
              <w:topLinePunct w:val="0"/>
              <w:autoSpaceDE/>
              <w:autoSpaceDN/>
              <w:bidi w:val="0"/>
              <w:snapToGrid/>
              <w:spacing w:line="360" w:lineRule="auto"/>
              <w:ind w:firstLine="48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lang w:eastAsia="zh-CN"/>
              </w:rPr>
              <w:t>施工过程中产生的弃料及其他建筑垃圾，应及时清运；完善排水设施，防止进出车辆泥土粘带；</w:t>
            </w:r>
          </w:p>
          <w:p>
            <w:pPr>
              <w:keepNext w:val="0"/>
              <w:keepLines w:val="0"/>
              <w:pageBreakBefore w:val="0"/>
              <w:widowControl w:val="0"/>
              <w:kinsoku/>
              <w:wordWrap w:val="0"/>
              <w:overflowPunct/>
              <w:topLinePunct w:val="0"/>
              <w:autoSpaceDE/>
              <w:autoSpaceDN/>
              <w:bidi w:val="0"/>
              <w:snapToGrid/>
              <w:spacing w:line="360" w:lineRule="auto"/>
              <w:ind w:firstLine="48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lang w:eastAsia="zh-CN"/>
              </w:rPr>
              <w:t>物料运输应使用帆布覆盖，防止运输过程中的飞扬</w:t>
            </w:r>
            <w:r>
              <w:rPr>
                <w:rFonts w:hint="eastAsia" w:cs="Times New Roman"/>
                <w:color w:val="auto"/>
                <w:sz w:val="24"/>
                <w:szCs w:val="24"/>
                <w:lang w:eastAsia="zh-CN"/>
              </w:rPr>
              <w:t>和</w:t>
            </w:r>
            <w:r>
              <w:rPr>
                <w:rFonts w:hint="default" w:ascii="Times New Roman" w:hAnsi="Times New Roman" w:cs="Times New Roman"/>
                <w:color w:val="auto"/>
                <w:sz w:val="24"/>
                <w:szCs w:val="24"/>
                <w:lang w:eastAsia="zh-CN"/>
              </w:rPr>
              <w:t>洒落；</w:t>
            </w:r>
          </w:p>
          <w:p>
            <w:pPr>
              <w:keepNext w:val="0"/>
              <w:keepLines w:val="0"/>
              <w:pageBreakBefore w:val="0"/>
              <w:widowControl w:val="0"/>
              <w:kinsoku/>
              <w:wordWrap w:val="0"/>
              <w:overflowPunct/>
              <w:topLinePunct w:val="0"/>
              <w:autoSpaceDE/>
              <w:autoSpaceDN/>
              <w:bidi w:val="0"/>
              <w:snapToGrid/>
              <w:spacing w:line="360" w:lineRule="auto"/>
              <w:ind w:firstLine="48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运输车辆不得超载，被运物料不得含水太多，造成沿途泥浆滴漏，从而影响道路整洁，建筑固废必须及时清运并按照指定的运输线路行驶，送往指定的倾倒地点；</w:t>
            </w:r>
          </w:p>
          <w:p>
            <w:pPr>
              <w:pStyle w:val="9"/>
              <w:keepNext w:val="0"/>
              <w:keepLines w:val="0"/>
              <w:pageBreakBefore w:val="0"/>
              <w:widowControl w:val="0"/>
              <w:kinsoku/>
              <w:wordWrap w:val="0"/>
              <w:overflowPunct/>
              <w:topLinePunct w:val="0"/>
              <w:autoSpaceDE/>
              <w:autoSpaceDN/>
              <w:bidi w:val="0"/>
              <w:snapToGrid/>
              <w:spacing w:line="360" w:lineRule="auto"/>
              <w:ind w:firstLine="48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在采取上述措施，可最大限度减轻施工期对环境空气质量的影响。</w:t>
            </w:r>
          </w:p>
          <w:p>
            <w:pPr>
              <w:pStyle w:val="3"/>
              <w:keepNext w:val="0"/>
              <w:keepLines w:val="0"/>
              <w:pageBreakBefore w:val="0"/>
              <w:widowControl w:val="0"/>
              <w:numPr>
                <w:ilvl w:val="0"/>
                <w:numId w:val="4"/>
              </w:numPr>
              <w:kinsoku/>
              <w:wordWrap w:val="0"/>
              <w:overflowPunct/>
              <w:topLinePunct w:val="0"/>
              <w:autoSpaceDE/>
              <w:autoSpaceDN/>
              <w:bidi w:val="0"/>
              <w:snapToGrid/>
              <w:spacing w:line="360" w:lineRule="auto"/>
              <w:ind w:left="0" w:leftChars="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施工期废水环境影响保护措施</w:t>
            </w:r>
          </w:p>
          <w:p>
            <w:pPr>
              <w:pStyle w:val="41"/>
              <w:keepNext w:val="0"/>
              <w:keepLines w:val="0"/>
              <w:pageBreakBefore w:val="0"/>
              <w:widowControl w:val="0"/>
              <w:kinsoku/>
              <w:wordWrap w:val="0"/>
              <w:overflowPunct/>
              <w:topLinePunct w:val="0"/>
              <w:autoSpaceDE/>
              <w:autoSpaceDN/>
              <w:bidi w:val="0"/>
              <w:snapToGrid/>
              <w:spacing w:line="360" w:lineRule="auto"/>
              <w:ind w:firstLine="472"/>
              <w:jc w:val="both"/>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本项目施工期施工人员均不在施工区食宿，故不产生生活污水；项目产生的废水主要包括施工废水。</w:t>
            </w:r>
          </w:p>
          <w:p>
            <w:pPr>
              <w:keepNext w:val="0"/>
              <w:keepLines w:val="0"/>
              <w:pageBreakBefore w:val="0"/>
              <w:widowControl w:val="0"/>
              <w:kinsoku/>
              <w:wordWrap w:val="0"/>
              <w:overflowPunct/>
              <w:topLinePunct w:val="0"/>
              <w:autoSpaceDE/>
              <w:autoSpaceDN/>
              <w:bidi w:val="0"/>
              <w:snapToGrid/>
              <w:spacing w:line="360" w:lineRule="auto"/>
              <w:ind w:firstLine="480"/>
              <w:jc w:val="both"/>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施工废水主要是混凝土养护、车辆设备及场地清洗废水等。根据类比同类规模施工，项目施工期产生的废水量较小，废水中主要污染物为悬浮物，其次还有少量的油类，其中悬浮物浓度值在300～4000mg/L之间。环评要求施工单位设置临时</w:t>
            </w:r>
            <w:r>
              <w:rPr>
                <w:rFonts w:hint="default" w:ascii="Times New Roman" w:hAnsi="Times New Roman" w:cs="Times New Roman"/>
                <w:color w:val="auto"/>
                <w:sz w:val="24"/>
                <w:szCs w:val="24"/>
                <w:lang w:val="en-US" w:eastAsia="zh-CN"/>
              </w:rPr>
              <w:t>隔油</w:t>
            </w:r>
            <w:r>
              <w:rPr>
                <w:rFonts w:hint="default" w:ascii="Times New Roman" w:hAnsi="Times New Roman" w:cs="Times New Roman"/>
                <w:color w:val="auto"/>
                <w:sz w:val="24"/>
                <w:szCs w:val="24"/>
                <w:lang w:eastAsia="zh-CN"/>
              </w:rPr>
              <w:t>沉淀池，将生产废水沉淀处理后回用于施工过程，部分施工废水通过自然蒸发消耗。同时施工过程中要做到严格管理，节约用水，杜绝</w:t>
            </w:r>
            <w:r>
              <w:rPr>
                <w:rFonts w:hint="eastAsia" w:cs="Times New Roman"/>
                <w:color w:val="auto"/>
                <w:sz w:val="24"/>
                <w:szCs w:val="24"/>
                <w:lang w:eastAsia="zh-CN"/>
              </w:rPr>
              <w:t>泄漏</w:t>
            </w:r>
            <w:r>
              <w:rPr>
                <w:rFonts w:hint="default" w:ascii="Times New Roman" w:hAnsi="Times New Roman" w:cs="Times New Roman"/>
                <w:color w:val="auto"/>
                <w:sz w:val="24"/>
                <w:szCs w:val="24"/>
                <w:lang w:eastAsia="zh-CN"/>
              </w:rPr>
              <w:t>，保证施工废水不外排，对周围水环境影响很小。</w:t>
            </w:r>
          </w:p>
          <w:p>
            <w:pPr>
              <w:pStyle w:val="3"/>
              <w:keepNext w:val="0"/>
              <w:keepLines w:val="0"/>
              <w:pageBreakBefore w:val="0"/>
              <w:widowControl w:val="0"/>
              <w:numPr>
                <w:ilvl w:val="0"/>
                <w:numId w:val="4"/>
              </w:numPr>
              <w:kinsoku/>
              <w:wordWrap w:val="0"/>
              <w:overflowPunct/>
              <w:topLinePunct w:val="0"/>
              <w:autoSpaceDE/>
              <w:autoSpaceDN/>
              <w:bidi w:val="0"/>
              <w:snapToGrid/>
              <w:spacing w:line="360" w:lineRule="auto"/>
              <w:ind w:left="0" w:leftChars="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施工期噪声污染保护措施</w:t>
            </w:r>
          </w:p>
          <w:p>
            <w:pPr>
              <w:keepNext w:val="0"/>
              <w:keepLines w:val="0"/>
              <w:pageBreakBefore w:val="0"/>
              <w:widowControl w:val="0"/>
              <w:kinsoku/>
              <w:wordWrap w:val="0"/>
              <w:overflowPunct/>
              <w:topLinePunct w:val="0"/>
              <w:autoSpaceDE/>
              <w:autoSpaceDN/>
              <w:bidi w:val="0"/>
              <w:snapToGrid/>
              <w:spacing w:line="360" w:lineRule="auto"/>
              <w:ind w:firstLine="480"/>
              <w:jc w:val="both"/>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由于施工过程中噪声源位置和使用方式的不确定性，不同噪声机械共同使用会</w:t>
            </w:r>
            <w:r>
              <w:rPr>
                <w:rFonts w:hint="eastAsia" w:cs="Times New Roman"/>
                <w:color w:val="auto"/>
                <w:sz w:val="24"/>
                <w:szCs w:val="24"/>
                <w:lang w:eastAsia="zh-CN"/>
              </w:rPr>
              <w:t>扩大</w:t>
            </w:r>
            <w:r>
              <w:rPr>
                <w:rFonts w:hint="default" w:ascii="Times New Roman" w:hAnsi="Times New Roman" w:cs="Times New Roman"/>
                <w:color w:val="auto"/>
                <w:sz w:val="24"/>
                <w:szCs w:val="24"/>
                <w:lang w:eastAsia="zh-CN"/>
              </w:rPr>
              <w:t>噪声影响，工程施工期间一部分敏感点会受到施工噪声干扰影响。如果晚间照常施工将会造成严重的噪声影响。</w:t>
            </w:r>
          </w:p>
          <w:p>
            <w:pPr>
              <w:keepNext w:val="0"/>
              <w:keepLines w:val="0"/>
              <w:pageBreakBefore w:val="0"/>
              <w:widowControl w:val="0"/>
              <w:kinsoku/>
              <w:wordWrap w:val="0"/>
              <w:overflowPunct/>
              <w:topLinePunct w:val="0"/>
              <w:autoSpaceDE/>
              <w:autoSpaceDN/>
              <w:bidi w:val="0"/>
              <w:snapToGrid/>
              <w:spacing w:line="360" w:lineRule="auto"/>
              <w:ind w:firstLine="480"/>
              <w:jc w:val="both"/>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施工期运输设施及材料的交通噪声，其影响随着工程进度及不同的施工设施投入而有所不同。在施工初期，运输车辆的行驶是分散的，噪声影响具有流动性和不稳定性的特点。但影响的程度主要取决于施工机械与敏感点的距离，且施工噪声影响是短期的和暂时的，随着施工期结束，施工噪声影响也就随之消失。</w:t>
            </w:r>
          </w:p>
          <w:p>
            <w:pPr>
              <w:pStyle w:val="9"/>
              <w:keepNext w:val="0"/>
              <w:keepLines w:val="0"/>
              <w:pageBreakBefore w:val="0"/>
              <w:widowControl w:val="0"/>
              <w:kinsoku/>
              <w:wordWrap w:val="0"/>
              <w:overflowPunct/>
              <w:topLinePunct w:val="0"/>
              <w:autoSpaceDE/>
              <w:autoSpaceDN/>
              <w:bidi w:val="0"/>
              <w:snapToGrid/>
              <w:spacing w:line="360" w:lineRule="auto"/>
              <w:ind w:firstLine="48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施工产生的噪声对周围敏感点有一定影响，但本项目周边无敏感点、居民区，因此项目施工期的噪声对环境影响很小，且伴随施工期结束，其影响会完全消失。</w:t>
            </w:r>
          </w:p>
          <w:p>
            <w:pPr>
              <w:pStyle w:val="3"/>
              <w:keepNext w:val="0"/>
              <w:keepLines w:val="0"/>
              <w:pageBreakBefore w:val="0"/>
              <w:widowControl w:val="0"/>
              <w:numPr>
                <w:ilvl w:val="0"/>
                <w:numId w:val="4"/>
              </w:numPr>
              <w:kinsoku/>
              <w:wordWrap w:val="0"/>
              <w:overflowPunct/>
              <w:topLinePunct w:val="0"/>
              <w:autoSpaceDE/>
              <w:autoSpaceDN/>
              <w:bidi w:val="0"/>
              <w:snapToGrid/>
              <w:spacing w:line="360" w:lineRule="auto"/>
              <w:ind w:left="0" w:leftChars="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施工期固体废物污染保护措施</w:t>
            </w:r>
          </w:p>
          <w:p>
            <w:pPr>
              <w:pStyle w:val="41"/>
              <w:keepNext w:val="0"/>
              <w:keepLines w:val="0"/>
              <w:pageBreakBefore w:val="0"/>
              <w:widowControl w:val="0"/>
              <w:kinsoku/>
              <w:wordWrap w:val="0"/>
              <w:overflowPunct/>
              <w:topLinePunct w:val="0"/>
              <w:autoSpaceDE/>
              <w:autoSpaceDN/>
              <w:bidi w:val="0"/>
              <w:snapToGrid/>
              <w:spacing w:line="360" w:lineRule="auto"/>
              <w:ind w:firstLine="472"/>
              <w:jc w:val="both"/>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施工期的固体废物主要是建筑垃圾、生活垃圾。</w:t>
            </w:r>
          </w:p>
          <w:p>
            <w:pPr>
              <w:pStyle w:val="41"/>
              <w:keepNext w:val="0"/>
              <w:keepLines w:val="0"/>
              <w:pageBreakBefore w:val="0"/>
              <w:widowControl w:val="0"/>
              <w:kinsoku/>
              <w:wordWrap w:val="0"/>
              <w:overflowPunct/>
              <w:topLinePunct w:val="0"/>
              <w:autoSpaceDE/>
              <w:autoSpaceDN/>
              <w:bidi w:val="0"/>
              <w:snapToGrid/>
              <w:spacing w:line="360" w:lineRule="auto"/>
              <w:ind w:firstLine="472"/>
              <w:jc w:val="both"/>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（1）建筑垃圾及弃方</w:t>
            </w:r>
          </w:p>
          <w:p>
            <w:pPr>
              <w:pStyle w:val="41"/>
              <w:keepNext w:val="0"/>
              <w:keepLines w:val="0"/>
              <w:pageBreakBefore w:val="0"/>
              <w:widowControl w:val="0"/>
              <w:kinsoku/>
              <w:wordWrap w:val="0"/>
              <w:overflowPunct/>
              <w:topLinePunct w:val="0"/>
              <w:autoSpaceDE/>
              <w:autoSpaceDN/>
              <w:bidi w:val="0"/>
              <w:snapToGrid/>
              <w:spacing w:line="360" w:lineRule="auto"/>
              <w:ind w:firstLine="472"/>
              <w:jc w:val="both"/>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施工期开挖土方大部分用于地基回填，其余用于垫高低洼地，无弃土外运。</w:t>
            </w:r>
          </w:p>
          <w:p>
            <w:pPr>
              <w:pStyle w:val="41"/>
              <w:keepNext w:val="0"/>
              <w:keepLines w:val="0"/>
              <w:pageBreakBefore w:val="0"/>
              <w:widowControl w:val="0"/>
              <w:kinsoku/>
              <w:wordWrap w:val="0"/>
              <w:overflowPunct/>
              <w:topLinePunct w:val="0"/>
              <w:autoSpaceDE/>
              <w:autoSpaceDN/>
              <w:bidi w:val="0"/>
              <w:snapToGrid/>
              <w:spacing w:line="360" w:lineRule="auto"/>
              <w:ind w:firstLine="472"/>
              <w:jc w:val="both"/>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施工过程中产生的废弃的建筑材料，评价要求对施工建筑垃圾进行分类收集，对于废钢筋等可回收部分回收利用，剩余的废砖等建筑垃圾及时清理外运至</w:t>
            </w:r>
            <w:r>
              <w:rPr>
                <w:rFonts w:hint="default" w:ascii="Times New Roman" w:hAnsi="Times New Roman" w:cs="Times New Roman"/>
                <w:color w:val="auto"/>
                <w:sz w:val="24"/>
                <w:szCs w:val="24"/>
                <w:lang w:val="en-US" w:eastAsia="zh-CN"/>
              </w:rPr>
              <w:t>附近建筑垃圾处理</w:t>
            </w:r>
            <w:r>
              <w:rPr>
                <w:rFonts w:hint="eastAsia" w:cs="Times New Roman"/>
                <w:color w:val="auto"/>
                <w:sz w:val="24"/>
                <w:szCs w:val="24"/>
                <w:lang w:val="en-US" w:eastAsia="zh-CN"/>
              </w:rPr>
              <w:t>厂处</w:t>
            </w:r>
            <w:r>
              <w:rPr>
                <w:rFonts w:hint="default" w:ascii="Times New Roman" w:hAnsi="Times New Roman" w:cs="Times New Roman"/>
                <w:color w:val="auto"/>
                <w:sz w:val="24"/>
                <w:szCs w:val="24"/>
                <w:lang w:val="en-US" w:eastAsia="zh-CN"/>
              </w:rPr>
              <w:t>理</w:t>
            </w:r>
            <w:r>
              <w:rPr>
                <w:rFonts w:hint="default" w:ascii="Times New Roman" w:hAnsi="Times New Roman" w:cs="Times New Roman"/>
                <w:color w:val="auto"/>
                <w:sz w:val="24"/>
                <w:szCs w:val="24"/>
                <w:lang w:eastAsia="zh-CN"/>
              </w:rPr>
              <w:t>，对于场地内的表层土壤，要求在场地内临时贮存，最终作为场地绿化用途加以利用，表土临时贮存场覆盖土工布防尘、防流失。</w:t>
            </w:r>
          </w:p>
          <w:p>
            <w:pPr>
              <w:pStyle w:val="41"/>
              <w:keepNext w:val="0"/>
              <w:keepLines w:val="0"/>
              <w:pageBreakBefore w:val="0"/>
              <w:widowControl w:val="0"/>
              <w:kinsoku/>
              <w:wordWrap w:val="0"/>
              <w:overflowPunct/>
              <w:topLinePunct w:val="0"/>
              <w:autoSpaceDE/>
              <w:autoSpaceDN/>
              <w:bidi w:val="0"/>
              <w:snapToGrid/>
              <w:spacing w:line="360" w:lineRule="auto"/>
              <w:ind w:firstLine="472"/>
              <w:jc w:val="both"/>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（2）施工期生活垃圾</w:t>
            </w:r>
          </w:p>
          <w:p>
            <w:pPr>
              <w:pStyle w:val="11"/>
              <w:keepNext w:val="0"/>
              <w:keepLines w:val="0"/>
              <w:pageBreakBefore w:val="0"/>
              <w:widowControl w:val="0"/>
              <w:kinsoku/>
              <w:wordWrap w:val="0"/>
              <w:overflowPunct/>
              <w:topLinePunct w:val="0"/>
              <w:autoSpaceDE/>
              <w:autoSpaceDN/>
              <w:bidi w:val="0"/>
              <w:snapToGrid/>
              <w:spacing w:line="360" w:lineRule="auto"/>
              <w:ind w:firstLine="480"/>
              <w:jc w:val="both"/>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施工期间施工人员不在项目区食宿，产生的生活垃圾</w:t>
            </w:r>
            <w:r>
              <w:rPr>
                <w:rFonts w:hint="default" w:ascii="Times New Roman" w:hAnsi="Times New Roman" w:cs="Times New Roman"/>
                <w:color w:val="auto"/>
                <w:sz w:val="24"/>
                <w:szCs w:val="24"/>
                <w:lang w:val="en-US" w:eastAsia="zh-CN"/>
              </w:rPr>
              <w:t>较少，</w:t>
            </w:r>
            <w:r>
              <w:rPr>
                <w:rFonts w:hint="default" w:ascii="Times New Roman" w:hAnsi="Times New Roman" w:cs="Times New Roman"/>
                <w:color w:val="auto"/>
                <w:sz w:val="24"/>
                <w:szCs w:val="24"/>
                <w:lang w:eastAsia="zh-CN"/>
              </w:rPr>
              <w:t>由环卫部门统一清运处理，对环境影响不大。</w:t>
            </w:r>
          </w:p>
          <w:p>
            <w:pPr>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auto"/>
                <w:sz w:val="24"/>
                <w:szCs w:val="24"/>
                <w:lang w:val="en-US" w:eastAsia="zh-CN"/>
              </w:rPr>
              <w:t>在采取上述措施，可最大限度减轻施工期对环境空气质量的影响。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5" w:hRule="atLeast"/>
          <w:jc w:val="center"/>
        </w:trPr>
        <w:tc>
          <w:tcPr>
            <w:tcW w:w="711" w:type="dxa"/>
            <w:tcBorders>
              <w:tl2br w:val="nil"/>
              <w:tr2bl w:val="nil"/>
            </w:tcBorders>
            <w:noWrap w:val="0"/>
            <w:tcMar>
              <w:left w:w="28" w:type="dxa"/>
              <w:right w:w="28" w:type="dxa"/>
            </w:tcMar>
            <w:vAlign w:val="center"/>
          </w:tcPr>
          <w:p>
            <w:pPr>
              <w:pStyle w:val="31"/>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运营</w:t>
            </w:r>
          </w:p>
          <w:p>
            <w:pPr>
              <w:pStyle w:val="31"/>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期环</w:t>
            </w:r>
          </w:p>
          <w:p>
            <w:pPr>
              <w:pStyle w:val="31"/>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境影</w:t>
            </w:r>
          </w:p>
          <w:p>
            <w:pPr>
              <w:pStyle w:val="31"/>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响和</w:t>
            </w:r>
          </w:p>
          <w:p>
            <w:pPr>
              <w:pStyle w:val="31"/>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保护</w:t>
            </w:r>
          </w:p>
          <w:p>
            <w:pPr>
              <w:pStyle w:val="31"/>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措施</w:t>
            </w:r>
          </w:p>
        </w:tc>
        <w:tc>
          <w:tcPr>
            <w:tcW w:w="9365" w:type="dxa"/>
            <w:tcBorders>
              <w:tl2br w:val="nil"/>
              <w:tr2bl w:val="nil"/>
            </w:tcBorders>
            <w:noWrap w:val="0"/>
            <w:vAlign w:val="center"/>
          </w:tcPr>
          <w:p>
            <w:pPr>
              <w:keepNext w:val="0"/>
              <w:keepLines w:val="0"/>
              <w:numPr>
                <w:ilvl w:val="0"/>
                <w:numId w:val="0"/>
              </w:numPr>
              <w:suppressLineNumbers w:val="0"/>
              <w:spacing w:before="0" w:beforeAutospacing="0" w:after="0" w:afterAutospacing="0" w:line="360" w:lineRule="auto"/>
              <w:ind w:right="0" w:rightChars="0"/>
              <w:jc w:val="both"/>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1.运营期环境影响和保护措施</w:t>
            </w:r>
          </w:p>
          <w:p>
            <w:pPr>
              <w:keepNext w:val="0"/>
              <w:keepLines w:val="0"/>
              <w:suppressLineNumbers w:val="0"/>
              <w:spacing w:before="0" w:beforeAutospacing="0" w:after="0" w:afterAutospacing="0" w:line="360" w:lineRule="auto"/>
              <w:ind w:left="0" w:leftChars="0" w:right="0" w:firstLine="0" w:firstLineChars="0"/>
              <w:jc w:val="both"/>
              <w:rPr>
                <w:rFonts w:hint="default" w:ascii="Times New Roman" w:hAnsi="Times New Roman" w:cs="Times New Roman"/>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1.1运营期大气环境影响和保护措施</w:t>
            </w:r>
          </w:p>
          <w:p>
            <w:pPr>
              <w:keepNext w:val="0"/>
              <w:keepLines w:val="0"/>
              <w:suppressLineNumbers w:val="0"/>
              <w:spacing w:before="0" w:beforeAutospacing="0" w:after="0" w:afterAutospacing="0" w:line="360" w:lineRule="auto"/>
              <w:ind w:left="0" w:leftChars="0" w:right="0" w:firstLine="480" w:firstLineChars="200"/>
              <w:jc w:val="both"/>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本项目营运期</w:t>
            </w:r>
            <w:r>
              <w:rPr>
                <w:rFonts w:hint="eastAsia" w:cs="Times New Roman"/>
                <w:color w:val="000000"/>
                <w:kern w:val="0"/>
                <w:sz w:val="24"/>
                <w:szCs w:val="24"/>
                <w:lang w:val="en-US" w:eastAsia="zh-CN" w:bidi="ar"/>
              </w:rPr>
              <w:t>混凝土生产线2条，水稳料生产线1条，</w:t>
            </w:r>
            <w:r>
              <w:rPr>
                <w:rFonts w:hint="default" w:ascii="Times New Roman" w:hAnsi="Times New Roman" w:eastAsia="宋体" w:cs="Times New Roman"/>
                <w:color w:val="000000"/>
                <w:kern w:val="0"/>
                <w:sz w:val="24"/>
                <w:szCs w:val="24"/>
                <w:lang w:val="en-US" w:eastAsia="zh-CN" w:bidi="ar"/>
              </w:rPr>
              <w:t>大气污染物主要为粉尘。粉尘的主要来源为筒仓仓顶呼吸孔粉尘，原料装卸、堆存粉尘，上料口粉尘，搅拌粉尘，车辆运输产生的粉尘</w:t>
            </w:r>
            <w:r>
              <w:rPr>
                <w:rFonts w:hint="eastAsia" w:cs="Times New Roman"/>
                <w:color w:val="000000"/>
                <w:kern w:val="0"/>
                <w:sz w:val="24"/>
                <w:szCs w:val="24"/>
                <w:lang w:val="en-US" w:eastAsia="zh-CN" w:bidi="ar"/>
              </w:rPr>
              <w:t>均为无组织排放</w:t>
            </w:r>
            <w:r>
              <w:rPr>
                <w:rFonts w:hint="default" w:ascii="Times New Roman" w:hAnsi="Times New Roman" w:eastAsia="宋体" w:cs="Times New Roman"/>
                <w:color w:val="000000"/>
                <w:kern w:val="0"/>
                <w:sz w:val="24"/>
                <w:szCs w:val="24"/>
                <w:lang w:val="en-US" w:eastAsia="zh-CN" w:bidi="ar"/>
              </w:rPr>
              <w:t>。</w:t>
            </w:r>
          </w:p>
          <w:p>
            <w:pPr>
              <w:bidi w:val="0"/>
              <w:ind w:left="0" w:leftChars="0" w:firstLine="482" w:firstLineChars="200"/>
              <w:rPr>
                <w:rFonts w:hint="default" w:ascii="Times New Roman" w:hAnsi="Times New Roman" w:cs="Times New Roman"/>
                <w:b/>
                <w:bCs/>
                <w:lang w:val="en-US" w:eastAsia="zh-CN"/>
              </w:rPr>
            </w:pPr>
            <w:r>
              <w:rPr>
                <w:rFonts w:hint="eastAsia" w:cs="Times New Roman"/>
                <w:b/>
                <w:bCs/>
                <w:lang w:val="en-US" w:eastAsia="zh-CN"/>
              </w:rPr>
              <w:t>（1）搅拌楼</w:t>
            </w:r>
            <w:r>
              <w:rPr>
                <w:rFonts w:hint="default" w:ascii="Times New Roman" w:hAnsi="Times New Roman" w:cs="Times New Roman"/>
                <w:b/>
                <w:bCs/>
                <w:lang w:val="en-US" w:eastAsia="zh-CN"/>
              </w:rPr>
              <w:t>搅拌粉尘</w:t>
            </w:r>
          </w:p>
          <w:p>
            <w:pPr>
              <w:widowControl/>
              <w:spacing w:line="360" w:lineRule="auto"/>
              <w:ind w:firstLine="480" w:firstLineChars="200"/>
              <w:jc w:val="left"/>
              <w:rPr>
                <w:rFonts w:hint="eastAsia"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本项目设置</w:t>
            </w:r>
            <w:r>
              <w:rPr>
                <w:rFonts w:hint="eastAsia" w:cs="Times New Roman"/>
                <w:color w:val="auto"/>
                <w:kern w:val="0"/>
                <w:sz w:val="24"/>
                <w:lang w:val="en-US" w:eastAsia="zh-CN"/>
              </w:rPr>
              <w:t>2</w:t>
            </w:r>
            <w:r>
              <w:rPr>
                <w:rFonts w:hint="eastAsia" w:ascii="Times New Roman" w:hAnsi="Times New Roman" w:eastAsia="宋体" w:cs="Times New Roman"/>
                <w:color w:val="auto"/>
                <w:kern w:val="0"/>
                <w:sz w:val="24"/>
              </w:rPr>
              <w:t>条混凝土生产线，配有</w:t>
            </w:r>
            <w:r>
              <w:rPr>
                <w:rFonts w:hint="eastAsia" w:cs="Times New Roman"/>
                <w:color w:val="auto"/>
                <w:kern w:val="0"/>
                <w:sz w:val="24"/>
                <w:lang w:val="en-US" w:eastAsia="zh-CN"/>
              </w:rPr>
              <w:t>2</w:t>
            </w:r>
            <w:r>
              <w:rPr>
                <w:rFonts w:hint="eastAsia" w:ascii="Times New Roman" w:hAnsi="Times New Roman" w:eastAsia="宋体" w:cs="Times New Roman"/>
                <w:color w:val="auto"/>
                <w:kern w:val="0"/>
                <w:sz w:val="24"/>
              </w:rPr>
              <w:t>套搅拌设备，</w:t>
            </w:r>
            <w:r>
              <w:rPr>
                <w:rFonts w:hint="eastAsia" w:cs="Times New Roman"/>
                <w:color w:val="auto"/>
                <w:kern w:val="0"/>
                <w:sz w:val="24"/>
                <w:lang w:val="en-US" w:eastAsia="zh-CN"/>
              </w:rPr>
              <w:t>年生产时间为</w:t>
            </w:r>
            <w:r>
              <w:rPr>
                <w:rFonts w:hint="eastAsia" w:cs="Times New Roman"/>
                <w:color w:val="auto"/>
                <w:kern w:val="0"/>
                <w:sz w:val="24"/>
                <w:highlight w:val="none"/>
                <w:lang w:val="en-US" w:eastAsia="zh-CN"/>
              </w:rPr>
              <w:t>275</w:t>
            </w:r>
            <w:r>
              <w:rPr>
                <w:rFonts w:hint="eastAsia" w:cs="Times New Roman"/>
                <w:color w:val="auto"/>
                <w:kern w:val="0"/>
                <w:sz w:val="24"/>
                <w:lang w:val="en-US" w:eastAsia="zh-CN"/>
              </w:rPr>
              <w:t>天，每天工作8小时，</w:t>
            </w:r>
            <w:r>
              <w:rPr>
                <w:rFonts w:hint="eastAsia" w:ascii="Times New Roman" w:hAnsi="Times New Roman" w:eastAsia="宋体" w:cs="Times New Roman"/>
                <w:color w:val="auto"/>
                <w:kern w:val="0"/>
                <w:sz w:val="24"/>
              </w:rPr>
              <w:t>项目建成后年产20万立方米混凝土，每立方米混凝土按2.4t计</w:t>
            </w:r>
            <w:r>
              <w:rPr>
                <w:rFonts w:hint="eastAsia" w:cs="Times New Roman"/>
                <w:color w:val="auto"/>
                <w:kern w:val="0"/>
                <w:sz w:val="24"/>
                <w:lang w:val="en-US" w:eastAsia="zh-CN"/>
              </w:rPr>
              <w:t>算，年产混凝土量为</w:t>
            </w:r>
            <w:r>
              <w:rPr>
                <w:rFonts w:hint="eastAsia" w:ascii="Times New Roman" w:hAnsi="Times New Roman" w:eastAsia="宋体" w:cs="Times New Roman"/>
                <w:color w:val="auto"/>
                <w:kern w:val="0"/>
                <w:sz w:val="24"/>
              </w:rPr>
              <w:t>480000t/a，生产设备为</w:t>
            </w:r>
            <w:r>
              <w:rPr>
                <w:rFonts w:hint="eastAsia" w:cs="Times New Roman"/>
                <w:color w:val="auto"/>
                <w:kern w:val="0"/>
                <w:sz w:val="24"/>
                <w:lang w:val="en-US" w:eastAsia="zh-CN"/>
              </w:rPr>
              <w:t>先进</w:t>
            </w:r>
            <w:r>
              <w:rPr>
                <w:rFonts w:hint="eastAsia" w:ascii="Times New Roman" w:hAnsi="Times New Roman" w:eastAsia="宋体" w:cs="Times New Roman"/>
                <w:color w:val="auto"/>
                <w:kern w:val="0"/>
                <w:sz w:val="24"/>
              </w:rPr>
              <w:t>的成套搅拌设备，搅拌设备位于密闭搅拌楼中，搅拌机</w:t>
            </w:r>
            <w:r>
              <w:rPr>
                <w:rFonts w:hint="eastAsia" w:cs="Times New Roman"/>
                <w:color w:val="auto"/>
                <w:kern w:val="0"/>
                <w:sz w:val="24"/>
                <w:lang w:val="en-US" w:eastAsia="zh-CN"/>
              </w:rPr>
              <w:t>内</w:t>
            </w:r>
            <w:r>
              <w:rPr>
                <w:rFonts w:hint="eastAsia" w:ascii="Times New Roman" w:hAnsi="Times New Roman" w:eastAsia="宋体" w:cs="Times New Roman"/>
                <w:color w:val="auto"/>
                <w:kern w:val="0"/>
                <w:sz w:val="24"/>
              </w:rPr>
              <w:t>自带脉冲布袋除尘器，</w:t>
            </w:r>
            <w:r>
              <w:rPr>
                <w:rFonts w:hint="eastAsia" w:cs="Times New Roman"/>
                <w:color w:val="auto"/>
                <w:kern w:val="0"/>
                <w:sz w:val="24"/>
                <w:lang w:val="en-US" w:eastAsia="zh-CN"/>
              </w:rPr>
              <w:t>内部</w:t>
            </w:r>
            <w:r>
              <w:rPr>
                <w:rFonts w:hint="eastAsia" w:ascii="Times New Roman" w:hAnsi="Times New Roman" w:eastAsia="宋体" w:cs="Times New Roman"/>
                <w:color w:val="auto"/>
                <w:kern w:val="0"/>
                <w:sz w:val="24"/>
              </w:rPr>
              <w:t>形成封闭的除尘系统进行除尘。物料搅拌过程产生的粉尘经搅拌机自带的脉冲布袋除尘器处理后</w:t>
            </w:r>
            <w:r>
              <w:rPr>
                <w:rFonts w:hint="eastAsia" w:cs="Times New Roman"/>
                <w:color w:val="auto"/>
                <w:kern w:val="0"/>
                <w:sz w:val="24"/>
                <w:lang w:val="en-US" w:eastAsia="zh-CN"/>
              </w:rPr>
              <w:t>通过一根15m高的排气筒（DA001）排放</w:t>
            </w:r>
            <w:r>
              <w:rPr>
                <w:rFonts w:hint="eastAsia" w:ascii="Times New Roman" w:hAnsi="Times New Roman" w:eastAsia="宋体" w:cs="Times New Roman"/>
                <w:color w:val="auto"/>
                <w:kern w:val="0"/>
                <w:sz w:val="24"/>
              </w:rPr>
              <w:t>。</w:t>
            </w:r>
          </w:p>
          <w:p>
            <w:pPr>
              <w:keepNext w:val="0"/>
              <w:keepLines w:val="0"/>
              <w:suppressLineNumbers w:val="0"/>
              <w:spacing w:before="0" w:beforeAutospacing="0" w:after="0" w:afterAutospacing="0" w:line="360" w:lineRule="auto"/>
              <w:ind w:left="0" w:leftChars="0" w:right="0" w:firstLine="480" w:firstLineChars="200"/>
              <w:jc w:val="both"/>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参考</w:t>
            </w:r>
            <w:r>
              <w:rPr>
                <w:rFonts w:hint="default" w:ascii="Times New Roman" w:hAnsi="Times New Roman" w:eastAsia="宋体" w:cs="Times New Roman"/>
                <w:color w:val="auto"/>
                <w:kern w:val="0"/>
                <w:sz w:val="24"/>
                <w:szCs w:val="24"/>
                <w:lang w:val="en-US" w:eastAsia="zh-CN" w:bidi="ar"/>
              </w:rPr>
              <w:t>《排放源统计调查产排污核算方法和系数手册》中</w:t>
            </w:r>
            <w:r>
              <w:rPr>
                <w:rFonts w:hint="default" w:ascii="Times New Roman" w:hAnsi="Times New Roman" w:eastAsia="宋体" w:cs="Times New Roman"/>
                <w:color w:val="auto"/>
                <w:sz w:val="24"/>
                <w:szCs w:val="24"/>
              </w:rPr>
              <w:t>3021水泥制品制造（含3022砼结构构件制造、3029其他水泥类似制品制造）行业系数手册</w:t>
            </w:r>
            <w:r>
              <w:rPr>
                <w:rFonts w:hint="default" w:ascii="Times New Roman" w:hAnsi="Times New Roman" w:eastAsia="宋体" w:cs="Times New Roman"/>
                <w:color w:val="auto"/>
                <w:kern w:val="0"/>
                <w:sz w:val="24"/>
                <w:szCs w:val="24"/>
                <w:lang w:val="en-US" w:eastAsia="zh-CN" w:bidi="ar"/>
              </w:rPr>
              <w:t>中的产污系数进行污染物核算。产污系数见下表4-</w:t>
            </w:r>
            <w:r>
              <w:rPr>
                <w:rFonts w:hint="eastAsia" w:ascii="Times New Roman" w:hAnsi="Times New Roman" w:eastAsia="宋体" w:cs="Times New Roman"/>
                <w:color w:val="auto"/>
                <w:kern w:val="0"/>
                <w:sz w:val="24"/>
                <w:szCs w:val="24"/>
                <w:lang w:val="en-US" w:eastAsia="zh-CN" w:bidi="ar"/>
              </w:rPr>
              <w:t>1</w:t>
            </w:r>
            <w:r>
              <w:rPr>
                <w:rFonts w:hint="default" w:ascii="Times New Roman" w:hAnsi="Times New Roman" w:eastAsia="宋体" w:cs="Times New Roman"/>
                <w:color w:val="auto"/>
                <w:kern w:val="0"/>
                <w:sz w:val="24"/>
                <w:szCs w:val="24"/>
                <w:lang w:val="en-US" w:eastAsia="zh-CN" w:bidi="ar"/>
              </w:rPr>
              <w:t>。</w:t>
            </w:r>
          </w:p>
          <w:p>
            <w:pPr>
              <w:pStyle w:val="30"/>
              <w:bidi w:val="0"/>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eastAsia="宋体" w:cs="Times New Roman"/>
                <w:b/>
                <w:bCs/>
                <w:color w:val="000000"/>
                <w:kern w:val="0"/>
                <w:sz w:val="21"/>
                <w:szCs w:val="21"/>
                <w:lang w:val="en-US" w:eastAsia="zh-CN" w:bidi="ar"/>
              </w:rPr>
              <w:t>表4-</w:t>
            </w:r>
            <w:r>
              <w:rPr>
                <w:rFonts w:hint="eastAsia" w:ascii="Times New Roman" w:hAnsi="Times New Roman" w:eastAsia="宋体" w:cs="Times New Roman"/>
                <w:b/>
                <w:bCs/>
                <w:color w:val="000000"/>
                <w:kern w:val="0"/>
                <w:sz w:val="21"/>
                <w:szCs w:val="21"/>
                <w:lang w:val="en-US" w:eastAsia="zh-CN" w:bidi="ar"/>
              </w:rPr>
              <w:t>1</w:t>
            </w:r>
            <w:r>
              <w:rPr>
                <w:rFonts w:hint="default" w:ascii="Times New Roman" w:hAnsi="Times New Roman" w:eastAsia="宋体" w:cs="Times New Roman"/>
                <w:b/>
                <w:bCs/>
                <w:color w:val="000000"/>
                <w:kern w:val="0"/>
                <w:sz w:val="21"/>
                <w:szCs w:val="21"/>
                <w:lang w:val="en-US" w:eastAsia="zh-CN" w:bidi="ar"/>
              </w:rPr>
              <w:t xml:space="preserve">   水泥制品制造业产排污系数表</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9"/>
              <w:gridCol w:w="852"/>
              <w:gridCol w:w="782"/>
              <w:gridCol w:w="537"/>
              <w:gridCol w:w="1305"/>
              <w:gridCol w:w="1495"/>
              <w:gridCol w:w="1192"/>
              <w:gridCol w:w="1177"/>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322" w:type="pct"/>
                  <w:noWrap w:val="0"/>
                  <w:vAlign w:val="center"/>
                </w:tcPr>
                <w:p>
                  <w:pPr>
                    <w:pStyle w:val="30"/>
                    <w:bidi w:val="0"/>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产品</w:t>
                  </w:r>
                </w:p>
                <w:p>
                  <w:pPr>
                    <w:pStyle w:val="30"/>
                    <w:bidi w:val="0"/>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名称</w:t>
                  </w:r>
                </w:p>
              </w:tc>
              <w:tc>
                <w:tcPr>
                  <w:tcW w:w="466" w:type="pct"/>
                  <w:noWrap w:val="0"/>
                  <w:vAlign w:val="center"/>
                </w:tcPr>
                <w:p>
                  <w:pPr>
                    <w:pStyle w:val="30"/>
                    <w:bidi w:val="0"/>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原料名称</w:t>
                  </w:r>
                </w:p>
              </w:tc>
              <w:tc>
                <w:tcPr>
                  <w:tcW w:w="428" w:type="pct"/>
                  <w:noWrap w:val="0"/>
                  <w:vAlign w:val="center"/>
                </w:tcPr>
                <w:p>
                  <w:pPr>
                    <w:pStyle w:val="30"/>
                    <w:bidi w:val="0"/>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工艺</w:t>
                  </w:r>
                </w:p>
                <w:p>
                  <w:pPr>
                    <w:pStyle w:val="30"/>
                    <w:bidi w:val="0"/>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名称</w:t>
                  </w:r>
                </w:p>
              </w:tc>
              <w:tc>
                <w:tcPr>
                  <w:tcW w:w="294" w:type="pct"/>
                  <w:noWrap w:val="0"/>
                  <w:vAlign w:val="center"/>
                </w:tcPr>
                <w:p>
                  <w:pPr>
                    <w:pStyle w:val="30"/>
                    <w:bidi w:val="0"/>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规模</w:t>
                  </w:r>
                </w:p>
                <w:p>
                  <w:pPr>
                    <w:pStyle w:val="30"/>
                    <w:bidi w:val="0"/>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等级</w:t>
                  </w:r>
                </w:p>
              </w:tc>
              <w:tc>
                <w:tcPr>
                  <w:tcW w:w="714" w:type="pct"/>
                  <w:noWrap w:val="0"/>
                  <w:vAlign w:val="center"/>
                </w:tcPr>
                <w:p>
                  <w:pPr>
                    <w:pStyle w:val="30"/>
                    <w:bidi w:val="0"/>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污染物指标</w:t>
                  </w:r>
                </w:p>
              </w:tc>
              <w:tc>
                <w:tcPr>
                  <w:tcW w:w="818" w:type="pct"/>
                  <w:noWrap w:val="0"/>
                  <w:vAlign w:val="center"/>
                </w:tcPr>
                <w:p>
                  <w:pPr>
                    <w:pStyle w:val="30"/>
                    <w:bidi w:val="0"/>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单位</w:t>
                  </w:r>
                </w:p>
              </w:tc>
              <w:tc>
                <w:tcPr>
                  <w:tcW w:w="652" w:type="pct"/>
                  <w:noWrap w:val="0"/>
                  <w:vAlign w:val="center"/>
                </w:tcPr>
                <w:p>
                  <w:pPr>
                    <w:pStyle w:val="30"/>
                    <w:bidi w:val="0"/>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产污</w:t>
                  </w:r>
                </w:p>
                <w:p>
                  <w:pPr>
                    <w:pStyle w:val="30"/>
                    <w:bidi w:val="0"/>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系数</w:t>
                  </w:r>
                </w:p>
              </w:tc>
              <w:tc>
                <w:tcPr>
                  <w:tcW w:w="644" w:type="pct"/>
                  <w:noWrap w:val="0"/>
                  <w:vAlign w:val="center"/>
                </w:tcPr>
                <w:p>
                  <w:pPr>
                    <w:pStyle w:val="30"/>
                    <w:bidi w:val="0"/>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末端治理</w:t>
                  </w:r>
                </w:p>
                <w:p>
                  <w:pPr>
                    <w:pStyle w:val="30"/>
                    <w:bidi w:val="0"/>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技术</w:t>
                  </w:r>
                </w:p>
              </w:tc>
              <w:tc>
                <w:tcPr>
                  <w:tcW w:w="659" w:type="pct"/>
                  <w:noWrap w:val="0"/>
                  <w:vAlign w:val="center"/>
                </w:tcPr>
                <w:p>
                  <w:pPr>
                    <w:pStyle w:val="30"/>
                    <w:bidi w:val="0"/>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末端治理</w:t>
                  </w:r>
                </w:p>
                <w:p>
                  <w:pPr>
                    <w:pStyle w:val="30"/>
                    <w:bidi w:val="0"/>
                    <w:rPr>
                      <w:rFonts w:hint="default" w:ascii="Times New Roman" w:hAnsi="Times New Roman" w:cs="Times New Roman"/>
                      <w:b/>
                      <w:bCs w:val="0"/>
                      <w:lang w:val="en-US" w:eastAsia="zh-CN"/>
                    </w:rPr>
                  </w:pPr>
                  <w:r>
                    <w:rPr>
                      <w:rFonts w:hint="default" w:ascii="Times New Roman" w:hAnsi="Times New Roman" w:cs="Times New Roman"/>
                      <w:b/>
                      <w:bCs w:val="0"/>
                      <w:lang w:val="en-US" w:eastAsia="zh-CN"/>
                    </w:rPr>
                    <w:t>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322" w:type="pct"/>
                  <w:vMerge w:val="restart"/>
                  <w:tcBorders>
                    <w:tl2br w:val="nil"/>
                    <w:tr2bl w:val="nil"/>
                  </w:tcBorders>
                  <w:noWrap w:val="0"/>
                  <w:vAlign w:val="center"/>
                </w:tcPr>
                <w:p>
                  <w:pPr>
                    <w:pStyle w:val="30"/>
                    <w:bidi w:val="0"/>
                    <w:ind w:left="0" w:leftChars="0" w:firstLine="0" w:firstLineChars="0"/>
                    <w:jc w:val="center"/>
                    <w:rPr>
                      <w:rFonts w:hint="default" w:ascii="Times New Roman" w:hAnsi="Times New Roman" w:cs="Times New Roman"/>
                    </w:rPr>
                  </w:pPr>
                  <w:r>
                    <w:rPr>
                      <w:rFonts w:hint="default" w:ascii="Times New Roman" w:hAnsi="Times New Roman" w:cs="Times New Roman"/>
                      <w:lang w:val="en-US" w:eastAsia="zh-CN"/>
                    </w:rPr>
                    <w:t>混凝土制品</w:t>
                  </w:r>
                </w:p>
              </w:tc>
              <w:tc>
                <w:tcPr>
                  <w:tcW w:w="466" w:type="pct"/>
                  <w:vMerge w:val="restart"/>
                  <w:tcBorders>
                    <w:tl2br w:val="nil"/>
                    <w:tr2bl w:val="nil"/>
                  </w:tcBorders>
                  <w:noWrap w:val="0"/>
                  <w:vAlign w:val="center"/>
                </w:tcPr>
                <w:p>
                  <w:pPr>
                    <w:pStyle w:val="30"/>
                    <w:bidi w:val="0"/>
                    <w:jc w:val="center"/>
                    <w:rPr>
                      <w:rFonts w:hint="default" w:ascii="Times New Roman" w:hAnsi="Times New Roman" w:cs="Times New Roman"/>
                    </w:rPr>
                  </w:pPr>
                </w:p>
                <w:p>
                  <w:pPr>
                    <w:pStyle w:val="30"/>
                    <w:bidi w:val="0"/>
                    <w:ind w:left="0" w:leftChars="0" w:firstLine="0" w:firstLineChars="0"/>
                    <w:jc w:val="center"/>
                    <w:rPr>
                      <w:rFonts w:hint="default" w:ascii="Times New Roman" w:hAnsi="Times New Roman" w:cs="Times New Roman"/>
                    </w:rPr>
                  </w:pPr>
                  <w:r>
                    <w:rPr>
                      <w:rFonts w:hint="default" w:ascii="Times New Roman" w:hAnsi="Times New Roman" w:cs="Times New Roman"/>
                    </w:rPr>
                    <w:t>水泥、</w:t>
                  </w:r>
                  <w:r>
                    <w:rPr>
                      <w:rFonts w:hint="default" w:ascii="Times New Roman" w:hAnsi="Times New Roman" w:cs="Times New Roman"/>
                      <w:lang w:val="en-US" w:eastAsia="zh-CN"/>
                    </w:rPr>
                    <w:t>砂子、石子等</w:t>
                  </w:r>
                </w:p>
              </w:tc>
              <w:tc>
                <w:tcPr>
                  <w:tcW w:w="428" w:type="pct"/>
                  <w:vMerge w:val="restart"/>
                  <w:tcBorders>
                    <w:tl2br w:val="nil"/>
                    <w:tr2bl w:val="nil"/>
                  </w:tcBorders>
                  <w:noWrap w:val="0"/>
                  <w:vAlign w:val="center"/>
                </w:tcPr>
                <w:p>
                  <w:pPr>
                    <w:pStyle w:val="30"/>
                    <w:bidi w:val="0"/>
                    <w:jc w:val="center"/>
                    <w:rPr>
                      <w:rFonts w:hint="default" w:ascii="Times New Roman" w:hAnsi="Times New Roman" w:cs="Times New Roman"/>
                    </w:rPr>
                  </w:pPr>
                  <w:r>
                    <w:rPr>
                      <w:rFonts w:hint="default" w:ascii="Times New Roman" w:hAnsi="Times New Roman" w:cs="Times New Roman"/>
                    </w:rPr>
                    <w:t>物料</w:t>
                  </w:r>
                </w:p>
                <w:p>
                  <w:pPr>
                    <w:pStyle w:val="30"/>
                    <w:bidi w:val="0"/>
                    <w:jc w:val="center"/>
                    <w:rPr>
                      <w:rFonts w:hint="default" w:ascii="Times New Roman" w:hAnsi="Times New Roman" w:cs="Times New Roman"/>
                    </w:rPr>
                  </w:pPr>
                  <w:r>
                    <w:rPr>
                      <w:rFonts w:hint="default" w:ascii="Times New Roman" w:hAnsi="Times New Roman" w:cs="Times New Roman"/>
                    </w:rPr>
                    <w:t>搅拌</w:t>
                  </w:r>
                </w:p>
              </w:tc>
              <w:tc>
                <w:tcPr>
                  <w:tcW w:w="294" w:type="pct"/>
                  <w:vMerge w:val="restart"/>
                  <w:tcBorders>
                    <w:tl2br w:val="nil"/>
                    <w:tr2bl w:val="nil"/>
                  </w:tcBorders>
                  <w:noWrap w:val="0"/>
                  <w:vAlign w:val="center"/>
                </w:tcPr>
                <w:p>
                  <w:pPr>
                    <w:pStyle w:val="30"/>
                    <w:bidi w:val="0"/>
                    <w:jc w:val="center"/>
                    <w:rPr>
                      <w:rFonts w:hint="default" w:ascii="Times New Roman" w:hAnsi="Times New Roman" w:eastAsia="宋体" w:cs="Times New Roman"/>
                      <w:lang w:eastAsia="zh-CN"/>
                    </w:rPr>
                  </w:pPr>
                  <w:r>
                    <w:rPr>
                      <w:rFonts w:hint="default" w:ascii="Times New Roman" w:hAnsi="Times New Roman" w:cs="Times New Roman"/>
                      <w:lang w:eastAsia="zh-CN"/>
                    </w:rPr>
                    <w:t>所有规模</w:t>
                  </w:r>
                </w:p>
              </w:tc>
              <w:tc>
                <w:tcPr>
                  <w:tcW w:w="714" w:type="pct"/>
                  <w:tcBorders>
                    <w:tl2br w:val="nil"/>
                    <w:tr2bl w:val="nil"/>
                  </w:tcBorders>
                  <w:noWrap w:val="0"/>
                  <w:vAlign w:val="center"/>
                </w:tcPr>
                <w:p>
                  <w:pPr>
                    <w:pStyle w:val="30"/>
                    <w:bidi w:val="0"/>
                    <w:jc w:val="center"/>
                    <w:rPr>
                      <w:rFonts w:hint="default" w:ascii="Times New Roman" w:hAnsi="Times New Roman" w:cs="Times New Roman"/>
                    </w:rPr>
                  </w:pPr>
                  <w:r>
                    <w:rPr>
                      <w:rFonts w:hint="default" w:ascii="Times New Roman" w:hAnsi="Times New Roman" w:cs="Times New Roman"/>
                    </w:rPr>
                    <w:t>工业废气量</w:t>
                  </w:r>
                </w:p>
              </w:tc>
              <w:tc>
                <w:tcPr>
                  <w:tcW w:w="818" w:type="pct"/>
                  <w:tcBorders>
                    <w:tl2br w:val="nil"/>
                    <w:tr2bl w:val="nil"/>
                  </w:tcBorders>
                  <w:noWrap w:val="0"/>
                  <w:vAlign w:val="center"/>
                </w:tcPr>
                <w:p>
                  <w:pPr>
                    <w:pStyle w:val="30"/>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Nm³</w:t>
                  </w:r>
                  <w:r>
                    <w:rPr>
                      <w:rFonts w:hint="default" w:ascii="Times New Roman" w:hAnsi="Times New Roman" w:cs="Times New Roman"/>
                    </w:rPr>
                    <w:t>/吨</w:t>
                  </w:r>
                  <w:r>
                    <w:rPr>
                      <w:rFonts w:hint="eastAsia" w:cs="Times New Roman"/>
                      <w:lang w:eastAsia="zh-CN"/>
                    </w:rPr>
                    <w:t>－</w:t>
                  </w:r>
                  <w:r>
                    <w:rPr>
                      <w:rFonts w:hint="default" w:ascii="Times New Roman" w:hAnsi="Times New Roman" w:cs="Times New Roman"/>
                      <w:lang w:val="en-US" w:eastAsia="zh-CN"/>
                    </w:rPr>
                    <w:t>产品</w:t>
                  </w:r>
                </w:p>
              </w:tc>
              <w:tc>
                <w:tcPr>
                  <w:tcW w:w="652" w:type="pct"/>
                  <w:tcBorders>
                    <w:tl2br w:val="nil"/>
                    <w:tr2bl w:val="nil"/>
                  </w:tcBorders>
                  <w:noWrap w:val="0"/>
                  <w:vAlign w:val="center"/>
                </w:tcPr>
                <w:p>
                  <w:pPr>
                    <w:pStyle w:val="30"/>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25</w:t>
                  </w:r>
                </w:p>
              </w:tc>
              <w:tc>
                <w:tcPr>
                  <w:tcW w:w="644" w:type="pct"/>
                  <w:vMerge w:val="restart"/>
                  <w:tcBorders>
                    <w:tl2br w:val="nil"/>
                    <w:tr2bl w:val="nil"/>
                  </w:tcBorders>
                  <w:noWrap w:val="0"/>
                  <w:vAlign w:val="center"/>
                </w:tcPr>
                <w:p>
                  <w:pPr>
                    <w:pStyle w:val="30"/>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袋式除尘</w:t>
                  </w:r>
                </w:p>
              </w:tc>
              <w:tc>
                <w:tcPr>
                  <w:tcW w:w="659" w:type="pct"/>
                  <w:tcBorders>
                    <w:tl2br w:val="nil"/>
                    <w:tr2bl w:val="nil"/>
                  </w:tcBorders>
                  <w:noWrap w:val="0"/>
                  <w:vAlign w:val="center"/>
                </w:tcPr>
                <w:p>
                  <w:pPr>
                    <w:pStyle w:val="30"/>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322" w:type="pct"/>
                  <w:vMerge w:val="continue"/>
                  <w:tcBorders>
                    <w:tl2br w:val="nil"/>
                    <w:tr2bl w:val="nil"/>
                  </w:tcBorders>
                  <w:noWrap w:val="0"/>
                  <w:vAlign w:val="center"/>
                </w:tcPr>
                <w:p>
                  <w:pPr>
                    <w:pStyle w:val="30"/>
                    <w:bidi w:val="0"/>
                    <w:jc w:val="center"/>
                    <w:rPr>
                      <w:rFonts w:hint="default" w:ascii="Times New Roman" w:hAnsi="Times New Roman" w:cs="Times New Roman"/>
                    </w:rPr>
                  </w:pPr>
                </w:p>
              </w:tc>
              <w:tc>
                <w:tcPr>
                  <w:tcW w:w="466" w:type="pct"/>
                  <w:vMerge w:val="continue"/>
                  <w:tcBorders>
                    <w:tl2br w:val="nil"/>
                    <w:tr2bl w:val="nil"/>
                  </w:tcBorders>
                  <w:noWrap w:val="0"/>
                  <w:vAlign w:val="center"/>
                </w:tcPr>
                <w:p>
                  <w:pPr>
                    <w:pStyle w:val="30"/>
                    <w:bidi w:val="0"/>
                    <w:jc w:val="center"/>
                    <w:rPr>
                      <w:rFonts w:hint="default" w:ascii="Times New Roman" w:hAnsi="Times New Roman" w:cs="Times New Roman"/>
                    </w:rPr>
                  </w:pPr>
                </w:p>
              </w:tc>
              <w:tc>
                <w:tcPr>
                  <w:tcW w:w="428" w:type="pct"/>
                  <w:vMerge w:val="continue"/>
                  <w:tcBorders>
                    <w:tl2br w:val="nil"/>
                    <w:tr2bl w:val="nil"/>
                  </w:tcBorders>
                  <w:noWrap w:val="0"/>
                  <w:vAlign w:val="center"/>
                </w:tcPr>
                <w:p>
                  <w:pPr>
                    <w:pStyle w:val="30"/>
                    <w:bidi w:val="0"/>
                    <w:jc w:val="center"/>
                    <w:rPr>
                      <w:rFonts w:hint="default" w:ascii="Times New Roman" w:hAnsi="Times New Roman" w:cs="Times New Roman"/>
                    </w:rPr>
                  </w:pPr>
                </w:p>
              </w:tc>
              <w:tc>
                <w:tcPr>
                  <w:tcW w:w="294" w:type="pct"/>
                  <w:vMerge w:val="continue"/>
                  <w:tcBorders>
                    <w:tl2br w:val="nil"/>
                    <w:tr2bl w:val="nil"/>
                  </w:tcBorders>
                  <w:noWrap w:val="0"/>
                  <w:vAlign w:val="center"/>
                </w:tcPr>
                <w:p>
                  <w:pPr>
                    <w:pStyle w:val="30"/>
                    <w:bidi w:val="0"/>
                    <w:jc w:val="center"/>
                    <w:rPr>
                      <w:rFonts w:hint="default" w:ascii="Times New Roman" w:hAnsi="Times New Roman" w:cs="Times New Roman"/>
                    </w:rPr>
                  </w:pPr>
                </w:p>
              </w:tc>
              <w:tc>
                <w:tcPr>
                  <w:tcW w:w="714" w:type="pct"/>
                  <w:tcBorders>
                    <w:tl2br w:val="nil"/>
                    <w:tr2bl w:val="nil"/>
                  </w:tcBorders>
                  <w:noWrap w:val="0"/>
                  <w:vAlign w:val="center"/>
                </w:tcPr>
                <w:p>
                  <w:pPr>
                    <w:pStyle w:val="30"/>
                    <w:bidi w:val="0"/>
                    <w:jc w:val="center"/>
                    <w:rPr>
                      <w:rFonts w:hint="default" w:ascii="Times New Roman" w:hAnsi="Times New Roman" w:cs="Times New Roman"/>
                    </w:rPr>
                  </w:pPr>
                  <w:r>
                    <w:rPr>
                      <w:rFonts w:hint="default" w:ascii="Times New Roman" w:hAnsi="Times New Roman" w:cs="Times New Roman"/>
                    </w:rPr>
                    <w:t>工业粉尘</w:t>
                  </w:r>
                </w:p>
              </w:tc>
              <w:tc>
                <w:tcPr>
                  <w:tcW w:w="818" w:type="pct"/>
                  <w:tcBorders>
                    <w:tl2br w:val="nil"/>
                    <w:tr2bl w:val="nil"/>
                  </w:tcBorders>
                  <w:noWrap w:val="0"/>
                  <w:vAlign w:val="center"/>
                </w:tcPr>
                <w:p>
                  <w:pPr>
                    <w:pStyle w:val="30"/>
                    <w:bidi w:val="0"/>
                    <w:jc w:val="center"/>
                    <w:rPr>
                      <w:rFonts w:hint="default" w:ascii="Times New Roman" w:hAnsi="Times New Roman" w:cs="Times New Roman"/>
                      <w:lang w:val="en-US" w:eastAsia="zh-CN"/>
                    </w:rPr>
                  </w:pPr>
                  <w:r>
                    <w:rPr>
                      <w:rFonts w:hint="eastAsia" w:cs="Times New Roman"/>
                      <w:lang w:val="en-US" w:eastAsia="zh-CN"/>
                    </w:rPr>
                    <w:t>kg</w:t>
                  </w:r>
                  <w:r>
                    <w:rPr>
                      <w:rFonts w:hint="default" w:ascii="Times New Roman" w:hAnsi="Times New Roman" w:cs="Times New Roman"/>
                    </w:rPr>
                    <w:t>/吨</w:t>
                  </w:r>
                  <w:r>
                    <w:rPr>
                      <w:rFonts w:hint="eastAsia" w:cs="Times New Roman"/>
                      <w:lang w:eastAsia="zh-CN"/>
                    </w:rPr>
                    <w:t>－</w:t>
                  </w:r>
                  <w:r>
                    <w:rPr>
                      <w:rFonts w:hint="default" w:ascii="Times New Roman" w:hAnsi="Times New Roman" w:cs="Times New Roman"/>
                      <w:lang w:val="en-US" w:eastAsia="zh-CN"/>
                    </w:rPr>
                    <w:t>产品</w:t>
                  </w:r>
                </w:p>
              </w:tc>
              <w:tc>
                <w:tcPr>
                  <w:tcW w:w="652" w:type="pct"/>
                  <w:tcBorders>
                    <w:tl2br w:val="nil"/>
                    <w:tr2bl w:val="nil"/>
                  </w:tcBorders>
                  <w:noWrap w:val="0"/>
                  <w:vAlign w:val="center"/>
                </w:tcPr>
                <w:p>
                  <w:pPr>
                    <w:pStyle w:val="30"/>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0.13</w:t>
                  </w:r>
                </w:p>
              </w:tc>
              <w:tc>
                <w:tcPr>
                  <w:tcW w:w="644" w:type="pct"/>
                  <w:vMerge w:val="continue"/>
                  <w:tcBorders>
                    <w:tl2br w:val="nil"/>
                    <w:tr2bl w:val="nil"/>
                  </w:tcBorders>
                  <w:noWrap w:val="0"/>
                  <w:vAlign w:val="center"/>
                </w:tcPr>
                <w:p>
                  <w:pPr>
                    <w:pStyle w:val="30"/>
                    <w:bidi w:val="0"/>
                    <w:jc w:val="center"/>
                    <w:rPr>
                      <w:rFonts w:hint="default" w:ascii="Times New Roman" w:hAnsi="Times New Roman" w:cs="Times New Roman"/>
                      <w:lang w:val="en-US" w:eastAsia="zh-CN"/>
                    </w:rPr>
                  </w:pPr>
                </w:p>
              </w:tc>
              <w:tc>
                <w:tcPr>
                  <w:tcW w:w="659" w:type="pct"/>
                  <w:tcBorders>
                    <w:tl2br w:val="nil"/>
                    <w:tr2bl w:val="nil"/>
                  </w:tcBorders>
                  <w:noWrap w:val="0"/>
                  <w:vAlign w:val="center"/>
                </w:tcPr>
                <w:p>
                  <w:pPr>
                    <w:pStyle w:val="30"/>
                    <w:bidi w:val="0"/>
                    <w:jc w:val="center"/>
                    <w:rPr>
                      <w:rFonts w:hint="default" w:ascii="Times New Roman" w:hAnsi="Times New Roman" w:cs="Times New Roman"/>
                      <w:lang w:val="en-US" w:eastAsia="zh-CN"/>
                    </w:rPr>
                  </w:pPr>
                  <w:r>
                    <w:rPr>
                      <w:rFonts w:hint="default" w:ascii="Times New Roman" w:hAnsi="Times New Roman" w:cs="Times New Roman"/>
                      <w:lang w:val="en-US" w:eastAsia="zh-CN"/>
                    </w:rPr>
                    <w:t>99.7%</w:t>
                  </w:r>
                </w:p>
              </w:tc>
            </w:tr>
          </w:tbl>
          <w:p>
            <w:pPr>
              <w:keepNext w:val="0"/>
              <w:keepLines w:val="0"/>
              <w:widowControl/>
              <w:suppressLineNumbers w:val="0"/>
              <w:spacing w:line="360" w:lineRule="auto"/>
              <w:jc w:val="left"/>
              <w:rPr>
                <w:rFonts w:hint="default" w:ascii="Times New Roman" w:hAnsi="Times New Roman" w:cs="Times New Roman"/>
                <w:lang w:val="en-US"/>
              </w:rPr>
            </w:pPr>
            <w:r>
              <w:rPr>
                <w:rFonts w:hint="eastAsia" w:ascii="Times New Roman" w:hAnsi="Times New Roman" w:eastAsia="宋体" w:cs="Times New Roman"/>
                <w:color w:val="auto"/>
                <w:kern w:val="0"/>
                <w:sz w:val="24"/>
                <w:lang w:val="en-US" w:eastAsia="zh-CN"/>
              </w:rPr>
              <w:t>根据上表得出</w:t>
            </w:r>
            <w:r>
              <w:rPr>
                <w:rFonts w:hint="eastAsia" w:ascii="Times New Roman" w:hAnsi="Times New Roman" w:eastAsia="宋体" w:cs="Times New Roman"/>
                <w:color w:val="auto"/>
                <w:kern w:val="0"/>
                <w:sz w:val="24"/>
              </w:rPr>
              <w:t>本项目</w:t>
            </w:r>
            <w:r>
              <w:rPr>
                <w:rFonts w:hint="eastAsia" w:cs="Times New Roman"/>
                <w:color w:val="auto"/>
                <w:kern w:val="0"/>
                <w:sz w:val="24"/>
                <w:lang w:val="en-US" w:eastAsia="zh-CN"/>
              </w:rPr>
              <w:t>搅拌工序</w:t>
            </w:r>
            <w:r>
              <w:rPr>
                <w:rFonts w:hint="eastAsia" w:ascii="Times New Roman" w:hAnsi="Times New Roman" w:eastAsia="宋体" w:cs="Times New Roman"/>
                <w:color w:val="auto"/>
                <w:kern w:val="0"/>
                <w:sz w:val="24"/>
              </w:rPr>
              <w:t>产生的颗粒物</w:t>
            </w:r>
            <w:r>
              <w:rPr>
                <w:rFonts w:hint="eastAsia" w:cs="Times New Roman"/>
                <w:color w:val="auto"/>
                <w:kern w:val="0"/>
                <w:sz w:val="24"/>
                <w:lang w:val="en-US" w:eastAsia="zh-CN"/>
              </w:rPr>
              <w:t>量</w:t>
            </w:r>
            <w:r>
              <w:rPr>
                <w:rFonts w:hint="eastAsia" w:ascii="Times New Roman" w:hAnsi="Times New Roman" w:eastAsia="宋体" w:cs="Times New Roman"/>
                <w:color w:val="auto"/>
                <w:kern w:val="0"/>
                <w:sz w:val="24"/>
              </w:rPr>
              <w:t>为62.4t/a</w:t>
            </w:r>
            <w:r>
              <w:rPr>
                <w:rFonts w:hint="eastAsia" w:cs="Times New Roman"/>
                <w:color w:val="auto"/>
                <w:kern w:val="0"/>
                <w:sz w:val="24"/>
                <w:lang w:eastAsia="zh-CN"/>
              </w:rPr>
              <w:t>，</w:t>
            </w:r>
            <w:r>
              <w:rPr>
                <w:rFonts w:hint="eastAsia" w:cs="Times New Roman"/>
                <w:color w:val="auto"/>
                <w:kern w:val="0"/>
                <w:sz w:val="24"/>
                <w:lang w:val="en-US" w:eastAsia="zh-CN"/>
              </w:rPr>
              <w:t>产生速率为28.36kg/h，搅拌楼、搅拌设备均为密闭设置，</w:t>
            </w:r>
            <w:r>
              <w:rPr>
                <w:rFonts w:hint="eastAsia" w:ascii="Times New Roman" w:hAnsi="Times New Roman" w:eastAsia="宋体" w:cs="Times New Roman"/>
                <w:color w:val="auto"/>
                <w:kern w:val="0"/>
                <w:sz w:val="24"/>
              </w:rPr>
              <w:t>颗粒物经集尘罩（收集效率</w:t>
            </w:r>
            <w:r>
              <w:rPr>
                <w:rFonts w:hint="eastAsia" w:cs="Times New Roman"/>
                <w:color w:val="auto"/>
                <w:kern w:val="0"/>
                <w:sz w:val="24"/>
                <w:lang w:val="en-US" w:eastAsia="zh-CN"/>
              </w:rPr>
              <w:t>90</w:t>
            </w:r>
            <w:r>
              <w:rPr>
                <w:rFonts w:hint="eastAsia" w:ascii="Times New Roman" w:hAnsi="Times New Roman" w:eastAsia="宋体" w:cs="Times New Roman"/>
                <w:color w:val="auto"/>
                <w:kern w:val="0"/>
                <w:sz w:val="24"/>
              </w:rPr>
              <w:t>%）收集后由脉冲布袋除尘器处理</w:t>
            </w:r>
            <w:r>
              <w:rPr>
                <w:rFonts w:hint="default" w:ascii="Times New Roman" w:hAnsi="Times New Roman" w:eastAsia="宋体" w:cs="Times New Roman"/>
                <w:color w:val="000000"/>
                <w:kern w:val="0"/>
                <w:sz w:val="24"/>
                <w:szCs w:val="24"/>
                <w:lang w:val="en-US" w:eastAsia="zh-CN" w:bidi="ar"/>
              </w:rPr>
              <w:t>。根据表4-</w:t>
            </w:r>
            <w:r>
              <w:rPr>
                <w:rFonts w:hint="eastAsia" w:ascii="Times New Roman" w:hAnsi="Times New Roman" w:eastAsia="宋体" w:cs="Times New Roman"/>
                <w:color w:val="000000"/>
                <w:kern w:val="0"/>
                <w:sz w:val="24"/>
                <w:szCs w:val="24"/>
                <w:lang w:val="en-US" w:eastAsia="zh-CN" w:bidi="ar"/>
              </w:rPr>
              <w:t>1</w:t>
            </w:r>
            <w:r>
              <w:rPr>
                <w:rFonts w:hint="default" w:ascii="Times New Roman" w:hAnsi="Times New Roman" w:eastAsia="宋体" w:cs="Times New Roman"/>
                <w:color w:val="000000"/>
                <w:kern w:val="0"/>
                <w:sz w:val="24"/>
                <w:szCs w:val="24"/>
                <w:lang w:val="en-US" w:eastAsia="zh-CN" w:bidi="ar"/>
              </w:rPr>
              <w:t>计算的本项目污染物产排情况如下4-</w:t>
            </w:r>
            <w:r>
              <w:rPr>
                <w:rFonts w:hint="eastAsia" w:ascii="Times New Roman" w:hAnsi="Times New Roman"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val="en-US" w:eastAsia="zh-CN" w:bidi="ar"/>
              </w:rPr>
              <w:t>。</w:t>
            </w:r>
          </w:p>
          <w:p>
            <w:pPr>
              <w:keepNext w:val="0"/>
              <w:keepLines w:val="0"/>
              <w:widowControl/>
              <w:suppressLineNumbers w:val="0"/>
              <w:spacing w:line="240" w:lineRule="auto"/>
              <w:ind w:left="0" w:leftChars="0" w:firstLine="0" w:firstLineChars="0"/>
              <w:jc w:val="center"/>
              <w:rPr>
                <w:rFonts w:hint="default" w:ascii="Times New Roman" w:hAnsi="Times New Roman" w:cs="Times New Roman"/>
                <w:sz w:val="21"/>
                <w:szCs w:val="21"/>
                <w:lang w:val="en-US" w:eastAsia="zh-CN"/>
              </w:rPr>
            </w:pPr>
            <w:r>
              <w:rPr>
                <w:rFonts w:hint="default" w:ascii="Times New Roman" w:hAnsi="Times New Roman" w:eastAsia="宋体" w:cs="Times New Roman"/>
                <w:b/>
                <w:bCs/>
                <w:color w:val="000000"/>
                <w:kern w:val="0"/>
                <w:sz w:val="21"/>
                <w:szCs w:val="21"/>
                <w:lang w:val="en-US" w:eastAsia="zh-CN" w:bidi="ar"/>
              </w:rPr>
              <w:t>表4</w:t>
            </w:r>
            <w:r>
              <w:rPr>
                <w:rFonts w:hint="default" w:ascii="Times New Roman" w:hAnsi="Times New Roman" w:cs="Times New Roman"/>
                <w:b/>
                <w:bCs/>
                <w:color w:val="000000"/>
                <w:kern w:val="0"/>
                <w:sz w:val="21"/>
                <w:szCs w:val="21"/>
                <w:lang w:val="en-US" w:eastAsia="zh-CN" w:bidi="ar"/>
              </w:rPr>
              <w:t>-</w:t>
            </w:r>
            <w:r>
              <w:rPr>
                <w:rFonts w:hint="eastAsia" w:ascii="Times New Roman" w:hAnsi="Times New Roman" w:cs="Times New Roman"/>
                <w:b/>
                <w:bCs/>
                <w:color w:val="000000"/>
                <w:kern w:val="0"/>
                <w:sz w:val="21"/>
                <w:szCs w:val="21"/>
                <w:lang w:val="en-US" w:eastAsia="zh-CN" w:bidi="ar"/>
              </w:rPr>
              <w:t>2</w:t>
            </w:r>
            <w:r>
              <w:rPr>
                <w:rFonts w:hint="default" w:ascii="Times New Roman" w:hAnsi="Times New Roman" w:cs="Times New Roman"/>
                <w:b/>
                <w:bCs/>
                <w:color w:val="000000"/>
                <w:kern w:val="0"/>
                <w:sz w:val="21"/>
                <w:szCs w:val="21"/>
                <w:lang w:val="en-US" w:eastAsia="zh-CN" w:bidi="ar"/>
              </w:rPr>
              <w:t>搅拌楼搅拌</w:t>
            </w:r>
            <w:r>
              <w:rPr>
                <w:rFonts w:hint="default" w:ascii="Times New Roman" w:hAnsi="Times New Roman" w:eastAsia="宋体" w:cs="Times New Roman"/>
                <w:b/>
                <w:bCs/>
                <w:color w:val="000000"/>
                <w:kern w:val="0"/>
                <w:sz w:val="21"/>
                <w:szCs w:val="21"/>
                <w:lang w:val="en-US" w:eastAsia="zh-CN" w:bidi="ar"/>
              </w:rPr>
              <w:t>粉尘产排情况表</w:t>
            </w:r>
          </w:p>
          <w:tbl>
            <w:tblPr>
              <w:tblStyle w:val="2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930"/>
              <w:gridCol w:w="877"/>
              <w:gridCol w:w="766"/>
              <w:gridCol w:w="1044"/>
              <w:gridCol w:w="682"/>
              <w:gridCol w:w="746"/>
              <w:gridCol w:w="700"/>
              <w:gridCol w:w="982"/>
              <w:gridCol w:w="881"/>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b/>
                      <w:bCs/>
                      <w:sz w:val="21"/>
                      <w:szCs w:val="21"/>
                      <w:vertAlign w:val="baseline"/>
                      <w:lang w:eastAsia="zh-CN"/>
                    </w:rPr>
                  </w:pPr>
                  <w:r>
                    <w:rPr>
                      <w:rFonts w:hint="default" w:ascii="Times New Roman" w:hAnsi="Times New Roman" w:cs="Times New Roman"/>
                      <w:b/>
                      <w:bCs/>
                      <w:sz w:val="21"/>
                      <w:szCs w:val="21"/>
                      <w:vertAlign w:val="baseline"/>
                      <w:lang w:eastAsia="zh-CN"/>
                    </w:rPr>
                    <w:t>产污环节</w:t>
                  </w:r>
                </w:p>
              </w:tc>
              <w:tc>
                <w:tcPr>
                  <w:tcW w:w="509" w:type="pct"/>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b/>
                      <w:bCs/>
                      <w:sz w:val="21"/>
                      <w:szCs w:val="21"/>
                      <w:vertAlign w:val="baseline"/>
                      <w:lang w:eastAsia="zh-CN"/>
                    </w:rPr>
                  </w:pPr>
                  <w:r>
                    <w:rPr>
                      <w:rFonts w:hint="default" w:ascii="Times New Roman" w:hAnsi="Times New Roman" w:cs="Times New Roman"/>
                      <w:b/>
                      <w:bCs/>
                      <w:sz w:val="21"/>
                      <w:szCs w:val="21"/>
                      <w:vertAlign w:val="baseline"/>
                      <w:lang w:eastAsia="zh-CN"/>
                    </w:rPr>
                    <w:t>产生浓度（</w:t>
                  </w:r>
                  <w:r>
                    <w:rPr>
                      <w:rFonts w:hint="default" w:ascii="Times New Roman" w:hAnsi="Times New Roman" w:cs="Times New Roman"/>
                      <w:b/>
                      <w:bCs/>
                      <w:sz w:val="21"/>
                      <w:szCs w:val="21"/>
                      <w:vertAlign w:val="baseline"/>
                      <w:lang w:val="en-US" w:eastAsia="zh-CN"/>
                    </w:rPr>
                    <w:t>mg/m</w:t>
                  </w:r>
                  <w:r>
                    <w:rPr>
                      <w:rFonts w:hint="default" w:ascii="Times New Roman" w:hAnsi="Times New Roman" w:cs="Times New Roman"/>
                      <w:b/>
                      <w:bCs/>
                      <w:sz w:val="21"/>
                      <w:szCs w:val="21"/>
                      <w:vertAlign w:val="superscript"/>
                      <w:lang w:val="en-US" w:eastAsia="zh-CN"/>
                    </w:rPr>
                    <w:t>3</w:t>
                  </w:r>
                  <w:r>
                    <w:rPr>
                      <w:rFonts w:hint="default" w:ascii="Times New Roman" w:hAnsi="Times New Roman" w:cs="Times New Roman"/>
                      <w:b/>
                      <w:bCs/>
                      <w:sz w:val="21"/>
                      <w:szCs w:val="21"/>
                      <w:vertAlign w:val="baseline"/>
                      <w:lang w:eastAsia="zh-CN"/>
                    </w:rPr>
                    <w:t>）</w:t>
                  </w:r>
                </w:p>
              </w:tc>
              <w:tc>
                <w:tcPr>
                  <w:tcW w:w="480" w:type="pct"/>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b/>
                      <w:bCs/>
                      <w:sz w:val="21"/>
                      <w:szCs w:val="21"/>
                      <w:vertAlign w:val="baseline"/>
                      <w:lang w:eastAsia="zh-CN"/>
                    </w:rPr>
                  </w:pPr>
                  <w:r>
                    <w:rPr>
                      <w:rFonts w:hint="default" w:ascii="Times New Roman" w:hAnsi="Times New Roman" w:cs="Times New Roman"/>
                      <w:b/>
                      <w:bCs/>
                      <w:sz w:val="21"/>
                      <w:szCs w:val="21"/>
                      <w:vertAlign w:val="baseline"/>
                      <w:lang w:eastAsia="zh-CN"/>
                    </w:rPr>
                    <w:t>产生速率（</w:t>
                  </w:r>
                  <w:r>
                    <w:rPr>
                      <w:rFonts w:hint="default" w:ascii="Times New Roman" w:hAnsi="Times New Roman" w:cs="Times New Roman"/>
                      <w:b/>
                      <w:bCs/>
                      <w:sz w:val="21"/>
                      <w:szCs w:val="21"/>
                      <w:vertAlign w:val="baseline"/>
                      <w:lang w:val="en-US" w:eastAsia="zh-CN"/>
                    </w:rPr>
                    <w:t>kg/h</w:t>
                  </w:r>
                  <w:r>
                    <w:rPr>
                      <w:rFonts w:hint="default" w:ascii="Times New Roman" w:hAnsi="Times New Roman" w:cs="Times New Roman"/>
                      <w:b/>
                      <w:bCs/>
                      <w:sz w:val="21"/>
                      <w:szCs w:val="21"/>
                      <w:vertAlign w:val="baseline"/>
                      <w:lang w:eastAsia="zh-CN"/>
                    </w:rPr>
                    <w:t>）</w:t>
                  </w:r>
                </w:p>
              </w:tc>
              <w:tc>
                <w:tcPr>
                  <w:tcW w:w="419" w:type="pct"/>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b/>
                      <w:bCs/>
                      <w:sz w:val="21"/>
                      <w:szCs w:val="21"/>
                      <w:vertAlign w:val="baseline"/>
                      <w:lang w:eastAsia="zh-CN"/>
                    </w:rPr>
                  </w:pPr>
                  <w:r>
                    <w:rPr>
                      <w:rFonts w:hint="default" w:ascii="Times New Roman" w:hAnsi="Times New Roman" w:cs="Times New Roman"/>
                      <w:b/>
                      <w:bCs/>
                      <w:sz w:val="21"/>
                      <w:szCs w:val="21"/>
                      <w:vertAlign w:val="baseline"/>
                      <w:lang w:eastAsia="zh-CN"/>
                    </w:rPr>
                    <w:t>产生量（</w:t>
                  </w:r>
                  <w:r>
                    <w:rPr>
                      <w:rFonts w:hint="default" w:ascii="Times New Roman" w:hAnsi="Times New Roman" w:cs="Times New Roman"/>
                      <w:b/>
                      <w:bCs/>
                      <w:sz w:val="21"/>
                      <w:szCs w:val="21"/>
                      <w:vertAlign w:val="baseline"/>
                      <w:lang w:val="en-US" w:eastAsia="zh-CN"/>
                    </w:rPr>
                    <w:t>t/a</w:t>
                  </w:r>
                  <w:r>
                    <w:rPr>
                      <w:rFonts w:hint="default" w:ascii="Times New Roman" w:hAnsi="Times New Roman" w:cs="Times New Roman"/>
                      <w:b/>
                      <w:bCs/>
                      <w:sz w:val="21"/>
                      <w:szCs w:val="21"/>
                      <w:vertAlign w:val="baseline"/>
                      <w:lang w:eastAsia="zh-CN"/>
                    </w:rPr>
                    <w:t>）</w:t>
                  </w:r>
                </w:p>
              </w:tc>
              <w:tc>
                <w:tcPr>
                  <w:tcW w:w="571" w:type="pct"/>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b/>
                      <w:bCs/>
                      <w:sz w:val="21"/>
                      <w:szCs w:val="21"/>
                      <w:vertAlign w:val="baseline"/>
                      <w:lang w:eastAsia="zh-CN"/>
                    </w:rPr>
                  </w:pPr>
                  <w:r>
                    <w:rPr>
                      <w:rFonts w:hint="default" w:ascii="Times New Roman" w:hAnsi="Times New Roman" w:cs="Times New Roman"/>
                      <w:b/>
                      <w:bCs/>
                      <w:sz w:val="21"/>
                      <w:szCs w:val="21"/>
                      <w:vertAlign w:val="baseline"/>
                      <w:lang w:eastAsia="zh-CN"/>
                    </w:rPr>
                    <w:t>废气量（</w:t>
                  </w:r>
                  <w:r>
                    <w:rPr>
                      <w:rFonts w:hint="default" w:ascii="Times New Roman" w:hAnsi="Times New Roman" w:cs="Times New Roman"/>
                      <w:b/>
                      <w:bCs/>
                      <w:sz w:val="21"/>
                      <w:szCs w:val="21"/>
                      <w:vertAlign w:val="baseline"/>
                      <w:lang w:val="en-US" w:eastAsia="zh-CN"/>
                    </w:rPr>
                    <w:t>m</w:t>
                  </w:r>
                  <w:r>
                    <w:rPr>
                      <w:rFonts w:hint="default" w:ascii="Times New Roman" w:hAnsi="Times New Roman" w:cs="Times New Roman"/>
                      <w:b/>
                      <w:bCs/>
                      <w:sz w:val="21"/>
                      <w:szCs w:val="21"/>
                      <w:vertAlign w:val="superscript"/>
                      <w:lang w:val="en-US" w:eastAsia="zh-CN"/>
                    </w:rPr>
                    <w:t>3</w:t>
                  </w:r>
                  <w:r>
                    <w:rPr>
                      <w:rFonts w:hint="default" w:ascii="Times New Roman" w:hAnsi="Times New Roman" w:cs="Times New Roman"/>
                      <w:b/>
                      <w:bCs/>
                      <w:sz w:val="21"/>
                      <w:szCs w:val="21"/>
                      <w:vertAlign w:val="baseline"/>
                      <w:lang w:val="en-US" w:eastAsia="zh-CN"/>
                    </w:rPr>
                    <w:t>/h</w:t>
                  </w:r>
                  <w:r>
                    <w:rPr>
                      <w:rFonts w:hint="default" w:ascii="Times New Roman" w:hAnsi="Times New Roman" w:cs="Times New Roman"/>
                      <w:b/>
                      <w:bCs/>
                      <w:sz w:val="21"/>
                      <w:szCs w:val="21"/>
                      <w:vertAlign w:val="baseline"/>
                      <w:lang w:eastAsia="zh-CN"/>
                    </w:rPr>
                    <w:t>）</w:t>
                  </w:r>
                </w:p>
              </w:tc>
              <w:tc>
                <w:tcPr>
                  <w:tcW w:w="373" w:type="pct"/>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b/>
                      <w:bCs/>
                      <w:sz w:val="21"/>
                      <w:szCs w:val="21"/>
                      <w:vertAlign w:val="baseline"/>
                      <w:lang w:eastAsia="zh-CN"/>
                    </w:rPr>
                  </w:pPr>
                  <w:r>
                    <w:rPr>
                      <w:rFonts w:hint="default" w:ascii="Times New Roman" w:hAnsi="Times New Roman" w:cs="Times New Roman"/>
                      <w:b/>
                      <w:bCs/>
                      <w:sz w:val="21"/>
                      <w:szCs w:val="21"/>
                      <w:vertAlign w:val="baseline"/>
                      <w:lang w:eastAsia="zh-CN"/>
                    </w:rPr>
                    <w:t>小时数</w:t>
                  </w:r>
                </w:p>
              </w:tc>
              <w:tc>
                <w:tcPr>
                  <w:tcW w:w="791" w:type="pct"/>
                  <w:gridSpan w:val="2"/>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b/>
                      <w:bCs/>
                      <w:sz w:val="21"/>
                      <w:szCs w:val="21"/>
                      <w:vertAlign w:val="baseline"/>
                      <w:lang w:eastAsia="zh-CN"/>
                    </w:rPr>
                  </w:pPr>
                  <w:r>
                    <w:rPr>
                      <w:rFonts w:hint="default" w:ascii="Times New Roman" w:hAnsi="Times New Roman" w:cs="Times New Roman"/>
                      <w:b/>
                      <w:bCs/>
                      <w:sz w:val="21"/>
                      <w:szCs w:val="21"/>
                      <w:vertAlign w:val="baseline"/>
                      <w:lang w:eastAsia="zh-CN"/>
                    </w:rPr>
                    <w:t>治理措施</w:t>
                  </w:r>
                </w:p>
              </w:tc>
              <w:tc>
                <w:tcPr>
                  <w:tcW w:w="537" w:type="pct"/>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b/>
                      <w:bCs/>
                      <w:sz w:val="21"/>
                      <w:szCs w:val="21"/>
                      <w:vertAlign w:val="baseline"/>
                      <w:lang w:eastAsia="zh-CN"/>
                    </w:rPr>
                  </w:pPr>
                  <w:r>
                    <w:rPr>
                      <w:rFonts w:hint="default" w:ascii="Times New Roman" w:hAnsi="Times New Roman" w:cs="Times New Roman"/>
                      <w:b/>
                      <w:bCs/>
                      <w:sz w:val="21"/>
                      <w:szCs w:val="21"/>
                      <w:vertAlign w:val="baseline"/>
                      <w:lang w:eastAsia="zh-CN"/>
                    </w:rPr>
                    <w:t>排放速率（</w:t>
                  </w:r>
                  <w:r>
                    <w:rPr>
                      <w:rFonts w:hint="default" w:ascii="Times New Roman" w:hAnsi="Times New Roman" w:cs="Times New Roman"/>
                      <w:b/>
                      <w:bCs/>
                      <w:sz w:val="21"/>
                      <w:szCs w:val="21"/>
                      <w:vertAlign w:val="baseline"/>
                      <w:lang w:val="en-US" w:eastAsia="zh-CN"/>
                    </w:rPr>
                    <w:t>kg/h</w:t>
                  </w:r>
                  <w:r>
                    <w:rPr>
                      <w:rFonts w:hint="default" w:ascii="Times New Roman" w:hAnsi="Times New Roman" w:cs="Times New Roman"/>
                      <w:b/>
                      <w:bCs/>
                      <w:sz w:val="21"/>
                      <w:szCs w:val="21"/>
                      <w:vertAlign w:val="baseline"/>
                      <w:lang w:eastAsia="zh-CN"/>
                    </w:rPr>
                    <w:t>）</w:t>
                  </w:r>
                </w:p>
              </w:tc>
              <w:tc>
                <w:tcPr>
                  <w:tcW w:w="482" w:type="pct"/>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b/>
                      <w:bCs/>
                      <w:sz w:val="21"/>
                      <w:szCs w:val="21"/>
                      <w:vertAlign w:val="baseline"/>
                      <w:lang w:eastAsia="zh-CN"/>
                    </w:rPr>
                  </w:pPr>
                  <w:r>
                    <w:rPr>
                      <w:rFonts w:hint="default" w:ascii="Times New Roman" w:hAnsi="Times New Roman" w:cs="Times New Roman"/>
                      <w:b/>
                      <w:bCs/>
                      <w:sz w:val="21"/>
                      <w:szCs w:val="21"/>
                      <w:vertAlign w:val="baseline"/>
                      <w:lang w:eastAsia="zh-CN"/>
                    </w:rPr>
                    <w:t>排放浓度（</w:t>
                  </w:r>
                  <w:r>
                    <w:rPr>
                      <w:rFonts w:hint="default" w:ascii="Times New Roman" w:hAnsi="Times New Roman" w:cs="Times New Roman"/>
                      <w:b/>
                      <w:bCs/>
                      <w:sz w:val="21"/>
                      <w:szCs w:val="21"/>
                      <w:vertAlign w:val="baseline"/>
                      <w:lang w:val="en-US" w:eastAsia="zh-CN"/>
                    </w:rPr>
                    <w:t>mg/m</w:t>
                  </w:r>
                  <w:r>
                    <w:rPr>
                      <w:rFonts w:hint="default" w:ascii="Times New Roman" w:hAnsi="Times New Roman" w:cs="Times New Roman"/>
                      <w:b/>
                      <w:bCs/>
                      <w:sz w:val="21"/>
                      <w:szCs w:val="21"/>
                      <w:vertAlign w:val="superscript"/>
                      <w:lang w:val="en-US" w:eastAsia="zh-CN"/>
                    </w:rPr>
                    <w:t>3</w:t>
                  </w:r>
                  <w:r>
                    <w:rPr>
                      <w:rFonts w:hint="default" w:ascii="Times New Roman" w:hAnsi="Times New Roman" w:cs="Times New Roman"/>
                      <w:b/>
                      <w:bCs/>
                      <w:sz w:val="21"/>
                      <w:szCs w:val="21"/>
                      <w:vertAlign w:val="baseline"/>
                      <w:lang w:eastAsia="zh-CN"/>
                    </w:rPr>
                    <w:t>）</w:t>
                  </w:r>
                </w:p>
              </w:tc>
              <w:tc>
                <w:tcPr>
                  <w:tcW w:w="427" w:type="pct"/>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b/>
                      <w:bCs/>
                      <w:sz w:val="21"/>
                      <w:szCs w:val="21"/>
                      <w:vertAlign w:val="baseline"/>
                      <w:lang w:eastAsia="zh-CN"/>
                    </w:rPr>
                  </w:pPr>
                  <w:r>
                    <w:rPr>
                      <w:rFonts w:hint="default" w:ascii="Times New Roman" w:hAnsi="Times New Roman" w:cs="Times New Roman"/>
                      <w:b/>
                      <w:bCs/>
                      <w:sz w:val="21"/>
                      <w:szCs w:val="21"/>
                      <w:vertAlign w:val="baseline"/>
                      <w:lang w:eastAsia="zh-CN"/>
                    </w:rPr>
                    <w:t>排放量（</w:t>
                  </w:r>
                  <w:r>
                    <w:rPr>
                      <w:rFonts w:hint="default" w:ascii="Times New Roman" w:hAnsi="Times New Roman" w:cs="Times New Roman"/>
                      <w:b/>
                      <w:bCs/>
                      <w:sz w:val="21"/>
                      <w:szCs w:val="21"/>
                      <w:vertAlign w:val="baseline"/>
                      <w:lang w:val="en-US" w:eastAsia="zh-CN"/>
                    </w:rPr>
                    <w:t>t/a</w:t>
                  </w:r>
                  <w:r>
                    <w:rPr>
                      <w:rFonts w:hint="default" w:ascii="Times New Roman" w:hAnsi="Times New Roman" w:cs="Times New Roman"/>
                      <w:b/>
                      <w:bCs/>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搅拌楼搅拌粉尘</w:t>
                  </w:r>
                </w:p>
              </w:tc>
              <w:tc>
                <w:tcPr>
                  <w:tcW w:w="509" w:type="pct"/>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5200</w:t>
                  </w:r>
                </w:p>
              </w:tc>
              <w:tc>
                <w:tcPr>
                  <w:tcW w:w="480" w:type="pct"/>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28.36</w:t>
                  </w:r>
                </w:p>
              </w:tc>
              <w:tc>
                <w:tcPr>
                  <w:tcW w:w="419" w:type="pct"/>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62.4</w:t>
                  </w:r>
                </w:p>
              </w:tc>
              <w:tc>
                <w:tcPr>
                  <w:tcW w:w="571" w:type="pct"/>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1.2*10</w:t>
                  </w:r>
                  <w:r>
                    <w:rPr>
                      <w:rFonts w:hint="default" w:ascii="Times New Roman" w:hAnsi="Times New Roman" w:cs="Times New Roman"/>
                      <w:color w:val="auto"/>
                      <w:sz w:val="21"/>
                      <w:szCs w:val="21"/>
                      <w:vertAlign w:val="superscript"/>
                      <w:lang w:val="en-US" w:eastAsia="zh-CN"/>
                    </w:rPr>
                    <w:t>7</w:t>
                  </w:r>
                </w:p>
              </w:tc>
              <w:tc>
                <w:tcPr>
                  <w:tcW w:w="373" w:type="pct"/>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2200</w:t>
                  </w:r>
                </w:p>
              </w:tc>
              <w:tc>
                <w:tcPr>
                  <w:tcW w:w="408" w:type="pct"/>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脉冲布袋除尘</w:t>
                  </w:r>
                </w:p>
              </w:tc>
              <w:tc>
                <w:tcPr>
                  <w:tcW w:w="383" w:type="pct"/>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99.7%</w:t>
                  </w:r>
                </w:p>
              </w:tc>
              <w:tc>
                <w:tcPr>
                  <w:tcW w:w="537" w:type="pct"/>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0.076</w:t>
                  </w:r>
                </w:p>
              </w:tc>
              <w:tc>
                <w:tcPr>
                  <w:tcW w:w="482" w:type="pct"/>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14</w:t>
                  </w:r>
                </w:p>
              </w:tc>
              <w:tc>
                <w:tcPr>
                  <w:tcW w:w="427" w:type="pct"/>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0.168</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根据上表可知，</w:t>
            </w:r>
            <w:r>
              <w:rPr>
                <w:rFonts w:hint="eastAsia" w:cs="Times New Roman"/>
                <w:color w:val="auto"/>
                <w:kern w:val="0"/>
                <w:sz w:val="24"/>
                <w:lang w:val="en-US" w:eastAsia="zh-CN"/>
              </w:rPr>
              <w:t>颗粒物的排放量为0.168t/a，</w:t>
            </w:r>
            <w:r>
              <w:rPr>
                <w:rFonts w:hint="eastAsia"/>
                <w:bCs/>
                <w:sz w:val="24"/>
                <w:szCs w:val="32"/>
              </w:rPr>
              <w:t>排放速率为</w:t>
            </w:r>
            <w:r>
              <w:rPr>
                <w:rFonts w:hint="eastAsia"/>
                <w:bCs/>
                <w:sz w:val="24"/>
                <w:szCs w:val="32"/>
                <w:lang w:val="en-US" w:eastAsia="zh-CN"/>
              </w:rPr>
              <w:t>0.076</w:t>
            </w:r>
            <w:r>
              <w:rPr>
                <w:rFonts w:hint="eastAsia"/>
                <w:bCs/>
                <w:sz w:val="24"/>
                <w:szCs w:val="32"/>
              </w:rPr>
              <w:t>kg</w:t>
            </w:r>
            <w:r>
              <w:rPr>
                <w:bCs/>
                <w:sz w:val="24"/>
                <w:szCs w:val="32"/>
              </w:rPr>
              <w:t>/h</w:t>
            </w:r>
            <w:r>
              <w:rPr>
                <w:rFonts w:hint="eastAsia"/>
                <w:bCs/>
                <w:sz w:val="24"/>
                <w:szCs w:val="32"/>
              </w:rPr>
              <w:t>，排放浓度为</w:t>
            </w:r>
            <w:r>
              <w:rPr>
                <w:rFonts w:hint="eastAsia"/>
                <w:bCs/>
                <w:sz w:val="24"/>
                <w:szCs w:val="32"/>
                <w:lang w:val="en-US" w:eastAsia="zh-CN"/>
              </w:rPr>
              <w:t>14</w:t>
            </w:r>
            <w:r>
              <w:rPr>
                <w:rFonts w:hint="eastAsia"/>
                <w:bCs/>
                <w:sz w:val="24"/>
                <w:szCs w:val="32"/>
              </w:rPr>
              <w:t>mg</w:t>
            </w:r>
            <w:r>
              <w:rPr>
                <w:bCs/>
                <w:sz w:val="24"/>
                <w:szCs w:val="32"/>
              </w:rPr>
              <w:t>/m</w:t>
            </w:r>
            <w:r>
              <w:rPr>
                <w:bCs/>
                <w:sz w:val="24"/>
                <w:szCs w:val="32"/>
                <w:vertAlign w:val="superscript"/>
              </w:rPr>
              <w:t>3</w:t>
            </w:r>
            <w:r>
              <w:rPr>
                <w:rFonts w:hint="eastAsia"/>
                <w:bCs/>
                <w:sz w:val="24"/>
                <w:szCs w:val="32"/>
                <w:lang w:eastAsia="zh-CN"/>
              </w:rPr>
              <w:t>，</w:t>
            </w:r>
            <w:r>
              <w:rPr>
                <w:rFonts w:hint="eastAsia" w:cs="Times New Roman"/>
                <w:sz w:val="24"/>
                <w:highlight w:val="none"/>
                <w:lang w:val="en-US" w:eastAsia="zh-CN"/>
              </w:rPr>
              <w:t>搅拌工序有</w:t>
            </w:r>
            <w:r>
              <w:rPr>
                <w:rFonts w:hint="default" w:ascii="Times New Roman" w:hAnsi="Times New Roman" w:cs="Times New Roman"/>
                <w:sz w:val="24"/>
                <w:highlight w:val="none"/>
                <w:lang w:val="en-US" w:eastAsia="zh-CN"/>
              </w:rPr>
              <w:t>组织颗粒物的排放浓度</w:t>
            </w:r>
            <w:r>
              <w:rPr>
                <w:rFonts w:hint="default" w:ascii="Times New Roman" w:hAnsi="Times New Roman" w:cs="Times New Roman"/>
                <w:sz w:val="24"/>
                <w:highlight w:val="none"/>
              </w:rPr>
              <w:t>满足</w:t>
            </w:r>
            <w:r>
              <w:rPr>
                <w:rFonts w:hint="eastAsia"/>
                <w:color w:val="auto"/>
                <w:sz w:val="24"/>
                <w:szCs w:val="24"/>
              </w:rPr>
              <w:t>《水泥工业大气污染物排放标准》（GB4915-2013）表</w:t>
            </w:r>
            <w:r>
              <w:rPr>
                <w:rFonts w:hint="eastAsia"/>
                <w:color w:val="auto"/>
                <w:sz w:val="24"/>
                <w:szCs w:val="24"/>
                <w:lang w:val="en-US" w:eastAsia="zh-CN"/>
              </w:rPr>
              <w:t>1</w:t>
            </w:r>
            <w:r>
              <w:rPr>
                <w:rFonts w:hint="eastAsia"/>
                <w:color w:val="auto"/>
                <w:sz w:val="24"/>
                <w:szCs w:val="24"/>
              </w:rPr>
              <w:t>大气污染物</w:t>
            </w:r>
            <w:r>
              <w:rPr>
                <w:rFonts w:hint="eastAsia"/>
                <w:color w:val="auto"/>
                <w:sz w:val="24"/>
                <w:szCs w:val="24"/>
                <w:lang w:val="en-US" w:eastAsia="zh-CN"/>
              </w:rPr>
              <w:t>浓度</w:t>
            </w:r>
            <w:r>
              <w:rPr>
                <w:rFonts w:hint="eastAsia"/>
                <w:color w:val="auto"/>
                <w:sz w:val="24"/>
                <w:szCs w:val="24"/>
              </w:rPr>
              <w:t>排放限值</w:t>
            </w:r>
            <w:r>
              <w:rPr>
                <w:rFonts w:hint="eastAsia"/>
                <w:color w:val="auto"/>
                <w:sz w:val="24"/>
                <w:szCs w:val="24"/>
                <w:lang w:val="en-US" w:eastAsia="zh-CN"/>
              </w:rPr>
              <w:t>20mg/m</w:t>
            </w:r>
            <w:r>
              <w:rPr>
                <w:rFonts w:hint="eastAsia"/>
                <w:color w:val="auto"/>
                <w:sz w:val="24"/>
                <w:szCs w:val="24"/>
                <w:vertAlign w:val="superscript"/>
                <w:lang w:val="en-US" w:eastAsia="zh-CN"/>
              </w:rPr>
              <w:t>3</w:t>
            </w:r>
            <w:r>
              <w:rPr>
                <w:rFonts w:hint="eastAsia"/>
                <w:color w:val="auto"/>
                <w:sz w:val="24"/>
                <w:szCs w:val="24"/>
                <w:lang w:val="en-US" w:eastAsia="zh-CN"/>
              </w:rPr>
              <w:t>要求</w:t>
            </w:r>
            <w:r>
              <w:rPr>
                <w:rFonts w:hint="eastAsia"/>
                <w:color w:val="auto"/>
                <w:sz w:val="24"/>
                <w:szCs w:val="24"/>
                <w:lang w:eastAsia="zh-CN"/>
              </w:rPr>
              <w:t>，</w:t>
            </w:r>
            <w:r>
              <w:rPr>
                <w:rFonts w:hint="eastAsia" w:cs="Times New Roman"/>
                <w:sz w:val="24"/>
                <w:lang w:val="en-US" w:eastAsia="zh-CN"/>
              </w:rPr>
              <w:t>对周围环境影响不大。颗粒物经集气罩收集后</w:t>
            </w:r>
            <w:r>
              <w:rPr>
                <w:rFonts w:hint="default" w:ascii="Times New Roman" w:hAnsi="Times New Roman" w:eastAsia="宋体" w:cs="Times New Roman"/>
                <w:color w:val="000000"/>
                <w:kern w:val="0"/>
                <w:sz w:val="24"/>
                <w:szCs w:val="24"/>
                <w:lang w:val="en-US" w:eastAsia="zh-CN" w:bidi="ar"/>
              </w:rPr>
              <w:t>10%的粉尘无组织逸散，无组织粉尘逸散量</w:t>
            </w:r>
            <w:r>
              <w:rPr>
                <w:rFonts w:hint="default" w:ascii="Times New Roman" w:hAnsi="Times New Roman" w:cs="Times New Roman"/>
                <w:color w:val="000000"/>
                <w:kern w:val="0"/>
                <w:sz w:val="24"/>
                <w:szCs w:val="24"/>
                <w:lang w:val="en-US" w:eastAsia="zh-CN" w:bidi="ar"/>
              </w:rPr>
              <w:t>6.24</w:t>
            </w:r>
            <w:r>
              <w:rPr>
                <w:rFonts w:hint="default" w:ascii="Times New Roman" w:hAnsi="Times New Roman" w:eastAsia="宋体" w:cs="Times New Roman"/>
                <w:color w:val="000000"/>
                <w:kern w:val="0"/>
                <w:sz w:val="24"/>
                <w:szCs w:val="24"/>
                <w:lang w:val="en-US" w:eastAsia="zh-CN" w:bidi="ar"/>
              </w:rPr>
              <w:t>t/a</w:t>
            </w:r>
            <w:r>
              <w:rPr>
                <w:rFonts w:hint="default" w:ascii="Times New Roman" w:hAnsi="Times New Roman"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全封闭操作间降尘按照80%计，无组织粉尘逸散量为</w:t>
            </w:r>
            <w:r>
              <w:rPr>
                <w:rFonts w:hint="default" w:ascii="Times New Roman" w:hAnsi="Times New Roman" w:cs="Times New Roman"/>
                <w:color w:val="000000"/>
                <w:kern w:val="0"/>
                <w:sz w:val="24"/>
                <w:szCs w:val="24"/>
                <w:lang w:val="en-US" w:eastAsia="zh-CN" w:bidi="ar"/>
              </w:rPr>
              <w:t>1.2</w:t>
            </w:r>
            <w:r>
              <w:rPr>
                <w:rFonts w:hint="eastAsia" w:ascii="Times New Roman" w:hAnsi="Times New Roman" w:cs="Times New Roman"/>
                <w:color w:val="000000"/>
                <w:kern w:val="0"/>
                <w:sz w:val="24"/>
                <w:szCs w:val="24"/>
                <w:lang w:val="en-US" w:eastAsia="zh-CN" w:bidi="ar"/>
              </w:rPr>
              <w:t>5</w:t>
            </w:r>
            <w:r>
              <w:rPr>
                <w:rFonts w:hint="default" w:ascii="Times New Roman" w:hAnsi="Times New Roman" w:eastAsia="宋体" w:cs="Times New Roman"/>
                <w:color w:val="000000"/>
                <w:kern w:val="0"/>
                <w:sz w:val="24"/>
                <w:szCs w:val="24"/>
                <w:lang w:val="en-US" w:eastAsia="zh-CN" w:bidi="ar"/>
              </w:rPr>
              <w:t>t/a</w:t>
            </w:r>
            <w:r>
              <w:rPr>
                <w:rFonts w:hint="eastAsia" w:ascii="Times New Roman" w:hAnsi="Times New Roman" w:eastAsia="宋体" w:cs="Times New Roman"/>
                <w:color w:val="000000"/>
                <w:kern w:val="0"/>
                <w:sz w:val="24"/>
                <w:szCs w:val="24"/>
                <w:lang w:val="en-US" w:eastAsia="zh-CN" w:bidi="ar"/>
              </w:rPr>
              <w:t>，</w:t>
            </w:r>
            <w:r>
              <w:rPr>
                <w:rFonts w:hint="eastAsia" w:cs="Times New Roman"/>
                <w:color w:val="000000"/>
                <w:kern w:val="0"/>
                <w:sz w:val="24"/>
                <w:szCs w:val="24"/>
                <w:lang w:val="en-US" w:eastAsia="zh-CN" w:bidi="ar"/>
              </w:rPr>
              <w:t>速率为</w:t>
            </w:r>
            <w:r>
              <w:rPr>
                <w:rFonts w:hint="eastAsia" w:ascii="Times New Roman" w:hAnsi="Times New Roman" w:eastAsia="宋体" w:cs="Times New Roman"/>
                <w:color w:val="000000"/>
                <w:kern w:val="0"/>
                <w:sz w:val="24"/>
                <w:szCs w:val="24"/>
                <w:lang w:val="en-US" w:eastAsia="zh-CN" w:bidi="ar"/>
              </w:rPr>
              <w:t>0</w:t>
            </w:r>
            <w:r>
              <w:rPr>
                <w:rFonts w:hint="eastAsia"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57kg/h</w:t>
            </w: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cs="Times New Roman"/>
                <w:sz w:val="24"/>
                <w:highlight w:val="none"/>
                <w:lang w:val="en-US" w:eastAsia="zh-CN"/>
              </w:rPr>
              <w:t>无组织颗粒物的排放浓度</w:t>
            </w:r>
            <w:r>
              <w:rPr>
                <w:rFonts w:hint="default" w:ascii="Times New Roman" w:hAnsi="Times New Roman" w:cs="Times New Roman"/>
                <w:sz w:val="24"/>
                <w:highlight w:val="none"/>
              </w:rPr>
              <w:t>可满足</w:t>
            </w:r>
            <w:r>
              <w:rPr>
                <w:rFonts w:hint="eastAsia"/>
                <w:color w:val="auto"/>
                <w:sz w:val="24"/>
                <w:szCs w:val="24"/>
              </w:rPr>
              <w:t>《水泥工业大气污染物排放标准》（GB4915-2013）表</w:t>
            </w:r>
            <w:r>
              <w:rPr>
                <w:rFonts w:hint="eastAsia"/>
                <w:color w:val="auto"/>
                <w:sz w:val="24"/>
                <w:szCs w:val="24"/>
                <w:lang w:val="en-US" w:eastAsia="zh-CN"/>
              </w:rPr>
              <w:t>3</w:t>
            </w:r>
            <w:r>
              <w:rPr>
                <w:rFonts w:hint="eastAsia"/>
                <w:color w:val="auto"/>
                <w:sz w:val="24"/>
                <w:szCs w:val="24"/>
              </w:rPr>
              <w:t>大气污染物</w:t>
            </w:r>
            <w:r>
              <w:rPr>
                <w:rFonts w:hint="eastAsia"/>
                <w:color w:val="auto"/>
                <w:sz w:val="24"/>
                <w:szCs w:val="24"/>
                <w:lang w:val="en-US" w:eastAsia="zh-CN"/>
              </w:rPr>
              <w:t>无组织</w:t>
            </w:r>
            <w:r>
              <w:rPr>
                <w:rFonts w:hint="eastAsia"/>
                <w:color w:val="auto"/>
                <w:sz w:val="24"/>
                <w:szCs w:val="24"/>
              </w:rPr>
              <w:t>排放</w:t>
            </w:r>
            <w:r>
              <w:rPr>
                <w:rFonts w:hint="eastAsia"/>
                <w:color w:val="auto"/>
                <w:sz w:val="24"/>
                <w:szCs w:val="24"/>
                <w:lang w:val="en-US" w:eastAsia="zh-CN"/>
              </w:rPr>
              <w:t>浓度0.5mg/m</w:t>
            </w:r>
            <w:r>
              <w:rPr>
                <w:rFonts w:hint="eastAsia"/>
                <w:color w:val="auto"/>
                <w:sz w:val="24"/>
                <w:szCs w:val="24"/>
                <w:vertAlign w:val="superscript"/>
                <w:lang w:val="en-US" w:eastAsia="zh-CN"/>
              </w:rPr>
              <w:t>3</w:t>
            </w:r>
            <w:r>
              <w:rPr>
                <w:rFonts w:hint="eastAsia"/>
                <w:color w:val="auto"/>
                <w:sz w:val="24"/>
                <w:szCs w:val="24"/>
                <w:vertAlign w:val="baseline"/>
                <w:lang w:val="en-US" w:eastAsia="zh-CN"/>
              </w:rPr>
              <w:t>的</w:t>
            </w:r>
            <w:r>
              <w:rPr>
                <w:rFonts w:hint="eastAsia"/>
                <w:color w:val="auto"/>
                <w:sz w:val="24"/>
                <w:szCs w:val="24"/>
              </w:rPr>
              <w:t>限值</w:t>
            </w:r>
            <w:r>
              <w:rPr>
                <w:rFonts w:hint="eastAsia"/>
                <w:color w:val="auto"/>
                <w:sz w:val="24"/>
                <w:szCs w:val="24"/>
                <w:lang w:val="en-US" w:eastAsia="zh-CN"/>
              </w:rPr>
              <w:t>要求，</w:t>
            </w:r>
            <w:r>
              <w:rPr>
                <w:rFonts w:hint="eastAsia" w:cs="Times New Roman"/>
                <w:sz w:val="24"/>
                <w:lang w:val="en-US" w:eastAsia="zh-CN"/>
              </w:rPr>
              <w:t>对周围环境影响不大</w:t>
            </w:r>
            <w:r>
              <w:rPr>
                <w:rFonts w:hint="default" w:ascii="Times New Roman" w:hAnsi="Times New Roman" w:cs="Times New Roman"/>
                <w:sz w:val="24"/>
                <w:lang w:eastAsia="zh-CN"/>
              </w:rPr>
              <w:t>。</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cs="Times New Roman"/>
                <w:b/>
                <w:bCs/>
                <w:lang w:val="en-US" w:eastAsia="zh-CN"/>
              </w:rPr>
            </w:pPr>
            <w:r>
              <w:rPr>
                <w:rFonts w:hint="default" w:ascii="Times New Roman" w:hAnsi="Times New Roman" w:eastAsia="宋体" w:cs="Times New Roman"/>
                <w:b/>
                <w:bCs/>
                <w:color w:val="000000"/>
                <w:kern w:val="0"/>
                <w:sz w:val="24"/>
                <w:szCs w:val="24"/>
                <w:lang w:val="en-US" w:eastAsia="zh-CN" w:bidi="ar"/>
              </w:rPr>
              <w:t>（</w:t>
            </w:r>
            <w:r>
              <w:rPr>
                <w:rFonts w:hint="eastAsia" w:cs="Times New Roman"/>
                <w:b/>
                <w:bCs/>
                <w:color w:val="000000"/>
                <w:kern w:val="0"/>
                <w:sz w:val="24"/>
                <w:szCs w:val="24"/>
                <w:lang w:val="en-US" w:eastAsia="zh-CN" w:bidi="ar"/>
              </w:rPr>
              <w:t>2）</w:t>
            </w:r>
            <w:r>
              <w:rPr>
                <w:rFonts w:hint="eastAsia" w:cs="Times New Roman"/>
                <w:b/>
                <w:bCs/>
                <w:lang w:val="en-US" w:eastAsia="zh-CN"/>
              </w:rPr>
              <w:t>筒仓粉尘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本项目设有</w:t>
            </w:r>
            <w:r>
              <w:rPr>
                <w:rFonts w:hint="eastAsia" w:ascii="Times New Roman" w:hAnsi="Times New Roman" w:eastAsia="宋体" w:cs="Times New Roman"/>
                <w:color w:val="auto"/>
                <w:kern w:val="0"/>
                <w:sz w:val="24"/>
                <w:lang w:val="en-US" w:eastAsia="zh-CN"/>
              </w:rPr>
              <w:t>8</w:t>
            </w:r>
            <w:r>
              <w:rPr>
                <w:rFonts w:hint="default" w:ascii="Times New Roman" w:hAnsi="Times New Roman" w:eastAsia="宋体" w:cs="Times New Roman"/>
                <w:color w:val="auto"/>
                <w:kern w:val="0"/>
                <w:sz w:val="24"/>
              </w:rPr>
              <w:t>个筒仓</w:t>
            </w:r>
            <w:r>
              <w:rPr>
                <w:rFonts w:hint="eastAsia" w:ascii="Times New Roman" w:hAnsi="Times New Roman" w:eastAsia="宋体" w:cs="Times New Roman"/>
                <w:color w:val="auto"/>
                <w:kern w:val="0"/>
                <w:sz w:val="24"/>
                <w:lang w:eastAsia="zh-CN"/>
              </w:rPr>
              <w:t>，</w:t>
            </w:r>
            <w:r>
              <w:rPr>
                <w:rFonts w:hint="default" w:ascii="Times New Roman" w:hAnsi="Times New Roman" w:eastAsia="宋体" w:cs="Times New Roman"/>
                <w:color w:val="auto"/>
                <w:kern w:val="0"/>
                <w:sz w:val="24"/>
              </w:rPr>
              <w:t>每个仓</w:t>
            </w:r>
            <w:r>
              <w:rPr>
                <w:rFonts w:hint="eastAsia" w:ascii="Times New Roman" w:hAnsi="Times New Roman" w:eastAsia="宋体" w:cs="Times New Roman"/>
                <w:color w:val="auto"/>
                <w:kern w:val="0"/>
                <w:sz w:val="24"/>
                <w:lang w:val="en-US" w:eastAsia="zh-CN"/>
              </w:rPr>
              <w:t>顶</w:t>
            </w:r>
            <w:r>
              <w:rPr>
                <w:rFonts w:hint="eastAsia" w:cs="Times New Roman"/>
                <w:color w:val="auto"/>
                <w:kern w:val="0"/>
                <w:sz w:val="24"/>
                <w:lang w:val="en-US" w:eastAsia="zh-CN"/>
              </w:rPr>
              <w:t>均</w:t>
            </w:r>
            <w:r>
              <w:rPr>
                <w:rFonts w:hint="default" w:ascii="Times New Roman" w:hAnsi="Times New Roman" w:eastAsia="宋体" w:cs="Times New Roman"/>
                <w:color w:val="auto"/>
                <w:kern w:val="0"/>
                <w:sz w:val="24"/>
                <w:lang w:val="en-US" w:eastAsia="zh-CN"/>
              </w:rPr>
              <w:t>设</w:t>
            </w:r>
            <w:r>
              <w:rPr>
                <w:rFonts w:hint="eastAsia" w:cs="Times New Roman"/>
                <w:color w:val="auto"/>
                <w:kern w:val="0"/>
                <w:sz w:val="24"/>
                <w:lang w:val="en-US" w:eastAsia="zh-CN"/>
              </w:rPr>
              <w:t>置1套脉冲</w:t>
            </w:r>
            <w:r>
              <w:rPr>
                <w:rFonts w:hint="default" w:ascii="Times New Roman" w:hAnsi="Times New Roman" w:eastAsia="宋体" w:cs="Times New Roman"/>
                <w:color w:val="auto"/>
                <w:kern w:val="0"/>
                <w:sz w:val="24"/>
              </w:rPr>
              <w:t>布袋除尘器进行过滤除尘，根据《排放源统计调查产排污核算方法和系数手册》（3021水泥制品制造（含3022砼结构构件制造、3029其他水泥类似制品制造）行业系数手册），颗粒物产污系数为0.12</w:t>
            </w:r>
            <w:r>
              <w:rPr>
                <w:rFonts w:hint="eastAsia" w:cs="Times New Roman"/>
                <w:color w:val="auto"/>
                <w:kern w:val="0"/>
                <w:sz w:val="24"/>
                <w:lang w:val="en-US" w:eastAsia="zh-CN"/>
              </w:rPr>
              <w:t>kg</w:t>
            </w:r>
            <w:r>
              <w:rPr>
                <w:rFonts w:hint="default" w:ascii="Times New Roman" w:hAnsi="Times New Roman" w:eastAsia="宋体" w:cs="Times New Roman"/>
                <w:color w:val="auto"/>
                <w:kern w:val="0"/>
                <w:sz w:val="24"/>
              </w:rPr>
              <w:t>/</w:t>
            </w:r>
            <w:r>
              <w:rPr>
                <w:rFonts w:hint="eastAsia" w:cs="Times New Roman"/>
                <w:color w:val="auto"/>
                <w:kern w:val="0"/>
                <w:sz w:val="24"/>
                <w:lang w:val="en-US" w:eastAsia="zh-CN"/>
              </w:rPr>
              <w:t>t</w:t>
            </w:r>
            <w:r>
              <w:rPr>
                <w:rFonts w:hint="default" w:ascii="Times New Roman" w:hAnsi="Times New Roman" w:eastAsia="宋体" w:cs="Times New Roman"/>
                <w:color w:val="auto"/>
                <w:kern w:val="0"/>
                <w:sz w:val="24"/>
              </w:rPr>
              <w:t>-产品。本项目产品量为480000t/a，</w:t>
            </w:r>
            <w:r>
              <w:rPr>
                <w:rFonts w:hint="eastAsia" w:cs="Times New Roman"/>
                <w:color w:val="auto"/>
                <w:kern w:val="0"/>
                <w:sz w:val="24"/>
                <w:lang w:val="en-US" w:eastAsia="zh-CN"/>
              </w:rPr>
              <w:t>年生产时间为2200h，</w:t>
            </w:r>
            <w:r>
              <w:rPr>
                <w:rFonts w:hint="default" w:ascii="Times New Roman" w:hAnsi="Times New Roman" w:eastAsia="宋体" w:cs="Times New Roman"/>
                <w:color w:val="auto"/>
                <w:kern w:val="0"/>
                <w:sz w:val="24"/>
              </w:rPr>
              <w:t>筒仓产生的颗粒物总量为57.6t/a，产生速率</w:t>
            </w:r>
            <w:r>
              <w:rPr>
                <w:rFonts w:hint="eastAsia" w:ascii="Times New Roman" w:hAnsi="Times New Roman" w:eastAsia="宋体" w:cs="Times New Roman"/>
                <w:color w:val="auto"/>
                <w:kern w:val="0"/>
                <w:sz w:val="24"/>
                <w:lang w:val="en-US" w:eastAsia="zh-CN"/>
              </w:rPr>
              <w:t>26.18</w:t>
            </w:r>
            <w:r>
              <w:rPr>
                <w:rFonts w:hint="default" w:ascii="Times New Roman" w:hAnsi="Times New Roman" w:eastAsia="宋体" w:cs="Times New Roman"/>
                <w:color w:val="auto"/>
                <w:kern w:val="0"/>
                <w:sz w:val="24"/>
              </w:rPr>
              <w:t>kg/h</w:t>
            </w:r>
            <w:r>
              <w:rPr>
                <w:rFonts w:hint="eastAsia" w:cs="Times New Roman"/>
                <w:color w:val="auto"/>
                <w:kern w:val="0"/>
                <w:sz w:val="24"/>
                <w:lang w:eastAsia="zh-CN"/>
              </w:rPr>
              <w:t>。</w:t>
            </w:r>
            <w:r>
              <w:rPr>
                <w:rFonts w:hint="eastAsia" w:cs="Times New Roman"/>
                <w:color w:val="auto"/>
                <w:kern w:val="0"/>
                <w:sz w:val="24"/>
                <w:lang w:val="en-US" w:eastAsia="zh-CN"/>
              </w:rPr>
              <w:t>筒仓颗粒物属于间歇式排放，在筒仓进料时筒仓顶部会有废气排出，且排放时间较短，其次筒仓高度较高，不具备排气筒安装条件，因此，筒仓粉尘</w:t>
            </w:r>
            <w:r>
              <w:rPr>
                <w:rFonts w:hint="default" w:ascii="Times New Roman" w:hAnsi="Times New Roman" w:eastAsia="宋体" w:cs="Times New Roman"/>
                <w:color w:val="auto"/>
                <w:kern w:val="0"/>
                <w:sz w:val="24"/>
              </w:rPr>
              <w:t>经脉冲布袋除尘器（</w:t>
            </w:r>
            <w:r>
              <w:rPr>
                <w:rFonts w:hint="eastAsia" w:cs="Times New Roman"/>
                <w:color w:val="auto"/>
                <w:kern w:val="0"/>
                <w:sz w:val="24"/>
                <w:lang w:val="en-US" w:eastAsia="zh-CN"/>
              </w:rPr>
              <w:t>根据</w:t>
            </w:r>
            <w:r>
              <w:rPr>
                <w:rFonts w:hint="default" w:ascii="Times New Roman" w:hAnsi="Times New Roman" w:eastAsia="宋体" w:cs="Times New Roman"/>
                <w:color w:val="auto"/>
                <w:kern w:val="0"/>
                <w:sz w:val="24"/>
              </w:rPr>
              <w:t>《排放源统计调查产排污核算方法和系数手册》（3021水泥制品制造（含3022砼结构构件制造、3029其他水泥类似制品制造）行业系数手册）</w:t>
            </w:r>
            <w:r>
              <w:rPr>
                <w:rFonts w:hint="eastAsia" w:ascii="Times New Roman" w:hAnsi="Times New Roman" w:eastAsia="宋体" w:cs="Times New Roman"/>
                <w:color w:val="auto"/>
                <w:kern w:val="0"/>
                <w:sz w:val="24"/>
                <w:lang w:val="en-US" w:eastAsia="zh-CN"/>
              </w:rPr>
              <w:t>袋式除尘</w:t>
            </w:r>
            <w:r>
              <w:rPr>
                <w:rFonts w:hint="default" w:ascii="Times New Roman" w:hAnsi="Times New Roman" w:eastAsia="宋体" w:cs="Times New Roman"/>
                <w:color w:val="auto"/>
                <w:kern w:val="0"/>
                <w:sz w:val="24"/>
              </w:rPr>
              <w:t>效率</w:t>
            </w:r>
            <w:r>
              <w:rPr>
                <w:rFonts w:hint="eastAsia" w:cs="Times New Roman"/>
                <w:color w:val="auto"/>
                <w:kern w:val="0"/>
                <w:sz w:val="24"/>
                <w:lang w:val="en-US" w:eastAsia="zh-CN"/>
              </w:rPr>
              <w:t>为</w:t>
            </w:r>
            <w:r>
              <w:rPr>
                <w:rFonts w:hint="default" w:ascii="Times New Roman" w:hAnsi="Times New Roman" w:eastAsia="宋体" w:cs="Times New Roman"/>
                <w:color w:val="auto"/>
                <w:kern w:val="0"/>
                <w:sz w:val="24"/>
              </w:rPr>
              <w:t>99.7%）处理后</w:t>
            </w:r>
            <w:r>
              <w:rPr>
                <w:rFonts w:hint="eastAsia" w:cs="Times New Roman"/>
                <w:color w:val="auto"/>
                <w:kern w:val="0"/>
                <w:sz w:val="24"/>
                <w:lang w:val="en-US" w:eastAsia="zh-CN"/>
              </w:rPr>
              <w:t>以无组织形式</w:t>
            </w:r>
            <w:r>
              <w:rPr>
                <w:rFonts w:hint="default" w:ascii="Times New Roman" w:hAnsi="Times New Roman" w:eastAsia="宋体" w:cs="Times New Roman"/>
                <w:color w:val="auto"/>
                <w:kern w:val="0"/>
                <w:sz w:val="24"/>
              </w:rPr>
              <w:t>排放，筒仓颗粒物的排放量为0.173t/a，排放速率为</w:t>
            </w:r>
            <w:r>
              <w:rPr>
                <w:rFonts w:hint="eastAsia" w:ascii="Times New Roman" w:hAnsi="Times New Roman" w:eastAsia="宋体" w:cs="Times New Roman"/>
                <w:color w:val="auto"/>
                <w:kern w:val="0"/>
                <w:sz w:val="24"/>
                <w:lang w:val="en-US" w:eastAsia="zh-CN"/>
              </w:rPr>
              <w:t>0.079</w:t>
            </w:r>
            <w:r>
              <w:rPr>
                <w:rFonts w:hint="default" w:ascii="Times New Roman" w:hAnsi="Times New Roman" w:eastAsia="宋体" w:cs="Times New Roman"/>
                <w:color w:val="auto"/>
                <w:kern w:val="0"/>
                <w:sz w:val="24"/>
              </w:rPr>
              <w:t>kg/h</w:t>
            </w:r>
            <w:r>
              <w:rPr>
                <w:rFonts w:hint="eastAsia" w:cs="Times New Roman"/>
                <w:color w:val="auto"/>
                <w:kern w:val="0"/>
                <w:sz w:val="24"/>
                <w:lang w:eastAsia="zh-CN"/>
              </w:rPr>
              <w:t>。</w:t>
            </w:r>
            <w:r>
              <w:rPr>
                <w:rFonts w:hint="eastAsia" w:cs="Times New Roman"/>
                <w:color w:val="auto"/>
                <w:sz w:val="24"/>
                <w:highlight w:val="none"/>
                <w:lang w:val="en-US" w:eastAsia="zh-CN"/>
              </w:rPr>
              <w:t>筒</w:t>
            </w:r>
            <w:r>
              <w:rPr>
                <w:rFonts w:hint="eastAsia" w:cs="Times New Roman"/>
                <w:sz w:val="24"/>
                <w:highlight w:val="none"/>
                <w:lang w:val="en-US" w:eastAsia="zh-CN"/>
              </w:rPr>
              <w:t>仓</w:t>
            </w:r>
            <w:r>
              <w:rPr>
                <w:rFonts w:hint="default" w:ascii="Times New Roman" w:hAnsi="Times New Roman" w:cs="Times New Roman"/>
                <w:sz w:val="24"/>
                <w:highlight w:val="none"/>
                <w:lang w:val="en-US" w:eastAsia="zh-CN"/>
              </w:rPr>
              <w:t>无组织颗粒物的排放浓度</w:t>
            </w:r>
            <w:r>
              <w:rPr>
                <w:rFonts w:hint="default" w:ascii="Times New Roman" w:hAnsi="Times New Roman" w:cs="Times New Roman"/>
                <w:sz w:val="24"/>
                <w:highlight w:val="none"/>
              </w:rPr>
              <w:t>可满足</w:t>
            </w:r>
            <w:r>
              <w:rPr>
                <w:rFonts w:hint="eastAsia"/>
                <w:color w:val="auto"/>
                <w:sz w:val="24"/>
                <w:szCs w:val="24"/>
              </w:rPr>
              <w:t>《水泥工业大气污染物排放标准》（GB4915-2013）表</w:t>
            </w:r>
            <w:r>
              <w:rPr>
                <w:rFonts w:hint="eastAsia"/>
                <w:color w:val="auto"/>
                <w:sz w:val="24"/>
                <w:szCs w:val="24"/>
                <w:lang w:val="en-US" w:eastAsia="zh-CN"/>
              </w:rPr>
              <w:t>3</w:t>
            </w:r>
            <w:r>
              <w:rPr>
                <w:rFonts w:hint="eastAsia"/>
                <w:color w:val="auto"/>
                <w:sz w:val="24"/>
                <w:szCs w:val="24"/>
              </w:rPr>
              <w:t>大气污染物</w:t>
            </w:r>
            <w:r>
              <w:rPr>
                <w:rFonts w:hint="eastAsia"/>
                <w:color w:val="auto"/>
                <w:sz w:val="24"/>
                <w:szCs w:val="24"/>
                <w:lang w:val="en-US" w:eastAsia="zh-CN"/>
              </w:rPr>
              <w:t>无组织</w:t>
            </w:r>
            <w:r>
              <w:rPr>
                <w:rFonts w:hint="eastAsia"/>
                <w:color w:val="auto"/>
                <w:sz w:val="24"/>
                <w:szCs w:val="24"/>
              </w:rPr>
              <w:t>排放</w:t>
            </w:r>
            <w:r>
              <w:rPr>
                <w:rFonts w:hint="eastAsia"/>
                <w:color w:val="auto"/>
                <w:sz w:val="24"/>
                <w:szCs w:val="24"/>
                <w:lang w:val="en-US" w:eastAsia="zh-CN"/>
              </w:rPr>
              <w:t>浓度0.5mg/m</w:t>
            </w:r>
            <w:r>
              <w:rPr>
                <w:rFonts w:hint="eastAsia"/>
                <w:color w:val="auto"/>
                <w:sz w:val="24"/>
                <w:szCs w:val="24"/>
                <w:vertAlign w:val="superscript"/>
                <w:lang w:val="en-US" w:eastAsia="zh-CN"/>
              </w:rPr>
              <w:t>3</w:t>
            </w:r>
            <w:r>
              <w:rPr>
                <w:rFonts w:hint="eastAsia"/>
                <w:color w:val="auto"/>
                <w:sz w:val="24"/>
                <w:szCs w:val="24"/>
                <w:vertAlign w:val="baseline"/>
                <w:lang w:val="en-US" w:eastAsia="zh-CN"/>
              </w:rPr>
              <w:t>的</w:t>
            </w:r>
            <w:r>
              <w:rPr>
                <w:rFonts w:hint="eastAsia"/>
                <w:color w:val="auto"/>
                <w:sz w:val="24"/>
                <w:szCs w:val="24"/>
              </w:rPr>
              <w:t>限值</w:t>
            </w:r>
            <w:r>
              <w:rPr>
                <w:rFonts w:hint="eastAsia"/>
                <w:color w:val="auto"/>
                <w:sz w:val="24"/>
                <w:szCs w:val="24"/>
                <w:lang w:val="en-US" w:eastAsia="zh-CN"/>
              </w:rPr>
              <w:t>要求，</w:t>
            </w:r>
            <w:r>
              <w:rPr>
                <w:rFonts w:hint="eastAsia" w:cs="Times New Roman"/>
                <w:sz w:val="24"/>
                <w:lang w:val="en-US" w:eastAsia="zh-CN"/>
              </w:rPr>
              <w:t>对周围环境影响不大</w:t>
            </w:r>
            <w:r>
              <w:rPr>
                <w:rFonts w:hint="default" w:ascii="Times New Roman" w:hAnsi="Times New Roman" w:cs="Times New Roman"/>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2" w:firstLineChars="200"/>
              <w:jc w:val="left"/>
              <w:textAlignment w:val="auto"/>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（3）</w:t>
            </w:r>
            <w:r>
              <w:rPr>
                <w:rFonts w:hint="default" w:ascii="Times New Roman" w:hAnsi="Times New Roman" w:eastAsia="宋体" w:cs="Times New Roman"/>
                <w:b/>
                <w:bCs/>
                <w:color w:val="auto"/>
                <w:sz w:val="24"/>
                <w:szCs w:val="24"/>
                <w:lang w:val="en-US" w:eastAsia="zh-CN"/>
              </w:rPr>
              <w:t>砂石料堆场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kern w:val="0"/>
                <w:sz w:val="24"/>
                <w:szCs w:val="24"/>
                <w:lang w:val="en-US" w:eastAsia="zh-CN"/>
              </w:rPr>
            </w:pPr>
            <w:r>
              <w:rPr>
                <w:rFonts w:hint="default" w:ascii="Calibri" w:hAnsi="Calibri" w:eastAsia="宋体" w:cs="Calibri"/>
                <w:color w:val="auto"/>
                <w:kern w:val="0"/>
                <w:sz w:val="24"/>
                <w:szCs w:val="24"/>
                <w:lang w:val="en-US" w:eastAsia="zh-CN"/>
              </w:rPr>
              <w:t>①</w:t>
            </w:r>
            <w:r>
              <w:rPr>
                <w:rFonts w:hint="eastAsia" w:ascii="Calibri" w:hAnsi="Calibri" w:cs="Calibri"/>
                <w:color w:val="auto"/>
                <w:kern w:val="0"/>
                <w:sz w:val="24"/>
                <w:szCs w:val="24"/>
                <w:lang w:val="en-US" w:eastAsia="zh-CN"/>
              </w:rPr>
              <w:t>砂石料</w:t>
            </w:r>
            <w:r>
              <w:rPr>
                <w:rFonts w:hint="eastAsia" w:cs="Times New Roman"/>
                <w:color w:val="auto"/>
                <w:kern w:val="0"/>
                <w:sz w:val="24"/>
                <w:szCs w:val="24"/>
                <w:lang w:val="en-US" w:eastAsia="zh-CN"/>
              </w:rPr>
              <w:t>装卸堆存粉尘产生量</w:t>
            </w:r>
          </w:p>
          <w:p>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eastAsia="宋体" w:cs="Times New Roman"/>
                <w:color w:val="auto"/>
                <w:kern w:val="0"/>
                <w:sz w:val="24"/>
                <w:szCs w:val="24"/>
                <w:lang w:val="en-US" w:eastAsia="zh-CN"/>
              </w:rPr>
              <w:t>本项目砂料和</w:t>
            </w:r>
            <w:r>
              <w:rPr>
                <w:rFonts w:hint="eastAsia" w:cs="Times New Roman"/>
                <w:color w:val="auto"/>
                <w:kern w:val="0"/>
                <w:sz w:val="24"/>
                <w:szCs w:val="24"/>
                <w:lang w:val="en-US" w:eastAsia="zh-CN"/>
              </w:rPr>
              <w:t>小</w:t>
            </w:r>
            <w:r>
              <w:rPr>
                <w:rFonts w:hint="default" w:ascii="Times New Roman" w:hAnsi="Times New Roman" w:eastAsia="宋体" w:cs="Times New Roman"/>
                <w:color w:val="auto"/>
                <w:kern w:val="0"/>
                <w:sz w:val="24"/>
                <w:szCs w:val="24"/>
                <w:lang w:val="en-US" w:eastAsia="zh-CN"/>
              </w:rPr>
              <w:t>石料堆场共计占地面积</w:t>
            </w:r>
            <w:r>
              <w:rPr>
                <w:rFonts w:hint="eastAsia" w:cs="Times New Roman"/>
                <w:color w:val="auto"/>
                <w:kern w:val="0"/>
                <w:sz w:val="24"/>
                <w:szCs w:val="24"/>
                <w:lang w:val="en-US" w:eastAsia="zh-CN"/>
              </w:rPr>
              <w:t>900</w:t>
            </w:r>
            <w:r>
              <w:rPr>
                <w:rFonts w:hint="default" w:ascii="Times New Roman" w:hAnsi="Times New Roman" w:eastAsia="宋体" w:cs="Times New Roman"/>
                <w:color w:val="auto"/>
                <w:kern w:val="0"/>
                <w:sz w:val="24"/>
                <w:szCs w:val="24"/>
                <w:lang w:val="en-US" w:eastAsia="zh-CN"/>
              </w:rPr>
              <w:t>m</w:t>
            </w:r>
            <w:r>
              <w:rPr>
                <w:rFonts w:hint="default" w:ascii="Times New Roman" w:hAnsi="Times New Roman" w:eastAsia="宋体" w:cs="Times New Roman"/>
                <w:color w:val="auto"/>
                <w:kern w:val="0"/>
                <w:sz w:val="24"/>
                <w:szCs w:val="24"/>
                <w:vertAlign w:val="superscript"/>
                <w:lang w:val="en-US" w:eastAsia="zh-CN"/>
              </w:rPr>
              <w:t>2</w:t>
            </w:r>
            <w:r>
              <w:rPr>
                <w:rFonts w:hint="default" w:ascii="Times New Roman" w:hAnsi="Times New Roman" w:eastAsia="宋体" w:cs="Times New Roman"/>
                <w:color w:val="auto"/>
                <w:kern w:val="0"/>
                <w:sz w:val="24"/>
                <w:szCs w:val="24"/>
                <w:lang w:val="en-US" w:eastAsia="zh-CN"/>
              </w:rPr>
              <w:t>，</w:t>
            </w:r>
            <w:r>
              <w:rPr>
                <w:rFonts w:hint="default" w:ascii="Times New Roman" w:hAnsi="Times New Roman" w:cs="Times New Roman"/>
                <w:color w:val="auto"/>
                <w:sz w:val="24"/>
                <w:szCs w:val="24"/>
                <w:lang w:eastAsia="zh-CN"/>
              </w:rPr>
              <w:t>根据生态环境部《排放源统计调查产排污核算方法和系数手册》</w:t>
            </w:r>
            <w:r>
              <w:rPr>
                <w:rFonts w:hint="default" w:ascii="Times New Roman" w:hAnsi="Times New Roman" w:cs="Times New Roman"/>
                <w:color w:val="auto"/>
                <w:sz w:val="24"/>
                <w:szCs w:val="24"/>
                <w:lang w:val="en-US" w:eastAsia="zh-CN"/>
              </w:rPr>
              <w:t>中《</w:t>
            </w:r>
            <w:r>
              <w:rPr>
                <w:rFonts w:hint="default" w:ascii="Times New Roman" w:hAnsi="Times New Roman" w:cs="Times New Roman"/>
                <w:color w:val="auto"/>
                <w:sz w:val="24"/>
                <w:szCs w:val="24"/>
                <w:lang w:eastAsia="zh-CN"/>
              </w:rPr>
              <w:t>固体物料堆存颗粒物产排污核算系数手册</w:t>
            </w:r>
            <w:r>
              <w:rPr>
                <w:rFonts w:hint="default" w:ascii="Times New Roman" w:hAnsi="Times New Roman" w:cs="Times New Roman"/>
                <w:color w:val="auto"/>
                <w:sz w:val="24"/>
                <w:szCs w:val="24"/>
                <w:lang w:val="en-US" w:eastAsia="zh-CN"/>
              </w:rPr>
              <w:t>》，工业企业固体物料堆存颗粒物包括装卸</w:t>
            </w:r>
            <w:r>
              <w:rPr>
                <w:rFonts w:hint="eastAsia" w:cs="Times New Roman"/>
                <w:color w:val="auto"/>
                <w:sz w:val="24"/>
                <w:szCs w:val="24"/>
                <w:lang w:val="en-US" w:eastAsia="zh-CN"/>
              </w:rPr>
              <w:t>扬</w:t>
            </w:r>
            <w:r>
              <w:rPr>
                <w:rFonts w:hint="default" w:ascii="Times New Roman" w:hAnsi="Times New Roman" w:cs="Times New Roman"/>
                <w:color w:val="auto"/>
                <w:sz w:val="24"/>
                <w:szCs w:val="24"/>
                <w:lang w:val="en-US" w:eastAsia="zh-CN"/>
              </w:rPr>
              <w:t>尘和风蚀扬尘，颗粒物产生量核算公式如下：</w:t>
            </w:r>
          </w:p>
          <w:p>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drawing>
                <wp:inline distT="0" distB="0" distL="114300" distR="114300">
                  <wp:extent cx="4092575" cy="264160"/>
                  <wp:effectExtent l="0" t="0" r="3175" b="2540"/>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13"/>
                          <a:stretch>
                            <a:fillRect/>
                          </a:stretch>
                        </pic:blipFill>
                        <pic:spPr>
                          <a:xfrm>
                            <a:off x="0" y="0"/>
                            <a:ext cx="4092575" cy="264160"/>
                          </a:xfrm>
                          <a:prstGeom prst="rect">
                            <a:avLst/>
                          </a:prstGeom>
                          <a:noFill/>
                          <a:ln>
                            <a:noFill/>
                          </a:ln>
                        </pic:spPr>
                      </pic:pic>
                    </a:graphicData>
                  </a:graphic>
                </wp:inline>
              </w:drawing>
            </w:r>
          </w:p>
          <w:p>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式中：P指颗粒物产生量（单位：吨）；</w:t>
            </w:r>
          </w:p>
          <w:p>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ZCy指装卸扬尘产生量（单位：吨）；</w:t>
            </w:r>
          </w:p>
          <w:p>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FCy指风蚀扬尘产生量（单位：吨）；</w:t>
            </w:r>
          </w:p>
          <w:p>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Nc指年物料运载车次（单位：车），本项目</w:t>
            </w:r>
            <w:r>
              <w:rPr>
                <w:rFonts w:hint="eastAsia" w:cs="Times New Roman"/>
                <w:color w:val="auto"/>
                <w:sz w:val="24"/>
                <w:szCs w:val="24"/>
                <w:highlight w:val="none"/>
                <w:lang w:val="en-US" w:eastAsia="zh-CN"/>
              </w:rPr>
              <w:t>砂子、小石</w:t>
            </w:r>
            <w:r>
              <w:rPr>
                <w:rFonts w:hint="default" w:ascii="Times New Roman" w:hAnsi="Times New Roman" w:cs="Times New Roman"/>
                <w:color w:val="auto"/>
                <w:sz w:val="24"/>
                <w:szCs w:val="24"/>
                <w:highlight w:val="none"/>
                <w:lang w:val="en-US" w:eastAsia="zh-CN"/>
              </w:rPr>
              <w:t>取</w:t>
            </w:r>
            <w:r>
              <w:rPr>
                <w:rFonts w:hint="eastAsia" w:cs="Times New Roman"/>
                <w:color w:val="auto"/>
                <w:sz w:val="24"/>
                <w:szCs w:val="24"/>
                <w:highlight w:val="none"/>
                <w:lang w:val="en-US" w:eastAsia="zh-CN"/>
              </w:rPr>
              <w:t>12367</w:t>
            </w:r>
            <w:r>
              <w:rPr>
                <w:rFonts w:hint="default" w:ascii="Times New Roman" w:hAnsi="Times New Roman" w:cs="Times New Roman"/>
                <w:color w:val="auto"/>
                <w:sz w:val="24"/>
                <w:szCs w:val="24"/>
                <w:highlight w:val="none"/>
                <w:lang w:val="en-US" w:eastAsia="zh-CN"/>
              </w:rPr>
              <w:t>车</w:t>
            </w:r>
            <w:r>
              <w:rPr>
                <w:rFonts w:hint="eastAsia" w:cs="Times New Roman"/>
                <w:color w:val="auto"/>
                <w:sz w:val="24"/>
                <w:szCs w:val="24"/>
                <w:highlight w:val="none"/>
                <w:lang w:val="en-US" w:eastAsia="zh-CN"/>
              </w:rPr>
              <w:t>，大石取3667车</w:t>
            </w:r>
            <w:r>
              <w:rPr>
                <w:rFonts w:hint="default" w:ascii="Times New Roman" w:hAnsi="Times New Roman" w:cs="Times New Roman"/>
                <w:color w:val="auto"/>
                <w:sz w:val="24"/>
                <w:szCs w:val="24"/>
                <w:highlight w:val="none"/>
                <w:lang w:val="en-US" w:eastAsia="zh-CN"/>
              </w:rPr>
              <w:t>；</w:t>
            </w:r>
          </w:p>
          <w:p>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D指单车平均运载量（单位：吨/车），本项目取</w:t>
            </w:r>
            <w:r>
              <w:rPr>
                <w:rFonts w:hint="eastAsia" w:cs="Times New Roman"/>
                <w:color w:val="auto"/>
                <w:sz w:val="24"/>
                <w:szCs w:val="24"/>
                <w:highlight w:val="none"/>
                <w:lang w:val="en-US" w:eastAsia="zh-CN"/>
              </w:rPr>
              <w:t>30</w:t>
            </w:r>
            <w:r>
              <w:rPr>
                <w:rFonts w:hint="default" w:ascii="Times New Roman" w:hAnsi="Times New Roman" w:cs="Times New Roman"/>
                <w:color w:val="auto"/>
                <w:sz w:val="24"/>
                <w:szCs w:val="24"/>
                <w:highlight w:val="none"/>
                <w:lang w:val="en-US" w:eastAsia="zh-CN"/>
              </w:rPr>
              <w:t>吨/车；</w:t>
            </w:r>
          </w:p>
          <w:p>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（a/b）指装卸扬尘概化系数（单位：千克/吨），a指各省风速概化系数，根据附录1，新疆a取值0.0011，b指物料含水率概化系数，根据附录2，各种石灰石产品b取值0.0017；</w:t>
            </w:r>
          </w:p>
          <w:p>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Ef指堆场风蚀扬尘概化系数，根据附录3（单位：千克/平方米）各种石灰石产品Ef取值3.6062千克/平方米；</w:t>
            </w:r>
          </w:p>
          <w:p>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lang w:val="en-US" w:eastAsia="zh-CN"/>
              </w:rPr>
              <w:t>S指堆场占地面积（单位：平方米）</w:t>
            </w:r>
            <w:r>
              <w:rPr>
                <w:rFonts w:hint="default" w:ascii="Times New Roman" w:hAnsi="Times New Roman" w:cs="Times New Roman"/>
                <w:color w:val="auto"/>
                <w:sz w:val="24"/>
                <w:szCs w:val="24"/>
                <w:highlight w:val="none"/>
                <w:lang w:val="en-US" w:eastAsia="zh-CN"/>
              </w:rPr>
              <w:t>，本项目砂</w:t>
            </w:r>
            <w:r>
              <w:rPr>
                <w:rFonts w:hint="eastAsia" w:cs="Times New Roman"/>
                <w:color w:val="auto"/>
                <w:sz w:val="24"/>
                <w:szCs w:val="24"/>
                <w:highlight w:val="none"/>
                <w:lang w:val="en-US" w:eastAsia="zh-CN"/>
              </w:rPr>
              <w:t>子和小</w:t>
            </w:r>
            <w:r>
              <w:rPr>
                <w:rFonts w:hint="default" w:ascii="Times New Roman" w:hAnsi="Times New Roman" w:cs="Times New Roman"/>
                <w:color w:val="auto"/>
                <w:sz w:val="24"/>
                <w:szCs w:val="24"/>
                <w:highlight w:val="none"/>
                <w:lang w:val="en-US" w:eastAsia="zh-CN"/>
              </w:rPr>
              <w:t>石料堆场占地约</w:t>
            </w:r>
            <w:r>
              <w:rPr>
                <w:rFonts w:hint="eastAsia" w:cs="Times New Roman"/>
                <w:color w:val="auto"/>
                <w:sz w:val="24"/>
                <w:szCs w:val="24"/>
                <w:highlight w:val="none"/>
                <w:lang w:val="en-US" w:eastAsia="zh-CN"/>
              </w:rPr>
              <w:t>450</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2</w:t>
            </w:r>
            <w:r>
              <w:rPr>
                <w:rFonts w:hint="eastAsia" w:cs="Times New Roman"/>
                <w:color w:val="auto"/>
                <w:sz w:val="24"/>
                <w:szCs w:val="24"/>
                <w:highlight w:val="none"/>
                <w:vertAlign w:val="baseline"/>
                <w:lang w:val="en-US" w:eastAsia="zh-CN"/>
              </w:rPr>
              <w:t>，大石堆场面积450m</w:t>
            </w:r>
            <w:r>
              <w:rPr>
                <w:rFonts w:hint="eastAsia" w:cs="Times New Roman"/>
                <w:color w:val="auto"/>
                <w:sz w:val="24"/>
                <w:szCs w:val="24"/>
                <w:highlight w:val="none"/>
                <w:vertAlign w:val="superscript"/>
                <w:lang w:val="en-US" w:eastAsia="zh-CN"/>
              </w:rPr>
              <w:t>2</w:t>
            </w:r>
            <w:r>
              <w:rPr>
                <w:rFonts w:hint="default" w:ascii="Times New Roman" w:hAnsi="Times New Roman" w:cs="Times New Roman"/>
                <w:color w:val="auto"/>
                <w:sz w:val="24"/>
                <w:szCs w:val="24"/>
                <w:highlight w:val="none"/>
                <w:lang w:val="en-US" w:eastAsia="zh-CN"/>
              </w:rPr>
              <w:t>。</w:t>
            </w:r>
          </w:p>
          <w:p>
            <w:pPr>
              <w:keepNext w:val="0"/>
              <w:keepLines w:val="0"/>
              <w:pageBreakBefore w:val="0"/>
              <w:kinsoku/>
              <w:wordWrap/>
              <w:overflowPunct/>
              <w:topLinePunct w:val="0"/>
              <w:bidi w:val="0"/>
              <w:adjustRightInd/>
              <w:snapToGrid/>
              <w:spacing w:line="360" w:lineRule="auto"/>
              <w:ind w:left="480" w:leftChars="200" w:firstLine="0" w:firstLineChars="0"/>
              <w:textAlignment w:val="auto"/>
              <w:rPr>
                <w:rFonts w:hint="eastAsia" w:cs="Times New Roman"/>
                <w:b/>
                <w:bCs/>
                <w:color w:val="auto"/>
                <w:sz w:val="24"/>
                <w:szCs w:val="24"/>
                <w:lang w:val="en-US" w:eastAsia="zh-CN"/>
              </w:rPr>
            </w:pPr>
            <w:r>
              <w:rPr>
                <w:rFonts w:hint="default" w:ascii="Times New Roman" w:hAnsi="Times New Roman" w:cs="Times New Roman"/>
                <w:b/>
                <w:bCs/>
                <w:color w:val="auto"/>
                <w:position w:val="-30"/>
                <w:sz w:val="24"/>
                <w:szCs w:val="24"/>
                <w:lang w:val="en-US" w:eastAsia="zh-CN"/>
              </w:rPr>
              <w:object>
                <v:shape id="_x0000_i1025" o:spt="75" type="#_x0000_t75" style="height:36.6pt;width:430.2pt;" o:ole="t" filled="f" o:preferrelative="t" stroked="f" coordsize="21600,21600">
                  <v:path/>
                  <v:fill on="f" focussize="0,0"/>
                  <v:stroke on="f"/>
                  <v:imagedata r:id="rId15" o:title=""/>
                  <o:lock v:ext="edit" aspectratio="t"/>
                  <w10:wrap type="none"/>
                  <w10:anchorlock/>
                </v:shape>
                <o:OLEObject Type="Embed" ProgID="Equation.KSEE3" ShapeID="_x0000_i1025" DrawAspect="Content" ObjectID="_1468075725" r:id="rId14">
                  <o:LockedField>false</o:LockedField>
                </o:OLEObject>
              </w:object>
            </w:r>
            <w:r>
              <w:rPr>
                <w:rFonts w:hint="eastAsia" w:cs="Times New Roman"/>
                <w:b/>
                <w:bCs/>
                <w:color w:val="auto"/>
                <w:sz w:val="24"/>
                <w:szCs w:val="24"/>
                <w:lang w:val="en-US" w:eastAsia="zh-CN"/>
              </w:rPr>
              <w:t xml:space="preserve">    </w:t>
            </w:r>
            <w:r>
              <w:rPr>
                <w:rFonts w:hint="default" w:ascii="Times New Roman" w:hAnsi="Times New Roman" w:cs="Times New Roman"/>
                <w:b/>
                <w:bCs/>
                <w:color w:val="auto"/>
                <w:position w:val="-30"/>
                <w:sz w:val="24"/>
                <w:szCs w:val="24"/>
                <w:lang w:val="en-US" w:eastAsia="zh-CN"/>
              </w:rPr>
              <w:object>
                <v:shape id="_x0000_i1026" o:spt="75" type="#_x0000_t75" style="height:34.65pt;width:379.15pt;" o:ole="t" filled="f" o:preferrelative="t" stroked="f" coordsize="21600,21600">
                  <v:path/>
                  <v:fill on="f" focussize="0,0"/>
                  <v:stroke on="f"/>
                  <v:imagedata r:id="rId17" o:title=""/>
                  <o:lock v:ext="edit" aspectratio="t"/>
                  <w10:wrap type="none"/>
                  <w10:anchorlock/>
                </v:shape>
                <o:OLEObject Type="Embed" ProgID="Equation.KSEE3" ShapeID="_x0000_i1026" DrawAspect="Content" ObjectID="_1468075726" r:id="rId16">
                  <o:LockedField>false</o:LockedField>
                </o:OLEObject>
              </w:object>
            </w:r>
          </w:p>
          <w:p>
            <w:pPr>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则项目砂石料堆场扬尘产生量为</w:t>
            </w:r>
            <w:r>
              <w:rPr>
                <w:rFonts w:hint="eastAsia" w:cs="Times New Roman"/>
                <w:b w:val="0"/>
                <w:bCs w:val="0"/>
                <w:color w:val="auto"/>
                <w:sz w:val="24"/>
                <w:szCs w:val="24"/>
                <w:lang w:val="en-US" w:eastAsia="zh-CN"/>
              </w:rPr>
              <w:t>317.7</w:t>
            </w:r>
            <w:r>
              <w:rPr>
                <w:rFonts w:hint="default" w:ascii="Times New Roman" w:hAnsi="Times New Roman" w:cs="Times New Roman"/>
                <w:b w:val="0"/>
                <w:bCs w:val="0"/>
                <w:color w:val="auto"/>
                <w:sz w:val="24"/>
                <w:szCs w:val="24"/>
                <w:highlight w:val="none"/>
                <w:lang w:val="en-US" w:eastAsia="zh-CN"/>
              </w:rPr>
              <w:t>t/a</w:t>
            </w:r>
            <w:r>
              <w:rPr>
                <w:rFonts w:hint="eastAsia"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kern w:val="0"/>
                <w:sz w:val="24"/>
                <w:szCs w:val="24"/>
                <w:lang w:val="en-US" w:eastAsia="zh-CN" w:bidi="ar-SA"/>
              </w:rPr>
              <w:t>产生速率</w:t>
            </w:r>
            <w:r>
              <w:rPr>
                <w:rFonts w:hint="eastAsia" w:cs="Times New Roman"/>
                <w:b w:val="0"/>
                <w:bCs w:val="0"/>
                <w:color w:val="auto"/>
                <w:sz w:val="24"/>
                <w:szCs w:val="24"/>
                <w:highlight w:val="none"/>
                <w:lang w:val="en-US" w:eastAsia="zh-CN"/>
              </w:rPr>
              <w:t>144.4kg/h</w:t>
            </w:r>
            <w:r>
              <w:rPr>
                <w:rFonts w:hint="default" w:ascii="Times New Roman" w:hAnsi="Times New Roman" w:cs="Times New Roman"/>
                <w:b w:val="0"/>
                <w:bCs w:val="0"/>
                <w:color w:val="auto"/>
                <w:sz w:val="24"/>
                <w:szCs w:val="24"/>
                <w:lang w:val="en-US" w:eastAsia="zh-CN"/>
              </w:rPr>
              <w:t>。</w:t>
            </w:r>
          </w:p>
          <w:p>
            <w:pPr>
              <w:keepNext w:val="0"/>
              <w:keepLines w:val="0"/>
              <w:pageBreakBefore w:val="0"/>
              <w:kinsoku/>
              <w:wordWrap/>
              <w:overflowPunct/>
              <w:topLinePunct w:val="0"/>
              <w:bidi w:val="0"/>
              <w:adjustRightInd/>
              <w:snapToGrid/>
              <w:spacing w:line="360" w:lineRule="auto"/>
              <w:ind w:firstLine="482" w:firstLineChars="200"/>
              <w:textAlignment w:val="auto"/>
              <w:rPr>
                <w:rFonts w:hint="default" w:ascii="Times New Roman" w:hAnsi="Times New Roman" w:cs="Times New Roman"/>
                <w:b/>
                <w:bCs/>
                <w:color w:val="auto"/>
                <w:sz w:val="24"/>
                <w:szCs w:val="24"/>
                <w:lang w:val="en-US" w:eastAsia="zh-CN"/>
              </w:rPr>
            </w:pPr>
            <w:r>
              <w:rPr>
                <w:rFonts w:hint="default" w:ascii="Calibri" w:hAnsi="Calibri" w:cs="Calibri"/>
                <w:b/>
                <w:bCs/>
                <w:color w:val="auto"/>
                <w:sz w:val="24"/>
                <w:szCs w:val="24"/>
                <w:lang w:val="en-US" w:eastAsia="zh-CN"/>
              </w:rPr>
              <w:t>②</w:t>
            </w:r>
            <w:r>
              <w:rPr>
                <w:rFonts w:hint="eastAsia" w:cs="Times New Roman"/>
                <w:b/>
                <w:bCs/>
                <w:color w:val="auto"/>
                <w:sz w:val="24"/>
                <w:szCs w:val="24"/>
                <w:lang w:val="en-US" w:eastAsia="zh-CN"/>
              </w:rPr>
              <w:t>砂石料</w:t>
            </w:r>
            <w:r>
              <w:rPr>
                <w:rFonts w:hint="default" w:ascii="Times New Roman" w:hAnsi="Times New Roman" w:cs="Times New Roman"/>
                <w:b/>
                <w:bCs/>
                <w:color w:val="auto"/>
                <w:sz w:val="24"/>
                <w:szCs w:val="24"/>
                <w:lang w:val="en-US" w:eastAsia="zh-CN"/>
              </w:rPr>
              <w:t>装卸、堆存粉尘排放量</w:t>
            </w:r>
          </w:p>
          <w:p>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工业企业固体物料堆场颗粒物排放量核算公式如下：</w:t>
            </w:r>
          </w:p>
          <w:p>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inline distT="0" distB="0" distL="114300" distR="114300">
                  <wp:extent cx="2538730" cy="323215"/>
                  <wp:effectExtent l="0" t="0" r="13970" b="635"/>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18"/>
                          <a:stretch>
                            <a:fillRect/>
                          </a:stretch>
                        </pic:blipFill>
                        <pic:spPr>
                          <a:xfrm>
                            <a:off x="0" y="0"/>
                            <a:ext cx="2538730" cy="323215"/>
                          </a:xfrm>
                          <a:prstGeom prst="rect">
                            <a:avLst/>
                          </a:prstGeom>
                          <a:noFill/>
                          <a:ln>
                            <a:noFill/>
                          </a:ln>
                        </pic:spPr>
                      </pic:pic>
                    </a:graphicData>
                  </a:graphic>
                </wp:inline>
              </w:drawing>
            </w:r>
          </w:p>
          <w:p>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式中：P 指颗粒物产生量（单位：吨）；</w:t>
            </w:r>
          </w:p>
          <w:p>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Uc指颗粒物排放量（单位：吨）；</w:t>
            </w:r>
          </w:p>
          <w:p>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lang w:val="en-US" w:eastAsia="zh-CN"/>
              </w:rPr>
              <w:t>Cm指颗粒物控制措施控制效率（单位：%），根据附</w:t>
            </w:r>
            <w:r>
              <w:rPr>
                <w:rFonts w:hint="default" w:ascii="Times New Roman" w:hAnsi="Times New Roman" w:cs="Times New Roman"/>
                <w:color w:val="auto"/>
                <w:sz w:val="24"/>
                <w:szCs w:val="24"/>
                <w:highlight w:val="none"/>
                <w:lang w:val="en-US" w:eastAsia="zh-CN"/>
              </w:rPr>
              <w:t>录</w:t>
            </w:r>
            <w:r>
              <w:rPr>
                <w:rFonts w:hint="eastAsia"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洒水降尘74%</w:t>
            </w:r>
            <w:r>
              <w:rPr>
                <w:rFonts w:hint="default" w:ascii="Times New Roman" w:hAnsi="Times New Roman" w:cs="Times New Roman"/>
                <w:color w:val="auto"/>
                <w:sz w:val="24"/>
                <w:szCs w:val="24"/>
                <w:highlight w:val="none"/>
                <w:lang w:val="en-US" w:eastAsia="zh-CN"/>
              </w:rPr>
              <w:t>；</w:t>
            </w:r>
          </w:p>
          <w:p>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highlight w:val="none"/>
                <w:lang w:val="en-US" w:eastAsia="zh-CN"/>
              </w:rPr>
              <w:t>Tm指堆场类型控制效率（单位：%），根据附录5，</w:t>
            </w:r>
            <w:r>
              <w:rPr>
                <w:rFonts w:hint="eastAsia" w:cs="Times New Roman"/>
                <w:color w:val="auto"/>
                <w:sz w:val="24"/>
                <w:szCs w:val="24"/>
                <w:highlight w:val="none"/>
                <w:lang w:val="en-US" w:eastAsia="zh-CN"/>
              </w:rPr>
              <w:t>封闭式99</w:t>
            </w:r>
            <w:r>
              <w:rPr>
                <w:rFonts w:hint="default"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,a半敞开式60%</w:t>
            </w:r>
            <w:r>
              <w:rPr>
                <w:rFonts w:hint="default" w:ascii="Times New Roman" w:hAnsi="Times New Roman" w:cs="Times New Roman"/>
                <w:color w:val="auto"/>
                <w:sz w:val="24"/>
                <w:szCs w:val="24"/>
                <w:lang w:val="en-US" w:eastAsia="zh-CN"/>
              </w:rPr>
              <w:t>。</w:t>
            </w:r>
          </w:p>
          <w:p>
            <w:pPr>
              <w:keepNext w:val="0"/>
              <w:keepLines w:val="0"/>
              <w:pageBreakBefore w:val="0"/>
              <w:kinsoku/>
              <w:wordWrap/>
              <w:overflowPunct/>
              <w:topLinePunct w:val="0"/>
              <w:bidi w:val="0"/>
              <w:adjustRightInd/>
              <w:snapToGrid/>
              <w:spacing w:line="360" w:lineRule="auto"/>
              <w:ind w:firstLine="1680" w:firstLineChars="700"/>
              <w:textAlignment w:val="auto"/>
              <w:rPr>
                <w:rFonts w:hint="default" w:ascii="Times New Roman" w:hAnsi="Times New Roman" w:cs="Times New Roman"/>
                <w:color w:val="auto"/>
                <w:position w:val="-26"/>
                <w:sz w:val="24"/>
                <w:szCs w:val="24"/>
                <w:lang w:val="en-US" w:eastAsia="zh-CN"/>
              </w:rPr>
            </w:pPr>
            <w:r>
              <w:rPr>
                <w:rFonts w:hint="default" w:ascii="Times New Roman" w:hAnsi="Times New Roman" w:cs="Times New Roman"/>
                <w:color w:val="auto"/>
                <w:position w:val="-28"/>
                <w:sz w:val="24"/>
                <w:szCs w:val="24"/>
                <w:lang w:val="en-US" w:eastAsia="zh-CN"/>
              </w:rPr>
              <w:object>
                <v:shape id="_x0000_i1027" o:spt="75" type="#_x0000_t75" style="height:39.1pt;width:232.15pt;" o:ole="t" filled="f" o:preferrelative="t" stroked="f" coordsize="21600,21600">
                  <v:path/>
                  <v:fill on="f" focussize="0,0"/>
                  <v:stroke on="f"/>
                  <v:imagedata r:id="rId20" o:title=""/>
                  <o:lock v:ext="edit" aspectratio="t"/>
                  <w10:wrap type="none"/>
                  <w10:anchorlock/>
                </v:shape>
                <o:OLEObject Type="Embed" ProgID="Equation.KSEE3" ShapeID="_x0000_i1027" DrawAspect="Content" ObjectID="_1468075727" r:id="rId19">
                  <o:LockedField>false</o:LockedField>
                </o:OLEObject>
              </w:object>
            </w:r>
          </w:p>
          <w:p>
            <w:pPr>
              <w:pStyle w:val="22"/>
              <w:ind w:firstLine="1200" w:firstLineChars="500"/>
              <w:rPr>
                <w:rFonts w:hint="default"/>
                <w:color w:val="auto"/>
                <w:lang w:val="en-US" w:eastAsia="zh-CN"/>
              </w:rPr>
            </w:pPr>
            <w:r>
              <w:rPr>
                <w:rFonts w:hint="default" w:ascii="Times New Roman" w:hAnsi="Times New Roman" w:cs="Times New Roman"/>
                <w:color w:val="auto"/>
                <w:position w:val="-28"/>
                <w:sz w:val="24"/>
                <w:szCs w:val="24"/>
                <w:lang w:val="en-US" w:eastAsia="zh-CN"/>
              </w:rPr>
              <w:object>
                <v:shape id="_x0000_i1028" o:spt="75" type="#_x0000_t75" style="height:39.1pt;width:201.15pt;" o:ole="t" filled="f" o:preferrelative="t" stroked="f" coordsize="21600,21600">
                  <v:path/>
                  <v:fill on="f" focussize="0,0"/>
                  <v:stroke on="f"/>
                  <v:imagedata r:id="rId22" o:title=""/>
                  <o:lock v:ext="edit" aspectratio="t"/>
                  <w10:wrap type="none"/>
                  <w10:anchorlock/>
                </v:shape>
                <o:OLEObject Type="Embed" ProgID="Equation.KSEE3" ShapeID="_x0000_i1028" DrawAspect="Content" ObjectID="_1468075728" r:id="rId21">
                  <o:LockedField>false</o:LockedField>
                </o:OLEObject>
              </w:object>
            </w:r>
          </w:p>
          <w:p>
            <w:pPr>
              <w:keepNext w:val="0"/>
              <w:keepLines w:val="0"/>
              <w:pageBreakBefore w:val="0"/>
              <w:kinsoku/>
              <w:wordWrap/>
              <w:overflowPunct/>
              <w:topLinePunct w:val="0"/>
              <w:bidi w:val="0"/>
              <w:adjustRightInd/>
              <w:snapToGrid/>
              <w:spacing w:line="360" w:lineRule="auto"/>
              <w:ind w:firstLine="480" w:firstLineChars="200"/>
              <w:textAlignment w:val="auto"/>
              <w:rPr>
                <w:rFonts w:hint="default"/>
                <w:b w:val="0"/>
                <w:bCs w:val="0"/>
                <w:color w:val="auto"/>
                <w:lang w:val="en-US" w:eastAsia="zh-CN"/>
              </w:rPr>
            </w:pPr>
            <w:r>
              <w:rPr>
                <w:rFonts w:hint="default" w:ascii="Times New Roman" w:hAnsi="Times New Roman" w:cs="Times New Roman"/>
                <w:b w:val="0"/>
                <w:bCs w:val="0"/>
                <w:color w:val="auto"/>
                <w:sz w:val="24"/>
                <w:szCs w:val="24"/>
                <w:lang w:val="en-US" w:eastAsia="zh-CN"/>
              </w:rPr>
              <w:t>则项目砂石料堆场</w:t>
            </w:r>
            <w:r>
              <w:rPr>
                <w:rFonts w:hint="default" w:ascii="Times New Roman" w:hAnsi="Times New Roman" w:cs="Times New Roman"/>
                <w:b w:val="0"/>
                <w:bCs w:val="0"/>
                <w:color w:val="auto"/>
                <w:sz w:val="24"/>
                <w:szCs w:val="24"/>
                <w:highlight w:val="none"/>
                <w:lang w:eastAsia="zh-CN"/>
              </w:rPr>
              <w:t>扬尘</w:t>
            </w:r>
            <w:r>
              <w:rPr>
                <w:rFonts w:hint="eastAsia" w:cs="Times New Roman"/>
                <w:b w:val="0"/>
                <w:bCs w:val="0"/>
                <w:color w:val="auto"/>
                <w:sz w:val="24"/>
                <w:szCs w:val="24"/>
                <w:highlight w:val="none"/>
                <w:lang w:val="en-US" w:eastAsia="zh-CN"/>
              </w:rPr>
              <w:t>无组织</w:t>
            </w:r>
            <w:r>
              <w:rPr>
                <w:rFonts w:hint="default" w:ascii="Times New Roman" w:hAnsi="Times New Roman" w:cs="Times New Roman"/>
                <w:b w:val="0"/>
                <w:bCs w:val="0"/>
                <w:color w:val="auto"/>
                <w:sz w:val="24"/>
                <w:szCs w:val="24"/>
                <w:highlight w:val="none"/>
                <w:lang w:val="en-US" w:eastAsia="zh-CN"/>
              </w:rPr>
              <w:t>排放量为</w:t>
            </w:r>
            <w:r>
              <w:rPr>
                <w:rFonts w:hint="eastAsia" w:cs="Times New Roman"/>
                <w:b w:val="0"/>
                <w:bCs w:val="0"/>
                <w:color w:val="auto"/>
                <w:sz w:val="24"/>
                <w:szCs w:val="24"/>
                <w:highlight w:val="none"/>
                <w:lang w:val="en-US" w:eastAsia="zh-CN"/>
              </w:rPr>
              <w:t>8.37</w:t>
            </w:r>
            <w:r>
              <w:rPr>
                <w:rFonts w:hint="default" w:ascii="Times New Roman" w:hAnsi="Times New Roman" w:cs="Times New Roman"/>
                <w:b w:val="0"/>
                <w:bCs w:val="0"/>
                <w:color w:val="auto"/>
                <w:sz w:val="24"/>
                <w:szCs w:val="24"/>
                <w:highlight w:val="none"/>
                <w:lang w:val="en-US" w:eastAsia="zh-CN"/>
              </w:rPr>
              <w:t>t/a，</w:t>
            </w:r>
            <w:r>
              <w:rPr>
                <w:rFonts w:hint="eastAsia" w:ascii="Times New Roman" w:hAnsi="Times New Roman" w:eastAsia="宋体" w:cs="Times New Roman"/>
                <w:b w:val="0"/>
                <w:bCs w:val="0"/>
                <w:color w:val="auto"/>
                <w:kern w:val="0"/>
                <w:sz w:val="24"/>
                <w:szCs w:val="24"/>
                <w:lang w:val="en-US" w:eastAsia="zh-CN" w:bidi="ar-SA"/>
              </w:rPr>
              <w:t>排放速率</w:t>
            </w:r>
            <w:r>
              <w:rPr>
                <w:rFonts w:hint="eastAsia" w:cs="Times New Roman"/>
                <w:b w:val="0"/>
                <w:bCs w:val="0"/>
                <w:color w:val="auto"/>
                <w:sz w:val="24"/>
                <w:szCs w:val="24"/>
                <w:highlight w:val="none"/>
                <w:lang w:val="en-US" w:eastAsia="zh-CN"/>
              </w:rPr>
              <w:t>3.80kg/h</w:t>
            </w:r>
            <w:r>
              <w:rPr>
                <w:rFonts w:hint="default" w:ascii="Times New Roman" w:hAnsi="Times New Roman" w:cs="Times New Roman"/>
                <w:b w:val="0"/>
                <w:bCs w:val="0"/>
                <w:color w:val="auto"/>
                <w:sz w:val="24"/>
                <w:szCs w:val="24"/>
                <w:highlight w:val="none"/>
                <w:lang w:val="en-US" w:eastAsia="zh-CN"/>
              </w:rPr>
              <w:t>。</w:t>
            </w:r>
          </w:p>
          <w:p>
            <w:pPr>
              <w:keepNext w:val="0"/>
              <w:keepLines w:val="0"/>
              <w:widowControl/>
              <w:suppressLineNumbers w:val="0"/>
              <w:jc w:val="left"/>
              <w:rPr>
                <w:rFonts w:hint="default" w:ascii="Times New Roman" w:hAnsi="Times New Roman" w:eastAsia="宋体" w:cs="Times New Roman"/>
                <w:b/>
                <w:bCs/>
                <w:color w:val="auto"/>
                <w:kern w:val="0"/>
                <w:sz w:val="24"/>
                <w:szCs w:val="24"/>
                <w:lang w:val="en-US" w:eastAsia="zh-CN" w:bidi="ar"/>
              </w:rPr>
            </w:pPr>
            <w:r>
              <w:rPr>
                <w:rFonts w:hint="eastAsia" w:cs="Times New Roman"/>
                <w:b/>
                <w:bCs/>
                <w:color w:val="auto"/>
                <w:kern w:val="0"/>
                <w:sz w:val="24"/>
                <w:szCs w:val="24"/>
                <w:lang w:val="en-US" w:eastAsia="zh-CN" w:bidi="ar"/>
              </w:rPr>
              <w:t>（4）水稳站投料、输送、计量粉尘</w:t>
            </w:r>
          </w:p>
          <w:p>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项目原料在场内投料、输送、计量配料过程中有一定的无组织粉尘排放。参考《北京市混凝土搅拌站扬尘排放因子及排放清单》</w:t>
            </w:r>
            <w:r>
              <w:rPr>
                <w:rFonts w:hint="eastAsia" w:cs="Times New Roman"/>
                <w:color w:val="auto"/>
                <w:kern w:val="0"/>
                <w:sz w:val="24"/>
                <w:szCs w:val="24"/>
                <w:lang w:val="en-US" w:eastAsia="zh-CN"/>
              </w:rPr>
              <w:t>（</w:t>
            </w:r>
            <w:r>
              <w:rPr>
                <w:rFonts w:hint="eastAsia" w:ascii="Times New Roman" w:hAnsi="Times New Roman" w:eastAsia="宋体" w:cs="Times New Roman"/>
                <w:color w:val="auto"/>
                <w:kern w:val="0"/>
                <w:sz w:val="24"/>
                <w:szCs w:val="24"/>
                <w:lang w:val="en-US" w:eastAsia="zh-CN"/>
              </w:rPr>
              <w:t>中国环境科学2017.37(10):3699~3707</w:t>
            </w:r>
            <w:r>
              <w:rPr>
                <w:rFonts w:hint="eastAsia" w:cs="Times New Roman"/>
                <w:color w:val="auto"/>
                <w:kern w:val="0"/>
                <w:sz w:val="24"/>
                <w:szCs w:val="24"/>
                <w:lang w:val="en-US" w:eastAsia="zh-CN"/>
              </w:rPr>
              <w:t>）</w:t>
            </w:r>
            <w:r>
              <w:rPr>
                <w:rFonts w:hint="eastAsia" w:ascii="Times New Roman" w:hAnsi="Times New Roman" w:eastAsia="宋体" w:cs="Times New Roman"/>
                <w:color w:val="auto"/>
                <w:kern w:val="0"/>
                <w:sz w:val="24"/>
                <w:szCs w:val="24"/>
                <w:lang w:val="en-US" w:eastAsia="zh-CN"/>
              </w:rPr>
              <w:t>表3凝站各环节无控制措施扬排放因子进行核算扬尘产生源强，碎石仓库卸料、配料地仓进料、皮带输送环节的粉尘产生量均按0.0035kg/t</w:t>
            </w:r>
            <w:r>
              <w:rPr>
                <w:rFonts w:hint="eastAsia" w:cs="Times New Roman"/>
                <w:color w:val="auto"/>
                <w:kern w:val="0"/>
                <w:sz w:val="24"/>
                <w:szCs w:val="24"/>
                <w:lang w:val="en-US" w:eastAsia="zh-CN"/>
              </w:rPr>
              <w:t>（</w:t>
            </w:r>
            <w:r>
              <w:rPr>
                <w:rFonts w:hint="eastAsia" w:ascii="Times New Roman" w:hAnsi="Times New Roman" w:eastAsia="宋体" w:cs="Times New Roman"/>
                <w:color w:val="auto"/>
                <w:kern w:val="0"/>
                <w:sz w:val="24"/>
                <w:szCs w:val="24"/>
                <w:lang w:val="en-US" w:eastAsia="zh-CN"/>
              </w:rPr>
              <w:t>碎石</w:t>
            </w:r>
            <w:r>
              <w:rPr>
                <w:rFonts w:hint="eastAsia" w:cs="Times New Roman"/>
                <w:color w:val="auto"/>
                <w:kern w:val="0"/>
                <w:sz w:val="24"/>
                <w:szCs w:val="24"/>
                <w:lang w:val="en-US" w:eastAsia="zh-CN"/>
              </w:rPr>
              <w:t>）</w:t>
            </w:r>
            <w:r>
              <w:rPr>
                <w:rFonts w:hint="eastAsia" w:ascii="Times New Roman" w:hAnsi="Times New Roman" w:eastAsia="宋体" w:cs="Times New Roman"/>
                <w:color w:val="auto"/>
                <w:kern w:val="0"/>
                <w:sz w:val="24"/>
                <w:szCs w:val="24"/>
                <w:lang w:val="en-US" w:eastAsia="zh-CN"/>
              </w:rPr>
              <w:t>计算，</w:t>
            </w:r>
            <w:r>
              <w:rPr>
                <w:rFonts w:hint="eastAsia" w:cs="Times New Roman"/>
                <w:color w:val="auto"/>
                <w:kern w:val="0"/>
                <w:sz w:val="24"/>
                <w:szCs w:val="24"/>
                <w:lang w:val="en-US" w:eastAsia="zh-CN"/>
              </w:rPr>
              <w:t>本项目水稳站消耗碎石、砂子共9.7万吨，</w:t>
            </w:r>
            <w:r>
              <w:rPr>
                <w:rFonts w:hint="eastAsia" w:ascii="Times New Roman" w:hAnsi="Times New Roman" w:eastAsia="宋体" w:cs="Times New Roman"/>
                <w:color w:val="auto"/>
                <w:kern w:val="0"/>
                <w:sz w:val="24"/>
                <w:szCs w:val="24"/>
                <w:lang w:val="en-US" w:eastAsia="zh-CN"/>
              </w:rPr>
              <w:t>本项目</w:t>
            </w:r>
            <w:r>
              <w:rPr>
                <w:rFonts w:hint="eastAsia" w:cs="Times New Roman"/>
                <w:color w:val="auto"/>
                <w:kern w:val="0"/>
                <w:sz w:val="24"/>
                <w:szCs w:val="24"/>
                <w:lang w:val="en-US" w:eastAsia="zh-CN"/>
              </w:rPr>
              <w:t>水稳站</w:t>
            </w:r>
            <w:r>
              <w:rPr>
                <w:rFonts w:hint="eastAsia" w:ascii="Times New Roman" w:hAnsi="Times New Roman" w:eastAsia="宋体" w:cs="Times New Roman"/>
                <w:color w:val="auto"/>
                <w:kern w:val="0"/>
                <w:sz w:val="24"/>
                <w:szCs w:val="24"/>
                <w:lang w:val="en-US" w:eastAsia="zh-CN"/>
              </w:rPr>
              <w:t>在投料、输送、计量过程产生的粉尘量约为0.3</w:t>
            </w:r>
            <w:r>
              <w:rPr>
                <w:rFonts w:hint="eastAsia" w:cs="Times New Roman"/>
                <w:color w:val="auto"/>
                <w:kern w:val="0"/>
                <w:sz w:val="24"/>
                <w:szCs w:val="24"/>
                <w:lang w:val="en-US" w:eastAsia="zh-CN"/>
              </w:rPr>
              <w:t>39</w:t>
            </w:r>
            <w:r>
              <w:rPr>
                <w:rFonts w:hint="eastAsia" w:ascii="Times New Roman" w:hAnsi="Times New Roman" w:eastAsia="宋体" w:cs="Times New Roman"/>
                <w:color w:val="auto"/>
                <w:kern w:val="0"/>
                <w:sz w:val="24"/>
                <w:szCs w:val="24"/>
                <w:lang w:val="en-US" w:eastAsia="zh-CN"/>
              </w:rPr>
              <w:t>t/a</w:t>
            </w:r>
            <w:r>
              <w:rPr>
                <w:rFonts w:hint="eastAsia" w:cs="Times New Roman"/>
                <w:color w:val="auto"/>
                <w:kern w:val="0"/>
                <w:sz w:val="24"/>
                <w:szCs w:val="24"/>
                <w:lang w:val="en-US" w:eastAsia="zh-CN"/>
              </w:rPr>
              <w:t>，产生速率0.154kg/h</w:t>
            </w:r>
            <w:r>
              <w:rPr>
                <w:rFonts w:hint="eastAsia" w:ascii="Times New Roman" w:hAnsi="Times New Roman" w:eastAsia="宋体" w:cs="Times New Roman"/>
                <w:color w:val="auto"/>
                <w:kern w:val="0"/>
                <w:sz w:val="24"/>
                <w:szCs w:val="24"/>
                <w:lang w:val="en-US" w:eastAsia="zh-CN"/>
              </w:rPr>
              <w:t>。</w:t>
            </w:r>
          </w:p>
          <w:p>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防治措施</w:t>
            </w:r>
            <w:r>
              <w:rPr>
                <w:rFonts w:hint="eastAsia" w:cs="Times New Roman"/>
                <w:color w:val="auto"/>
                <w:kern w:val="0"/>
                <w:sz w:val="24"/>
                <w:szCs w:val="24"/>
                <w:lang w:val="en-US" w:eastAsia="zh-CN"/>
              </w:rPr>
              <w:t>：</w:t>
            </w:r>
            <w:r>
              <w:rPr>
                <w:rFonts w:hint="eastAsia" w:ascii="Times New Roman" w:hAnsi="Times New Roman" w:eastAsia="宋体" w:cs="Times New Roman"/>
                <w:color w:val="auto"/>
                <w:kern w:val="0"/>
                <w:sz w:val="24"/>
                <w:szCs w:val="24"/>
                <w:lang w:val="en-US" w:eastAsia="zh-CN"/>
              </w:rPr>
              <w:t>本项目采取的污染防治措施为</w:t>
            </w:r>
            <w:r>
              <w:rPr>
                <w:rFonts w:hint="eastAsia" w:cs="Times New Roman"/>
                <w:color w:val="auto"/>
                <w:kern w:val="0"/>
                <w:sz w:val="24"/>
                <w:szCs w:val="24"/>
                <w:lang w:val="en-US" w:eastAsia="zh-CN"/>
              </w:rPr>
              <w:t>：</w:t>
            </w:r>
            <w:r>
              <w:rPr>
                <w:rFonts w:hint="eastAsia" w:ascii="Times New Roman" w:hAnsi="Times New Roman" w:eastAsia="宋体" w:cs="Times New Roman"/>
                <w:color w:val="auto"/>
                <w:kern w:val="0"/>
                <w:sz w:val="24"/>
                <w:szCs w:val="24"/>
                <w:lang w:val="en-US" w:eastAsia="zh-CN"/>
              </w:rPr>
              <w:t>底料中水泥由螺旋输送泵直接送至水泥配料斗，石子用铲车输送至料斗，生产中所用各原料按照配比计量后，通过传送带运至搅拌机</w:t>
            </w:r>
            <w:r>
              <w:rPr>
                <w:rFonts w:hint="eastAsia" w:cs="Times New Roman"/>
                <w:color w:val="auto"/>
                <w:kern w:val="0"/>
                <w:sz w:val="24"/>
                <w:szCs w:val="24"/>
                <w:lang w:val="en-US" w:eastAsia="zh-CN"/>
              </w:rPr>
              <w:t>（</w:t>
            </w:r>
            <w:r>
              <w:rPr>
                <w:rFonts w:hint="eastAsia" w:ascii="Times New Roman" w:hAnsi="Times New Roman" w:eastAsia="宋体" w:cs="Times New Roman"/>
                <w:color w:val="auto"/>
                <w:kern w:val="0"/>
                <w:sz w:val="24"/>
                <w:szCs w:val="24"/>
                <w:lang w:val="en-US" w:eastAsia="zh-CN"/>
              </w:rPr>
              <w:t>车间内</w:t>
            </w:r>
            <w:r>
              <w:rPr>
                <w:rFonts w:hint="eastAsia" w:cs="Times New Roman"/>
                <w:color w:val="auto"/>
                <w:kern w:val="0"/>
                <w:sz w:val="24"/>
                <w:szCs w:val="24"/>
                <w:lang w:val="en-US" w:eastAsia="zh-CN"/>
              </w:rPr>
              <w:t>）</w:t>
            </w:r>
            <w:r>
              <w:rPr>
                <w:rFonts w:hint="eastAsia" w:ascii="Times New Roman" w:hAnsi="Times New Roman" w:eastAsia="宋体" w:cs="Times New Roman"/>
                <w:color w:val="auto"/>
                <w:kern w:val="0"/>
                <w:sz w:val="24"/>
                <w:szCs w:val="24"/>
                <w:lang w:val="en-US" w:eastAsia="zh-CN"/>
              </w:rPr>
              <w:t>入料口。石子和水泥累计自动计量配料后由输送系统自动输送的方式进入搅拌机入料口。通过封闭式厂房的阻隔、沉降作用减少投料工序产生的粉尘。环评要求对车间密闭，皮带进行封闭，车间内安装喷淋雾化装置和雾炮机、洒水抑尘，减少无组织粉尘排放，处理效率</w:t>
            </w:r>
            <w:r>
              <w:rPr>
                <w:rFonts w:hint="eastAsia" w:cs="Times New Roman"/>
                <w:color w:val="auto"/>
                <w:kern w:val="0"/>
                <w:sz w:val="24"/>
                <w:szCs w:val="24"/>
                <w:lang w:val="en-US" w:eastAsia="zh-CN"/>
              </w:rPr>
              <w:t>8</w:t>
            </w:r>
            <w:r>
              <w:rPr>
                <w:rFonts w:hint="eastAsia" w:ascii="Times New Roman" w:hAnsi="Times New Roman" w:eastAsia="宋体" w:cs="Times New Roman"/>
                <w:color w:val="auto"/>
                <w:kern w:val="0"/>
                <w:sz w:val="24"/>
                <w:szCs w:val="24"/>
                <w:lang w:val="en-US" w:eastAsia="zh-CN"/>
              </w:rPr>
              <w:t>0%。经采取以上措施后，投料、输送、计量过程粉尘的排放量约为</w:t>
            </w:r>
            <w:r>
              <w:rPr>
                <w:rFonts w:hint="eastAsia" w:cs="Times New Roman"/>
                <w:color w:val="auto"/>
                <w:kern w:val="0"/>
                <w:sz w:val="24"/>
                <w:szCs w:val="24"/>
                <w:lang w:val="en-US" w:eastAsia="zh-CN"/>
              </w:rPr>
              <w:t>0.068</w:t>
            </w:r>
            <w:r>
              <w:rPr>
                <w:rFonts w:hint="eastAsia" w:ascii="Times New Roman" w:hAnsi="Times New Roman" w:eastAsia="宋体" w:cs="Times New Roman"/>
                <w:color w:val="auto"/>
                <w:kern w:val="0"/>
                <w:sz w:val="24"/>
                <w:szCs w:val="24"/>
                <w:lang w:val="en-US" w:eastAsia="zh-CN"/>
              </w:rPr>
              <w:t>t/a</w:t>
            </w:r>
            <w:r>
              <w:rPr>
                <w:rFonts w:hint="eastAsia" w:cs="Times New Roman"/>
                <w:color w:val="auto"/>
                <w:kern w:val="0"/>
                <w:sz w:val="24"/>
                <w:szCs w:val="24"/>
                <w:lang w:val="en-US" w:eastAsia="zh-CN"/>
              </w:rPr>
              <w:t>，排放速率0.031kg/h</w:t>
            </w:r>
            <w:r>
              <w:rPr>
                <w:rFonts w:hint="eastAsia" w:ascii="Times New Roman" w:hAnsi="Times New Roman" w:eastAsia="宋体" w:cs="Times New Roman"/>
                <w:color w:val="auto"/>
                <w:kern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left"/>
              <w:textAlignment w:val="auto"/>
              <w:rPr>
                <w:rFonts w:hint="default" w:ascii="Times New Roman" w:hAnsi="Times New Roman" w:eastAsia="宋体" w:cs="Times New Roman"/>
                <w:b/>
                <w:bCs/>
                <w:color w:val="000000"/>
                <w:sz w:val="24"/>
                <w:szCs w:val="24"/>
                <w:lang w:val="en-US" w:eastAsia="zh-CN"/>
              </w:rPr>
            </w:pPr>
            <w:r>
              <w:rPr>
                <w:rFonts w:hint="eastAsia" w:cs="Times New Roman"/>
                <w:b/>
                <w:bCs/>
                <w:color w:val="000000"/>
                <w:sz w:val="24"/>
                <w:szCs w:val="24"/>
                <w:lang w:val="en-US" w:eastAsia="zh-CN"/>
              </w:rPr>
              <w:t>（5）</w:t>
            </w:r>
            <w:r>
              <w:rPr>
                <w:rFonts w:hint="default" w:ascii="Times New Roman" w:hAnsi="Times New Roman" w:eastAsia="宋体" w:cs="Times New Roman"/>
                <w:b/>
                <w:bCs/>
                <w:color w:val="000000"/>
                <w:sz w:val="24"/>
                <w:szCs w:val="24"/>
                <w:lang w:val="en-US" w:eastAsia="zh-CN"/>
              </w:rPr>
              <w:t>运输废气</w:t>
            </w:r>
          </w:p>
          <w:p>
            <w:pPr>
              <w:autoSpaceDE w:val="0"/>
              <w:autoSpaceDN w:val="0"/>
              <w:adjustRightInd w:val="0"/>
              <w:snapToGrid w:val="0"/>
              <w:spacing w:line="360" w:lineRule="auto"/>
              <w:ind w:firstLine="480" w:firstLineChars="200"/>
              <w:rPr>
                <w:rFonts w:ascii="Times New Roman" w:hAnsi="Times New Roman" w:eastAsia="宋体" w:cs="Times New Roman"/>
                <w:color w:val="auto"/>
                <w:kern w:val="0"/>
                <w:sz w:val="24"/>
              </w:rPr>
            </w:pPr>
            <w:r>
              <w:rPr>
                <w:rFonts w:ascii="Times New Roman" w:hAnsi="Times New Roman" w:eastAsia="宋体" w:cs="Times New Roman"/>
                <w:color w:val="auto"/>
                <w:kern w:val="0"/>
                <w:sz w:val="24"/>
              </w:rPr>
              <w:t>汽车道路扬尘量按经验公式估算：</w:t>
            </w:r>
          </w:p>
          <w:p>
            <w:pPr>
              <w:widowControl/>
              <w:jc w:val="center"/>
              <w:rPr>
                <w:color w:val="auto"/>
              </w:rPr>
            </w:pPr>
            <w:r>
              <w:rPr>
                <w:color w:val="auto"/>
                <w:kern w:val="0"/>
                <w:sz w:val="24"/>
              </w:rPr>
              <w:drawing>
                <wp:inline distT="0" distB="0" distL="114300" distR="114300">
                  <wp:extent cx="2115820" cy="547370"/>
                  <wp:effectExtent l="0" t="0" r="17780" b="5080"/>
                  <wp:docPr id="17" name="图片 3" descr="IMG_256"/>
                  <wp:cNvGraphicFramePr/>
                  <a:graphic xmlns:a="http://schemas.openxmlformats.org/drawingml/2006/main">
                    <a:graphicData uri="http://schemas.openxmlformats.org/drawingml/2006/picture">
                      <pic:pic xmlns:pic="http://schemas.openxmlformats.org/drawingml/2006/picture">
                        <pic:nvPicPr>
                          <pic:cNvPr id="17" name="图片 3" descr="IMG_256"/>
                          <pic:cNvPicPr/>
                        </pic:nvPicPr>
                        <pic:blipFill>
                          <a:blip r:embed="rId23"/>
                          <a:stretch>
                            <a:fillRect/>
                          </a:stretch>
                        </pic:blipFill>
                        <pic:spPr>
                          <a:xfrm>
                            <a:off x="0" y="0"/>
                            <a:ext cx="2115820" cy="547370"/>
                          </a:xfrm>
                          <a:prstGeom prst="rect">
                            <a:avLst/>
                          </a:prstGeom>
                          <a:noFill/>
                          <a:ln>
                            <a:noFill/>
                          </a:ln>
                        </pic:spPr>
                      </pic:pic>
                    </a:graphicData>
                  </a:graphic>
                </wp:inline>
              </w:drawing>
            </w:r>
          </w:p>
          <w:p>
            <w:pPr>
              <w:snapToGrid w:val="0"/>
              <w:spacing w:line="360" w:lineRule="auto"/>
              <w:ind w:firstLine="480" w:firstLineChars="200"/>
              <w:rPr>
                <w:bCs/>
                <w:color w:val="auto"/>
                <w:kern w:val="24"/>
                <w:sz w:val="24"/>
              </w:rPr>
            </w:pPr>
            <w:r>
              <w:rPr>
                <w:bCs/>
                <w:color w:val="auto"/>
                <w:kern w:val="24"/>
                <w:sz w:val="24"/>
              </w:rPr>
              <w:t>式中：Q</w:t>
            </w:r>
            <w:r>
              <w:rPr>
                <w:rFonts w:hint="eastAsia"/>
                <w:bCs/>
                <w:color w:val="auto"/>
                <w:kern w:val="24"/>
                <w:sz w:val="24"/>
              </w:rPr>
              <w:t>--</w:t>
            </w:r>
            <w:r>
              <w:rPr>
                <w:bCs/>
                <w:color w:val="auto"/>
                <w:kern w:val="24"/>
                <w:sz w:val="24"/>
              </w:rPr>
              <w:t xml:space="preserve"> 汽车行驶的扬尘量，kg/km</w:t>
            </w:r>
            <w:r>
              <w:rPr>
                <w:rFonts w:hint="eastAsia"/>
                <w:bCs/>
                <w:color w:val="auto"/>
                <w:kern w:val="24"/>
                <w:sz w:val="24"/>
                <w:lang w:val="en-US" w:eastAsia="zh-CN"/>
              </w:rPr>
              <w:t>辆</w:t>
            </w:r>
            <w:r>
              <w:rPr>
                <w:bCs/>
                <w:color w:val="auto"/>
                <w:kern w:val="24"/>
                <w:sz w:val="24"/>
              </w:rPr>
              <w:t>；</w:t>
            </w:r>
          </w:p>
          <w:p>
            <w:pPr>
              <w:snapToGrid w:val="0"/>
              <w:spacing w:line="360" w:lineRule="auto"/>
              <w:ind w:firstLine="1200" w:firstLineChars="500"/>
              <w:rPr>
                <w:bCs/>
                <w:color w:val="auto"/>
                <w:kern w:val="24"/>
                <w:sz w:val="24"/>
              </w:rPr>
            </w:pPr>
            <w:r>
              <w:rPr>
                <w:bCs/>
                <w:color w:val="auto"/>
                <w:kern w:val="24"/>
                <w:sz w:val="24"/>
              </w:rPr>
              <w:t>V</w:t>
            </w:r>
            <w:r>
              <w:rPr>
                <w:rFonts w:hint="eastAsia"/>
                <w:bCs/>
                <w:color w:val="auto"/>
                <w:kern w:val="24"/>
                <w:sz w:val="24"/>
              </w:rPr>
              <w:t>--</w:t>
            </w:r>
            <w:r>
              <w:rPr>
                <w:bCs/>
                <w:color w:val="auto"/>
                <w:kern w:val="24"/>
                <w:sz w:val="24"/>
              </w:rPr>
              <w:t xml:space="preserve"> 汽车速度，km/h；</w:t>
            </w:r>
          </w:p>
          <w:p>
            <w:pPr>
              <w:snapToGrid w:val="0"/>
              <w:spacing w:line="360" w:lineRule="auto"/>
              <w:ind w:firstLine="1200" w:firstLineChars="500"/>
              <w:rPr>
                <w:bCs/>
                <w:color w:val="auto"/>
                <w:kern w:val="24"/>
                <w:sz w:val="24"/>
              </w:rPr>
            </w:pPr>
            <w:r>
              <w:rPr>
                <w:bCs/>
                <w:color w:val="auto"/>
                <w:kern w:val="24"/>
                <w:sz w:val="24"/>
              </w:rPr>
              <w:t>W</w:t>
            </w:r>
            <w:r>
              <w:rPr>
                <w:rFonts w:hint="eastAsia"/>
                <w:bCs/>
                <w:color w:val="auto"/>
                <w:kern w:val="24"/>
                <w:sz w:val="24"/>
              </w:rPr>
              <w:t>--</w:t>
            </w:r>
            <w:r>
              <w:rPr>
                <w:bCs/>
                <w:color w:val="auto"/>
                <w:kern w:val="24"/>
                <w:sz w:val="24"/>
              </w:rPr>
              <w:t xml:space="preserve"> 汽车载重量，t；</w:t>
            </w:r>
          </w:p>
          <w:p>
            <w:pPr>
              <w:snapToGrid w:val="0"/>
              <w:spacing w:line="360" w:lineRule="auto"/>
              <w:ind w:firstLine="1200" w:firstLineChars="500"/>
              <w:rPr>
                <w:rFonts w:hint="eastAsia"/>
                <w:bCs/>
                <w:color w:val="auto"/>
                <w:kern w:val="24"/>
                <w:sz w:val="24"/>
                <w:lang w:eastAsia="zh-CN"/>
              </w:rPr>
            </w:pPr>
            <w:r>
              <w:rPr>
                <w:bCs/>
                <w:color w:val="auto"/>
                <w:kern w:val="24"/>
                <w:sz w:val="24"/>
              </w:rPr>
              <w:t>P</w:t>
            </w:r>
            <w:r>
              <w:rPr>
                <w:rFonts w:hint="eastAsia"/>
                <w:bCs/>
                <w:color w:val="auto"/>
                <w:kern w:val="24"/>
                <w:sz w:val="24"/>
              </w:rPr>
              <w:t>--</w:t>
            </w:r>
            <w:r>
              <w:rPr>
                <w:bCs/>
                <w:color w:val="auto"/>
                <w:kern w:val="24"/>
                <w:sz w:val="24"/>
              </w:rPr>
              <w:t xml:space="preserve"> 道路表面粉尘量，kg/m</w:t>
            </w:r>
            <w:r>
              <w:rPr>
                <w:bCs/>
                <w:color w:val="auto"/>
                <w:kern w:val="24"/>
                <w:sz w:val="24"/>
                <w:vertAlign w:val="superscript"/>
              </w:rPr>
              <w:t>2</w:t>
            </w:r>
            <w:r>
              <w:rPr>
                <w:rFonts w:hint="eastAsia"/>
                <w:bCs/>
                <w:color w:val="auto"/>
                <w:kern w:val="24"/>
                <w:sz w:val="24"/>
                <w:lang w:eastAsia="zh-CN"/>
              </w:rPr>
              <w:t>；</w:t>
            </w:r>
          </w:p>
          <w:p>
            <w:pPr>
              <w:pStyle w:val="12"/>
              <w:widowControl w:val="0"/>
              <w:snapToGrid/>
              <w:ind w:firstLine="480" w:firstLineChars="200"/>
              <w:rPr>
                <w:color w:val="auto"/>
              </w:rPr>
            </w:pPr>
            <w:r>
              <w:rPr>
                <w:rFonts w:ascii="Times New Roman" w:hAnsi="Times New Roman" w:eastAsia="宋体" w:cs="Times New Roman"/>
                <w:color w:val="auto"/>
                <w:kern w:val="0"/>
                <w:sz w:val="24"/>
                <w:szCs w:val="24"/>
                <w:lang w:val="en-US" w:eastAsia="zh-CN" w:bidi="ar-SA"/>
              </w:rPr>
              <w:t>由上述计算公式计算，汽车行驶过程中扬尘量的预测结果见表</w:t>
            </w:r>
            <w:r>
              <w:rPr>
                <w:rFonts w:hint="eastAsia" w:ascii="Times New Roman" w:hAnsi="Times New Roman" w:eastAsia="宋体" w:cs="Times New Roman"/>
                <w:color w:val="auto"/>
                <w:kern w:val="0"/>
                <w:sz w:val="24"/>
                <w:szCs w:val="24"/>
                <w:lang w:val="en-US" w:eastAsia="zh-CN" w:bidi="ar-SA"/>
              </w:rPr>
              <w:t>4-3</w:t>
            </w:r>
            <w:r>
              <w:rPr>
                <w:rFonts w:ascii="Times New Roman" w:hAnsi="Times New Roman" w:eastAsia="宋体" w:cs="Times New Roman"/>
                <w:color w:val="auto"/>
                <w:kern w:val="0"/>
                <w:sz w:val="24"/>
                <w:szCs w:val="24"/>
                <w:lang w:val="en-US" w:eastAsia="zh-CN" w:bidi="ar-SA"/>
              </w:rPr>
              <w:t>。</w:t>
            </w:r>
          </w:p>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18"/>
              </w:rPr>
            </w:pPr>
            <w:r>
              <w:rPr>
                <w:rFonts w:hint="default" w:ascii="Times New Roman" w:hAnsi="Times New Roman" w:eastAsia="宋体" w:cs="Times New Roman"/>
                <w:color w:val="auto"/>
                <w:sz w:val="21"/>
                <w:szCs w:val="18"/>
              </w:rPr>
              <w:t>表</w:t>
            </w:r>
            <w:r>
              <w:rPr>
                <w:rFonts w:hint="eastAsia" w:ascii="Times New Roman" w:hAnsi="Times New Roman" w:eastAsia="宋体" w:cs="Times New Roman"/>
                <w:color w:val="auto"/>
                <w:sz w:val="21"/>
                <w:szCs w:val="18"/>
              </w:rPr>
              <w:t>4-</w:t>
            </w:r>
            <w:r>
              <w:rPr>
                <w:rFonts w:hint="eastAsia" w:ascii="Times New Roman" w:hAnsi="Times New Roman" w:eastAsia="宋体" w:cs="Times New Roman"/>
                <w:color w:val="auto"/>
                <w:sz w:val="21"/>
                <w:szCs w:val="18"/>
                <w:lang w:val="en-US" w:eastAsia="zh-CN"/>
              </w:rPr>
              <w:t>3</w:t>
            </w:r>
            <w:r>
              <w:rPr>
                <w:rFonts w:hint="eastAsia" w:ascii="Times New Roman" w:hAnsi="Times New Roman" w:eastAsia="宋体" w:cs="Times New Roman"/>
                <w:color w:val="auto"/>
                <w:sz w:val="21"/>
                <w:szCs w:val="18"/>
              </w:rPr>
              <w:t xml:space="preserve">   </w:t>
            </w:r>
            <w:r>
              <w:rPr>
                <w:rFonts w:hint="default" w:ascii="Times New Roman" w:hAnsi="Times New Roman" w:eastAsia="宋体" w:cs="Times New Roman"/>
                <w:color w:val="auto"/>
                <w:sz w:val="21"/>
                <w:szCs w:val="18"/>
              </w:rPr>
              <w:t>车辆行驶扬尘量</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2308"/>
              <w:gridCol w:w="2169"/>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155" w:type="pc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汽车平均速度（km/h）</w:t>
                  </w:r>
                </w:p>
              </w:tc>
              <w:tc>
                <w:tcPr>
                  <w:tcW w:w="1263" w:type="pc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rPr>
                    <w:t>汽车</w:t>
                  </w:r>
                  <w:r>
                    <w:rPr>
                      <w:rFonts w:hint="default" w:ascii="Times New Roman" w:hAnsi="Times New Roman" w:cs="Times New Roman"/>
                      <w:b/>
                      <w:bCs/>
                      <w:color w:val="auto"/>
                      <w:sz w:val="21"/>
                      <w:szCs w:val="21"/>
                      <w:lang w:val="en-US" w:eastAsia="zh-CN"/>
                    </w:rPr>
                    <w:t>载重量</w:t>
                  </w:r>
                </w:p>
                <w:p>
                  <w:pPr>
                    <w:pStyle w:val="5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（t）</w:t>
                  </w:r>
                </w:p>
              </w:tc>
              <w:tc>
                <w:tcPr>
                  <w:tcW w:w="1187" w:type="pc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道路表面粉尘量</w:t>
                  </w:r>
                </w:p>
                <w:p>
                  <w:pPr>
                    <w:pStyle w:val="5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（kg/m</w:t>
                  </w:r>
                  <w:r>
                    <w:rPr>
                      <w:rFonts w:hint="default" w:ascii="Times New Roman" w:hAnsi="Times New Roman" w:cs="Times New Roman"/>
                      <w:b/>
                      <w:bCs/>
                      <w:color w:val="auto"/>
                      <w:sz w:val="21"/>
                      <w:szCs w:val="21"/>
                      <w:vertAlign w:val="superscript"/>
                    </w:rPr>
                    <w:t>3</w:t>
                  </w:r>
                  <w:r>
                    <w:rPr>
                      <w:rFonts w:hint="default" w:ascii="Times New Roman" w:hAnsi="Times New Roman" w:cs="Times New Roman"/>
                      <w:b/>
                      <w:bCs/>
                      <w:color w:val="auto"/>
                      <w:sz w:val="21"/>
                      <w:szCs w:val="21"/>
                    </w:rPr>
                    <w:t>）</w:t>
                  </w:r>
                </w:p>
              </w:tc>
              <w:tc>
                <w:tcPr>
                  <w:tcW w:w="1393" w:type="pct"/>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汽车扬尘量</w:t>
                  </w:r>
                </w:p>
                <w:p>
                  <w:pPr>
                    <w:pStyle w:val="5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（kg/km·辆）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55" w:type="pct"/>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firstLine="840" w:firstLineChars="4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263" w:type="pct"/>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firstLine="840" w:firstLineChars="400"/>
                    <w:jc w:val="both"/>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30</w:t>
                  </w:r>
                </w:p>
              </w:tc>
              <w:tc>
                <w:tcPr>
                  <w:tcW w:w="1187" w:type="pct"/>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firstLine="840" w:firstLineChars="4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w:t>
                  </w:r>
                </w:p>
              </w:tc>
              <w:tc>
                <w:tcPr>
                  <w:tcW w:w="1393" w:type="pct"/>
                  <w:tcBorders>
                    <w:tl2br w:val="nil"/>
                    <w:tr2bl w:val="nil"/>
                  </w:tcBorders>
                  <w:vAlign w:val="center"/>
                </w:tcPr>
                <w:p>
                  <w:pPr>
                    <w:pStyle w:val="53"/>
                    <w:keepNext w:val="0"/>
                    <w:keepLines w:val="0"/>
                    <w:pageBreakBefore w:val="0"/>
                    <w:widowControl w:val="0"/>
                    <w:kinsoku/>
                    <w:wordWrap/>
                    <w:overflowPunct/>
                    <w:topLinePunct w:val="0"/>
                    <w:autoSpaceDE/>
                    <w:autoSpaceDN/>
                    <w:bidi w:val="0"/>
                    <w:adjustRightInd/>
                    <w:snapToGrid/>
                    <w:spacing w:line="240" w:lineRule="auto"/>
                    <w:ind w:firstLine="1050" w:firstLineChars="50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0.44</w:t>
                  </w:r>
                </w:p>
              </w:tc>
            </w:tr>
          </w:tbl>
          <w:p>
            <w:pPr>
              <w:pStyle w:val="46"/>
              <w:wordWrap w:val="0"/>
              <w:topLinePunct/>
              <w:spacing w:line="360" w:lineRule="auto"/>
              <w:ind w:firstLine="480" w:firstLineChars="200"/>
              <w:rPr>
                <w:rFonts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运输车辆在厂区内行驶的距离为145m，</w:t>
            </w:r>
            <w:r>
              <w:rPr>
                <w:rFonts w:hint="default" w:ascii="Times New Roman" w:hAnsi="Times New Roman" w:cs="Times New Roman"/>
                <w:color w:val="auto"/>
                <w:kern w:val="0"/>
                <w:sz w:val="24"/>
                <w:szCs w:val="24"/>
                <w:lang w:val="en-US" w:eastAsia="zh-CN" w:bidi="ar-SA"/>
              </w:rPr>
              <w:t>汽车平均速度以10km/h计，</w:t>
            </w:r>
            <w:r>
              <w:rPr>
                <w:rFonts w:hint="default" w:ascii="Times New Roman" w:hAnsi="Times New Roman" w:eastAsia="宋体" w:cs="Times New Roman"/>
                <w:color w:val="auto"/>
                <w:kern w:val="0"/>
                <w:sz w:val="24"/>
                <w:szCs w:val="24"/>
                <w:lang w:val="en-US" w:eastAsia="zh-CN" w:bidi="ar-SA"/>
              </w:rPr>
              <w:t>则汽车在厂区内行驶过程的扬尘量见表4-4。</w:t>
            </w:r>
          </w:p>
          <w:p>
            <w:pPr>
              <w:pStyle w:val="52"/>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auto"/>
                <w:sz w:val="21"/>
                <w:szCs w:val="18"/>
              </w:rPr>
            </w:pPr>
            <w:r>
              <w:rPr>
                <w:rFonts w:hint="default" w:ascii="Times New Roman" w:hAnsi="Times New Roman" w:eastAsia="宋体" w:cs="Times New Roman"/>
                <w:color w:val="auto"/>
                <w:sz w:val="21"/>
                <w:szCs w:val="18"/>
              </w:rPr>
              <w:t>表</w:t>
            </w:r>
            <w:r>
              <w:rPr>
                <w:rFonts w:hint="eastAsia" w:ascii="Times New Roman" w:hAnsi="Times New Roman" w:eastAsia="宋体" w:cs="Times New Roman"/>
                <w:color w:val="auto"/>
                <w:sz w:val="21"/>
                <w:szCs w:val="18"/>
              </w:rPr>
              <w:t>4-</w:t>
            </w:r>
            <w:r>
              <w:rPr>
                <w:rFonts w:hint="eastAsia" w:ascii="Times New Roman" w:hAnsi="Times New Roman" w:eastAsia="宋体" w:cs="Times New Roman"/>
                <w:color w:val="auto"/>
                <w:sz w:val="21"/>
                <w:szCs w:val="18"/>
                <w:lang w:val="en-US" w:eastAsia="zh-CN"/>
              </w:rPr>
              <w:t>4</w:t>
            </w:r>
            <w:r>
              <w:rPr>
                <w:rFonts w:hint="eastAsia" w:ascii="Times New Roman" w:hAnsi="Times New Roman" w:eastAsia="宋体" w:cs="Times New Roman"/>
                <w:color w:val="auto"/>
                <w:sz w:val="21"/>
                <w:szCs w:val="18"/>
              </w:rPr>
              <w:t xml:space="preserve">   </w:t>
            </w:r>
            <w:r>
              <w:rPr>
                <w:rFonts w:hint="default" w:ascii="Times New Roman" w:hAnsi="Times New Roman" w:eastAsia="宋体" w:cs="Times New Roman"/>
                <w:color w:val="auto"/>
                <w:sz w:val="21"/>
                <w:szCs w:val="18"/>
              </w:rPr>
              <w:t>车辆行驶扬尘量</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883"/>
              <w:gridCol w:w="1884"/>
              <w:gridCol w:w="1885"/>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74" w:type="pct"/>
                  <w:vAlign w:val="center"/>
                </w:tcPr>
                <w:p>
                  <w:pPr>
                    <w:pStyle w:val="53"/>
                    <w:spacing w:line="240" w:lineRule="auto"/>
                    <w:jc w:val="center"/>
                    <w:rPr>
                      <w:b/>
                      <w:bCs/>
                      <w:color w:val="auto"/>
                      <w:sz w:val="21"/>
                      <w:szCs w:val="21"/>
                    </w:rPr>
                  </w:pPr>
                  <w:r>
                    <w:rPr>
                      <w:b/>
                      <w:bCs/>
                      <w:color w:val="auto"/>
                      <w:sz w:val="21"/>
                      <w:szCs w:val="21"/>
                    </w:rPr>
                    <w:t>项目</w:t>
                  </w:r>
                </w:p>
              </w:tc>
              <w:tc>
                <w:tcPr>
                  <w:tcW w:w="1030" w:type="pct"/>
                  <w:vAlign w:val="center"/>
                </w:tcPr>
                <w:p>
                  <w:pPr>
                    <w:pStyle w:val="53"/>
                    <w:spacing w:line="240" w:lineRule="auto"/>
                    <w:ind w:left="0" w:leftChars="0" w:firstLine="0" w:firstLineChars="0"/>
                    <w:jc w:val="center"/>
                    <w:rPr>
                      <w:b/>
                      <w:bCs/>
                      <w:color w:val="auto"/>
                      <w:sz w:val="21"/>
                      <w:szCs w:val="21"/>
                    </w:rPr>
                  </w:pPr>
                  <w:r>
                    <w:rPr>
                      <w:b/>
                      <w:bCs/>
                      <w:color w:val="auto"/>
                      <w:sz w:val="21"/>
                      <w:szCs w:val="21"/>
                    </w:rPr>
                    <w:t>运输量</w:t>
                  </w:r>
                </w:p>
              </w:tc>
              <w:tc>
                <w:tcPr>
                  <w:tcW w:w="1031" w:type="pct"/>
                  <w:vAlign w:val="center"/>
                </w:tcPr>
                <w:p>
                  <w:pPr>
                    <w:pStyle w:val="53"/>
                    <w:spacing w:line="240" w:lineRule="auto"/>
                    <w:ind w:left="0" w:leftChars="0" w:firstLine="211" w:firstLineChars="100"/>
                    <w:jc w:val="center"/>
                    <w:rPr>
                      <w:b/>
                      <w:bCs/>
                      <w:color w:val="auto"/>
                      <w:sz w:val="21"/>
                      <w:szCs w:val="21"/>
                    </w:rPr>
                  </w:pPr>
                  <w:r>
                    <w:rPr>
                      <w:b/>
                      <w:bCs/>
                      <w:color w:val="auto"/>
                      <w:sz w:val="21"/>
                      <w:szCs w:val="21"/>
                    </w:rPr>
                    <w:t>单次运输量</w:t>
                  </w:r>
                </w:p>
              </w:tc>
              <w:tc>
                <w:tcPr>
                  <w:tcW w:w="1031" w:type="pct"/>
                  <w:vAlign w:val="center"/>
                </w:tcPr>
                <w:p>
                  <w:pPr>
                    <w:pStyle w:val="53"/>
                    <w:spacing w:line="240" w:lineRule="auto"/>
                    <w:ind w:left="0" w:leftChars="0" w:firstLine="211" w:firstLineChars="100"/>
                    <w:jc w:val="center"/>
                    <w:rPr>
                      <w:b/>
                      <w:bCs/>
                      <w:color w:val="auto"/>
                      <w:sz w:val="21"/>
                      <w:szCs w:val="21"/>
                    </w:rPr>
                  </w:pPr>
                  <w:r>
                    <w:rPr>
                      <w:b/>
                      <w:bCs/>
                      <w:color w:val="auto"/>
                      <w:sz w:val="21"/>
                      <w:szCs w:val="21"/>
                    </w:rPr>
                    <w:t>运输次数（次）</w:t>
                  </w:r>
                </w:p>
              </w:tc>
              <w:tc>
                <w:tcPr>
                  <w:tcW w:w="1031" w:type="pct"/>
                  <w:vAlign w:val="center"/>
                </w:tcPr>
                <w:p>
                  <w:pPr>
                    <w:pStyle w:val="53"/>
                    <w:spacing w:line="240" w:lineRule="auto"/>
                    <w:jc w:val="center"/>
                    <w:rPr>
                      <w:b/>
                      <w:bCs/>
                      <w:color w:val="auto"/>
                      <w:sz w:val="21"/>
                      <w:szCs w:val="21"/>
                    </w:rPr>
                  </w:pPr>
                  <w:r>
                    <w:rPr>
                      <w:b/>
                      <w:bCs/>
                      <w:color w:val="auto"/>
                      <w:sz w:val="21"/>
                      <w:szCs w:val="21"/>
                    </w:rPr>
                    <w:t>扬尘量（t）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4" w:type="pct"/>
                  <w:tcBorders>
                    <w:tl2br w:val="nil"/>
                    <w:tr2bl w:val="nil"/>
                  </w:tcBorders>
                  <w:vAlign w:val="center"/>
                </w:tcPr>
                <w:p>
                  <w:pPr>
                    <w:pStyle w:val="53"/>
                    <w:spacing w:line="240" w:lineRule="auto"/>
                    <w:ind w:left="0" w:leftChars="0" w:firstLine="210" w:firstLineChars="100"/>
                    <w:jc w:val="center"/>
                    <w:rPr>
                      <w:color w:val="auto"/>
                      <w:sz w:val="21"/>
                      <w:szCs w:val="21"/>
                    </w:rPr>
                  </w:pPr>
                  <w:r>
                    <w:rPr>
                      <w:color w:val="auto"/>
                      <w:sz w:val="21"/>
                      <w:szCs w:val="21"/>
                    </w:rPr>
                    <w:t>成品混凝土</w:t>
                  </w:r>
                </w:p>
              </w:tc>
              <w:tc>
                <w:tcPr>
                  <w:tcW w:w="1030" w:type="pct"/>
                  <w:tcBorders>
                    <w:tl2br w:val="nil"/>
                    <w:tr2bl w:val="nil"/>
                  </w:tcBorders>
                  <w:vAlign w:val="center"/>
                </w:tcPr>
                <w:p>
                  <w:pPr>
                    <w:pStyle w:val="53"/>
                    <w:spacing w:line="240" w:lineRule="auto"/>
                    <w:ind w:left="0" w:leftChars="0" w:firstLine="0" w:firstLineChars="0"/>
                    <w:jc w:val="center"/>
                    <w:rPr>
                      <w:color w:val="auto"/>
                      <w:sz w:val="21"/>
                      <w:szCs w:val="21"/>
                    </w:rPr>
                  </w:pPr>
                  <w:r>
                    <w:rPr>
                      <w:rFonts w:hint="eastAsia"/>
                      <w:color w:val="auto"/>
                      <w:sz w:val="21"/>
                      <w:szCs w:val="21"/>
                    </w:rPr>
                    <w:t>20万m</w:t>
                  </w:r>
                  <w:r>
                    <w:rPr>
                      <w:rFonts w:hint="eastAsia"/>
                      <w:color w:val="auto"/>
                      <w:sz w:val="21"/>
                      <w:szCs w:val="21"/>
                      <w:vertAlign w:val="superscript"/>
                    </w:rPr>
                    <w:t>3</w:t>
                  </w:r>
                  <w:r>
                    <w:rPr>
                      <w:color w:val="auto"/>
                      <w:sz w:val="21"/>
                      <w:szCs w:val="21"/>
                    </w:rPr>
                    <w:t>/a</w:t>
                  </w:r>
                </w:p>
              </w:tc>
              <w:tc>
                <w:tcPr>
                  <w:tcW w:w="1031" w:type="pct"/>
                  <w:tcBorders>
                    <w:tl2br w:val="nil"/>
                    <w:tr2bl w:val="nil"/>
                  </w:tcBorders>
                  <w:vAlign w:val="center"/>
                </w:tcPr>
                <w:p>
                  <w:pPr>
                    <w:pStyle w:val="53"/>
                    <w:spacing w:line="240" w:lineRule="auto"/>
                    <w:ind w:left="0" w:leftChars="0" w:firstLine="0" w:firstLineChars="0"/>
                    <w:jc w:val="center"/>
                    <w:rPr>
                      <w:color w:val="auto"/>
                      <w:sz w:val="21"/>
                      <w:szCs w:val="21"/>
                    </w:rPr>
                  </w:pPr>
                  <w:r>
                    <w:rPr>
                      <w:color w:val="auto"/>
                      <w:sz w:val="21"/>
                      <w:szCs w:val="21"/>
                    </w:rPr>
                    <w:t>20m</w:t>
                  </w:r>
                  <w:r>
                    <w:rPr>
                      <w:color w:val="auto"/>
                      <w:sz w:val="21"/>
                      <w:szCs w:val="21"/>
                      <w:vertAlign w:val="superscript"/>
                    </w:rPr>
                    <w:t>3</w:t>
                  </w:r>
                </w:p>
              </w:tc>
              <w:tc>
                <w:tcPr>
                  <w:tcW w:w="1812" w:type="dxa"/>
                  <w:tcBorders>
                    <w:tl2br w:val="nil"/>
                    <w:tr2bl w:val="nil"/>
                  </w:tcBorders>
                  <w:vAlign w:val="center"/>
                </w:tcPr>
                <w:p>
                  <w:pPr>
                    <w:keepNext w:val="0"/>
                    <w:keepLines w:val="0"/>
                    <w:widowControl/>
                    <w:suppressLineNumbers w:val="0"/>
                    <w:spacing w:line="240" w:lineRule="auto"/>
                    <w:ind w:left="0" w:leftChars="0" w:firstLine="0" w:firstLineChars="0"/>
                    <w:jc w:val="center"/>
                    <w:textAlignment w:val="center"/>
                    <w:rPr>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10000</w:t>
                  </w:r>
                </w:p>
              </w:tc>
              <w:tc>
                <w:tcPr>
                  <w:tcW w:w="1812" w:type="dxa"/>
                  <w:tcBorders>
                    <w:tl2br w:val="nil"/>
                    <w:tr2bl w:val="nil"/>
                  </w:tcBorders>
                  <w:vAlign w:val="center"/>
                </w:tcPr>
                <w:p>
                  <w:pPr>
                    <w:keepNext w:val="0"/>
                    <w:keepLines w:val="0"/>
                    <w:widowControl/>
                    <w:suppressLineNumbers w:val="0"/>
                    <w:spacing w:line="240" w:lineRule="auto"/>
                    <w:ind w:left="0" w:leftChars="0" w:firstLine="0" w:firstLineChars="0"/>
                    <w:jc w:val="center"/>
                    <w:textAlignment w:val="center"/>
                    <w:rPr>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0.638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4" w:type="pct"/>
                  <w:tcBorders>
                    <w:tl2br w:val="nil"/>
                    <w:tr2bl w:val="nil"/>
                  </w:tcBorders>
                  <w:vAlign w:val="center"/>
                </w:tcPr>
                <w:p>
                  <w:pPr>
                    <w:pStyle w:val="53"/>
                    <w:spacing w:line="240" w:lineRule="auto"/>
                    <w:ind w:left="0" w:leftChars="0" w:firstLine="210" w:firstLineChars="100"/>
                    <w:jc w:val="center"/>
                    <w:rPr>
                      <w:rFonts w:hint="default" w:eastAsia="宋体"/>
                      <w:color w:val="auto"/>
                      <w:sz w:val="21"/>
                      <w:szCs w:val="21"/>
                      <w:lang w:val="en-US" w:eastAsia="zh-CN"/>
                    </w:rPr>
                  </w:pPr>
                  <w:r>
                    <w:rPr>
                      <w:rFonts w:hint="eastAsia"/>
                      <w:color w:val="auto"/>
                      <w:sz w:val="21"/>
                      <w:szCs w:val="21"/>
                      <w:lang w:val="en-US" w:eastAsia="zh-CN"/>
                    </w:rPr>
                    <w:t>成品水稳料</w:t>
                  </w:r>
                </w:p>
              </w:tc>
              <w:tc>
                <w:tcPr>
                  <w:tcW w:w="1030" w:type="pct"/>
                  <w:tcBorders>
                    <w:tl2br w:val="nil"/>
                    <w:tr2bl w:val="nil"/>
                  </w:tcBorders>
                  <w:vAlign w:val="center"/>
                </w:tcPr>
                <w:p>
                  <w:pPr>
                    <w:pStyle w:val="53"/>
                    <w:spacing w:line="240" w:lineRule="auto"/>
                    <w:ind w:left="0" w:leftChars="0" w:firstLine="0" w:firstLineChars="0"/>
                    <w:jc w:val="center"/>
                    <w:rPr>
                      <w:rFonts w:hint="eastAsia"/>
                      <w:color w:val="auto"/>
                      <w:sz w:val="21"/>
                      <w:szCs w:val="21"/>
                    </w:rPr>
                  </w:pPr>
                  <w:r>
                    <w:rPr>
                      <w:rFonts w:hint="eastAsia"/>
                      <w:color w:val="auto"/>
                      <w:sz w:val="21"/>
                      <w:szCs w:val="21"/>
                      <w:lang w:val="en-US" w:eastAsia="zh-CN"/>
                    </w:rPr>
                    <w:t>5</w:t>
                  </w:r>
                  <w:r>
                    <w:rPr>
                      <w:rFonts w:hint="eastAsia"/>
                      <w:color w:val="auto"/>
                      <w:sz w:val="21"/>
                      <w:szCs w:val="21"/>
                    </w:rPr>
                    <w:t>万m</w:t>
                  </w:r>
                  <w:r>
                    <w:rPr>
                      <w:rFonts w:hint="eastAsia"/>
                      <w:color w:val="auto"/>
                      <w:sz w:val="21"/>
                      <w:szCs w:val="21"/>
                      <w:vertAlign w:val="superscript"/>
                    </w:rPr>
                    <w:t>3</w:t>
                  </w:r>
                  <w:r>
                    <w:rPr>
                      <w:color w:val="auto"/>
                      <w:sz w:val="21"/>
                      <w:szCs w:val="21"/>
                    </w:rPr>
                    <w:t>/a</w:t>
                  </w:r>
                </w:p>
              </w:tc>
              <w:tc>
                <w:tcPr>
                  <w:tcW w:w="1031" w:type="pct"/>
                  <w:tcBorders>
                    <w:tl2br w:val="nil"/>
                    <w:tr2bl w:val="nil"/>
                  </w:tcBorders>
                  <w:vAlign w:val="center"/>
                </w:tcPr>
                <w:p>
                  <w:pPr>
                    <w:pStyle w:val="53"/>
                    <w:spacing w:line="240" w:lineRule="auto"/>
                    <w:ind w:left="0" w:leftChars="0" w:firstLine="0" w:firstLineChars="0"/>
                    <w:jc w:val="center"/>
                    <w:rPr>
                      <w:color w:val="auto"/>
                      <w:sz w:val="21"/>
                      <w:szCs w:val="21"/>
                    </w:rPr>
                  </w:pPr>
                  <w:r>
                    <w:rPr>
                      <w:color w:val="auto"/>
                      <w:sz w:val="21"/>
                      <w:szCs w:val="21"/>
                    </w:rPr>
                    <w:t>20m</w:t>
                  </w:r>
                  <w:r>
                    <w:rPr>
                      <w:color w:val="auto"/>
                      <w:sz w:val="21"/>
                      <w:szCs w:val="21"/>
                      <w:vertAlign w:val="superscript"/>
                    </w:rPr>
                    <w:t>3</w:t>
                  </w:r>
                </w:p>
              </w:tc>
              <w:tc>
                <w:tcPr>
                  <w:tcW w:w="1812" w:type="dxa"/>
                  <w:tcBorders>
                    <w:tl2br w:val="nil"/>
                    <w:tr2bl w:val="nil"/>
                  </w:tcBorders>
                  <w:vAlign w:val="center"/>
                </w:tcPr>
                <w:p>
                  <w:pPr>
                    <w:keepNext w:val="0"/>
                    <w:keepLines w:val="0"/>
                    <w:widowControl/>
                    <w:suppressLineNumbers w:val="0"/>
                    <w:spacing w:line="240" w:lineRule="auto"/>
                    <w:ind w:left="0" w:leftChars="0" w:firstLine="0" w:firstLineChars="0"/>
                    <w:jc w:val="center"/>
                    <w:textAlignment w:val="center"/>
                    <w:rPr>
                      <w:rFonts w:hint="default" w:eastAsia="宋体"/>
                      <w:color w:val="auto"/>
                      <w:kern w:val="0"/>
                      <w:sz w:val="21"/>
                      <w:szCs w:val="21"/>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2500</w:t>
                  </w:r>
                </w:p>
              </w:tc>
              <w:tc>
                <w:tcPr>
                  <w:tcW w:w="1812" w:type="dxa"/>
                  <w:tcBorders>
                    <w:tl2br w:val="nil"/>
                    <w:tr2bl w:val="nil"/>
                  </w:tcBorders>
                  <w:vAlign w:val="center"/>
                </w:tcPr>
                <w:p>
                  <w:pPr>
                    <w:keepNext w:val="0"/>
                    <w:keepLines w:val="0"/>
                    <w:widowControl/>
                    <w:suppressLineNumbers w:val="0"/>
                    <w:spacing w:line="240" w:lineRule="auto"/>
                    <w:ind w:left="0" w:leftChars="0" w:firstLine="0" w:firstLineChars="0"/>
                    <w:jc w:val="center"/>
                    <w:textAlignment w:val="center"/>
                    <w:rPr>
                      <w:color w:val="auto"/>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pct"/>
                  <w:tcBorders>
                    <w:tl2br w:val="nil"/>
                    <w:tr2bl w:val="nil"/>
                  </w:tcBorders>
                  <w:vAlign w:val="center"/>
                </w:tcPr>
                <w:p>
                  <w:pPr>
                    <w:adjustRightInd w:val="0"/>
                    <w:snapToGrid w:val="0"/>
                    <w:spacing w:line="240" w:lineRule="auto"/>
                    <w:ind w:left="0" w:leftChars="0" w:firstLine="0" w:firstLineChars="0"/>
                    <w:jc w:val="center"/>
                    <w:rPr>
                      <w:color w:val="auto"/>
                      <w:sz w:val="21"/>
                      <w:szCs w:val="21"/>
                    </w:rPr>
                  </w:pPr>
                  <w:r>
                    <w:rPr>
                      <w:color w:val="auto"/>
                      <w:sz w:val="21"/>
                      <w:szCs w:val="21"/>
                    </w:rPr>
                    <w:t>水泥</w:t>
                  </w:r>
                </w:p>
              </w:tc>
              <w:tc>
                <w:tcPr>
                  <w:tcW w:w="1030" w:type="pct"/>
                  <w:tcBorders>
                    <w:tl2br w:val="nil"/>
                    <w:tr2bl w:val="nil"/>
                  </w:tcBorders>
                  <w:vAlign w:val="center"/>
                </w:tcPr>
                <w:p>
                  <w:pPr>
                    <w:pStyle w:val="53"/>
                    <w:spacing w:line="240" w:lineRule="auto"/>
                    <w:ind w:left="0" w:leftChars="0" w:firstLine="0" w:firstLineChars="0"/>
                    <w:jc w:val="center"/>
                    <w:rPr>
                      <w:rFonts w:hint="default" w:eastAsia="宋体"/>
                      <w:color w:val="auto"/>
                      <w:sz w:val="21"/>
                      <w:szCs w:val="21"/>
                      <w:lang w:val="en-US" w:eastAsia="zh-CN"/>
                    </w:rPr>
                  </w:pPr>
                  <w:r>
                    <w:rPr>
                      <w:rFonts w:hint="eastAsia"/>
                      <w:color w:val="auto"/>
                      <w:sz w:val="21"/>
                      <w:szCs w:val="21"/>
                      <w:lang w:val="en-US" w:eastAsia="zh-CN"/>
                    </w:rPr>
                    <w:t>5.4</w:t>
                  </w:r>
                </w:p>
              </w:tc>
              <w:tc>
                <w:tcPr>
                  <w:tcW w:w="1031" w:type="pct"/>
                  <w:tcBorders>
                    <w:tl2br w:val="nil"/>
                    <w:tr2bl w:val="nil"/>
                  </w:tcBorders>
                  <w:vAlign w:val="center"/>
                </w:tcPr>
                <w:p>
                  <w:pPr>
                    <w:pStyle w:val="53"/>
                    <w:spacing w:line="240" w:lineRule="auto"/>
                    <w:ind w:left="0" w:leftChars="0" w:firstLine="0" w:firstLineChars="0"/>
                    <w:jc w:val="center"/>
                    <w:rPr>
                      <w:color w:val="auto"/>
                      <w:sz w:val="21"/>
                      <w:szCs w:val="21"/>
                    </w:rPr>
                  </w:pPr>
                  <w:r>
                    <w:rPr>
                      <w:rFonts w:hint="eastAsia"/>
                      <w:color w:val="auto"/>
                      <w:sz w:val="21"/>
                      <w:szCs w:val="21"/>
                      <w:lang w:val="en-US" w:eastAsia="zh-CN"/>
                    </w:rPr>
                    <w:t>3</w:t>
                  </w:r>
                  <w:r>
                    <w:rPr>
                      <w:color w:val="auto"/>
                      <w:sz w:val="21"/>
                      <w:szCs w:val="21"/>
                    </w:rPr>
                    <w:t>0t</w:t>
                  </w:r>
                </w:p>
              </w:tc>
              <w:tc>
                <w:tcPr>
                  <w:tcW w:w="1812" w:type="dxa"/>
                  <w:tcBorders>
                    <w:tl2br w:val="nil"/>
                    <w:tr2bl w:val="nil"/>
                  </w:tcBorders>
                  <w:vAlign w:val="center"/>
                </w:tcPr>
                <w:p>
                  <w:pPr>
                    <w:keepNext w:val="0"/>
                    <w:keepLines w:val="0"/>
                    <w:widowControl/>
                    <w:suppressLineNumbers w:val="0"/>
                    <w:spacing w:line="240" w:lineRule="auto"/>
                    <w:ind w:left="0" w:leftChars="0" w:firstLine="0" w:firstLine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1800</w:t>
                  </w:r>
                </w:p>
              </w:tc>
              <w:tc>
                <w:tcPr>
                  <w:tcW w:w="1812" w:type="dxa"/>
                  <w:tcBorders>
                    <w:tl2br w:val="nil"/>
                    <w:tr2bl w:val="nil"/>
                  </w:tcBorders>
                  <w:vAlign w:val="center"/>
                </w:tcPr>
                <w:p>
                  <w:pPr>
                    <w:keepNext w:val="0"/>
                    <w:keepLines w:val="0"/>
                    <w:widowControl/>
                    <w:suppressLineNumbers w:val="0"/>
                    <w:spacing w:line="240" w:lineRule="auto"/>
                    <w:ind w:left="0" w:leftChars="0" w:firstLine="0" w:firstLine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74" w:type="pct"/>
                  <w:tcBorders>
                    <w:tl2br w:val="nil"/>
                    <w:tr2bl w:val="nil"/>
                  </w:tcBorders>
                  <w:vAlign w:val="center"/>
                </w:tcPr>
                <w:p>
                  <w:pPr>
                    <w:adjustRightInd w:val="0"/>
                    <w:snapToGrid w:val="0"/>
                    <w:spacing w:line="240" w:lineRule="auto"/>
                    <w:ind w:left="0" w:leftChars="0" w:firstLine="0" w:firstLineChars="0"/>
                    <w:jc w:val="center"/>
                    <w:rPr>
                      <w:color w:val="auto"/>
                      <w:sz w:val="21"/>
                      <w:szCs w:val="21"/>
                    </w:rPr>
                  </w:pPr>
                  <w:r>
                    <w:rPr>
                      <w:rFonts w:hint="eastAsia"/>
                      <w:color w:val="auto"/>
                      <w:sz w:val="21"/>
                      <w:szCs w:val="21"/>
                    </w:rPr>
                    <w:t>粉煤灰</w:t>
                  </w:r>
                </w:p>
              </w:tc>
              <w:tc>
                <w:tcPr>
                  <w:tcW w:w="1030" w:type="pct"/>
                  <w:tcBorders>
                    <w:tl2br w:val="nil"/>
                    <w:tr2bl w:val="nil"/>
                  </w:tcBorders>
                  <w:vAlign w:val="center"/>
                </w:tcPr>
                <w:p>
                  <w:pPr>
                    <w:pStyle w:val="53"/>
                    <w:spacing w:line="240" w:lineRule="auto"/>
                    <w:ind w:left="0" w:leftChars="0" w:firstLine="0" w:firstLineChars="0"/>
                    <w:jc w:val="center"/>
                    <w:rPr>
                      <w:rFonts w:hint="default" w:eastAsia="宋体"/>
                      <w:color w:val="auto"/>
                      <w:sz w:val="21"/>
                      <w:szCs w:val="21"/>
                      <w:lang w:val="en-US" w:eastAsia="zh-CN"/>
                    </w:rPr>
                  </w:pPr>
                  <w:r>
                    <w:rPr>
                      <w:rFonts w:hint="eastAsia"/>
                      <w:color w:val="auto"/>
                      <w:sz w:val="21"/>
                      <w:szCs w:val="21"/>
                      <w:lang w:val="en-US" w:eastAsia="zh-CN"/>
                    </w:rPr>
                    <w:t>2.3</w:t>
                  </w:r>
                </w:p>
              </w:tc>
              <w:tc>
                <w:tcPr>
                  <w:tcW w:w="1031" w:type="pct"/>
                  <w:tcBorders>
                    <w:tl2br w:val="nil"/>
                    <w:tr2bl w:val="nil"/>
                  </w:tcBorders>
                  <w:vAlign w:val="center"/>
                </w:tcPr>
                <w:p>
                  <w:pPr>
                    <w:pStyle w:val="53"/>
                    <w:spacing w:line="240" w:lineRule="auto"/>
                    <w:ind w:left="0" w:leftChars="0" w:firstLine="0" w:firstLineChars="0"/>
                    <w:jc w:val="center"/>
                    <w:rPr>
                      <w:color w:val="auto"/>
                      <w:sz w:val="21"/>
                      <w:szCs w:val="21"/>
                    </w:rPr>
                  </w:pPr>
                  <w:r>
                    <w:rPr>
                      <w:rFonts w:hint="eastAsia"/>
                      <w:color w:val="auto"/>
                      <w:sz w:val="21"/>
                      <w:szCs w:val="21"/>
                      <w:lang w:val="en-US" w:eastAsia="zh-CN"/>
                    </w:rPr>
                    <w:t>3</w:t>
                  </w:r>
                  <w:r>
                    <w:rPr>
                      <w:color w:val="auto"/>
                      <w:sz w:val="21"/>
                      <w:szCs w:val="21"/>
                    </w:rPr>
                    <w:t>0t</w:t>
                  </w:r>
                </w:p>
              </w:tc>
              <w:tc>
                <w:tcPr>
                  <w:tcW w:w="1812" w:type="dxa"/>
                  <w:tcBorders>
                    <w:tl2br w:val="nil"/>
                    <w:tr2bl w:val="nil"/>
                  </w:tcBorders>
                  <w:vAlign w:val="center"/>
                </w:tcPr>
                <w:p>
                  <w:pPr>
                    <w:keepNext w:val="0"/>
                    <w:keepLines w:val="0"/>
                    <w:widowControl/>
                    <w:suppressLineNumbers w:val="0"/>
                    <w:spacing w:line="240" w:lineRule="auto"/>
                    <w:ind w:left="0" w:leftChars="0" w:firstLine="0" w:firstLine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767</w:t>
                  </w:r>
                </w:p>
              </w:tc>
              <w:tc>
                <w:tcPr>
                  <w:tcW w:w="1812" w:type="dxa"/>
                  <w:tcBorders>
                    <w:tl2br w:val="nil"/>
                    <w:tr2bl w:val="nil"/>
                  </w:tcBorders>
                  <w:vAlign w:val="center"/>
                </w:tcPr>
                <w:p>
                  <w:pPr>
                    <w:keepNext w:val="0"/>
                    <w:keepLines w:val="0"/>
                    <w:widowControl/>
                    <w:suppressLineNumbers w:val="0"/>
                    <w:spacing w:line="240" w:lineRule="auto"/>
                    <w:ind w:left="0" w:leftChars="0" w:firstLine="0" w:firstLineChars="0"/>
                    <w:jc w:val="center"/>
                    <w:textAlignment w:val="center"/>
                    <w:rPr>
                      <w:rFonts w:hint="eastAsia" w:eastAsia="宋体"/>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74" w:type="pct"/>
                  <w:tcBorders>
                    <w:tl2br w:val="nil"/>
                    <w:tr2bl w:val="nil"/>
                  </w:tcBorders>
                  <w:vAlign w:val="center"/>
                </w:tcPr>
                <w:p>
                  <w:pPr>
                    <w:adjustRightInd w:val="0"/>
                    <w:snapToGrid w:val="0"/>
                    <w:spacing w:line="240" w:lineRule="auto"/>
                    <w:ind w:left="0" w:leftChars="0" w:firstLine="0" w:firstLineChars="0"/>
                    <w:jc w:val="center"/>
                    <w:rPr>
                      <w:color w:val="auto"/>
                      <w:sz w:val="21"/>
                      <w:szCs w:val="21"/>
                    </w:rPr>
                  </w:pPr>
                  <w:r>
                    <w:rPr>
                      <w:color w:val="auto"/>
                      <w:sz w:val="21"/>
                      <w:szCs w:val="21"/>
                    </w:rPr>
                    <w:t>砂子</w:t>
                  </w:r>
                </w:p>
              </w:tc>
              <w:tc>
                <w:tcPr>
                  <w:tcW w:w="1030" w:type="pct"/>
                  <w:tcBorders>
                    <w:tl2br w:val="nil"/>
                    <w:tr2bl w:val="nil"/>
                  </w:tcBorders>
                  <w:vAlign w:val="center"/>
                </w:tcPr>
                <w:p>
                  <w:pPr>
                    <w:pStyle w:val="53"/>
                    <w:spacing w:line="240" w:lineRule="auto"/>
                    <w:ind w:left="0" w:leftChars="0" w:firstLine="0" w:firstLineChars="0"/>
                    <w:jc w:val="center"/>
                    <w:rPr>
                      <w:rFonts w:hint="default" w:eastAsia="宋体"/>
                      <w:color w:val="auto"/>
                      <w:sz w:val="21"/>
                      <w:szCs w:val="21"/>
                      <w:lang w:val="en-US" w:eastAsia="zh-CN"/>
                    </w:rPr>
                  </w:pPr>
                  <w:r>
                    <w:rPr>
                      <w:rFonts w:hint="eastAsia"/>
                      <w:color w:val="auto"/>
                      <w:sz w:val="21"/>
                      <w:szCs w:val="21"/>
                      <w:lang w:val="en-US" w:eastAsia="zh-CN"/>
                    </w:rPr>
                    <w:t>23.2</w:t>
                  </w:r>
                </w:p>
              </w:tc>
              <w:tc>
                <w:tcPr>
                  <w:tcW w:w="1031" w:type="pct"/>
                  <w:tcBorders>
                    <w:tl2br w:val="nil"/>
                    <w:tr2bl w:val="nil"/>
                  </w:tcBorders>
                  <w:vAlign w:val="center"/>
                </w:tcPr>
                <w:p>
                  <w:pPr>
                    <w:pStyle w:val="53"/>
                    <w:spacing w:line="240" w:lineRule="auto"/>
                    <w:ind w:left="0" w:leftChars="0" w:firstLine="0" w:firstLineChars="0"/>
                    <w:jc w:val="center"/>
                    <w:rPr>
                      <w:color w:val="auto"/>
                      <w:sz w:val="21"/>
                      <w:szCs w:val="21"/>
                    </w:rPr>
                  </w:pPr>
                  <w:r>
                    <w:rPr>
                      <w:rFonts w:hint="eastAsia"/>
                      <w:color w:val="auto"/>
                      <w:sz w:val="21"/>
                      <w:szCs w:val="21"/>
                      <w:lang w:val="en-US" w:eastAsia="zh-CN"/>
                    </w:rPr>
                    <w:t>3</w:t>
                  </w:r>
                  <w:r>
                    <w:rPr>
                      <w:color w:val="auto"/>
                      <w:sz w:val="21"/>
                      <w:szCs w:val="21"/>
                    </w:rPr>
                    <w:t>0t</w:t>
                  </w:r>
                </w:p>
              </w:tc>
              <w:tc>
                <w:tcPr>
                  <w:tcW w:w="1812" w:type="dxa"/>
                  <w:tcBorders>
                    <w:tl2br w:val="nil"/>
                    <w:tr2bl w:val="nil"/>
                  </w:tcBorders>
                  <w:vAlign w:val="center"/>
                </w:tcPr>
                <w:p>
                  <w:pPr>
                    <w:keepNext w:val="0"/>
                    <w:keepLines w:val="0"/>
                    <w:widowControl/>
                    <w:suppressLineNumbers w:val="0"/>
                    <w:spacing w:line="240" w:lineRule="auto"/>
                    <w:ind w:left="0" w:leftChars="0" w:firstLine="0" w:firstLine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7733</w:t>
                  </w:r>
                </w:p>
              </w:tc>
              <w:tc>
                <w:tcPr>
                  <w:tcW w:w="1812" w:type="dxa"/>
                  <w:tcBorders>
                    <w:tl2br w:val="nil"/>
                    <w:tr2bl w:val="nil"/>
                  </w:tcBorders>
                  <w:vAlign w:val="center"/>
                </w:tcPr>
                <w:p>
                  <w:pPr>
                    <w:keepNext w:val="0"/>
                    <w:keepLines w:val="0"/>
                    <w:widowControl/>
                    <w:suppressLineNumbers w:val="0"/>
                    <w:spacing w:line="240" w:lineRule="auto"/>
                    <w:ind w:left="0" w:leftChars="0" w:firstLine="0" w:firstLine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874" w:type="pct"/>
                  <w:tcBorders>
                    <w:tl2br w:val="nil"/>
                    <w:tr2bl w:val="nil"/>
                  </w:tcBorders>
                  <w:vAlign w:val="center"/>
                </w:tcPr>
                <w:p>
                  <w:pPr>
                    <w:adjustRightInd w:val="0"/>
                    <w:snapToGrid w:val="0"/>
                    <w:spacing w:line="240" w:lineRule="auto"/>
                    <w:ind w:left="0" w:leftChars="0" w:firstLine="0" w:firstLineChars="0"/>
                    <w:jc w:val="center"/>
                    <w:rPr>
                      <w:color w:val="auto"/>
                      <w:sz w:val="21"/>
                      <w:szCs w:val="21"/>
                    </w:rPr>
                  </w:pPr>
                  <w:r>
                    <w:rPr>
                      <w:rFonts w:hint="eastAsia"/>
                      <w:color w:val="auto"/>
                      <w:sz w:val="21"/>
                      <w:szCs w:val="21"/>
                      <w:lang w:val="en-US" w:eastAsia="zh-CN"/>
                    </w:rPr>
                    <w:t>小</w:t>
                  </w:r>
                  <w:r>
                    <w:rPr>
                      <w:color w:val="auto"/>
                      <w:sz w:val="21"/>
                      <w:szCs w:val="21"/>
                    </w:rPr>
                    <w:t>碎石</w:t>
                  </w:r>
                </w:p>
              </w:tc>
              <w:tc>
                <w:tcPr>
                  <w:tcW w:w="1030" w:type="pct"/>
                  <w:tcBorders>
                    <w:tl2br w:val="nil"/>
                    <w:tr2bl w:val="nil"/>
                  </w:tcBorders>
                  <w:vAlign w:val="center"/>
                </w:tcPr>
                <w:p>
                  <w:pPr>
                    <w:pStyle w:val="53"/>
                    <w:spacing w:line="240" w:lineRule="auto"/>
                    <w:ind w:left="0" w:leftChars="0" w:firstLine="0" w:firstLineChars="0"/>
                    <w:jc w:val="center"/>
                    <w:rPr>
                      <w:rFonts w:hint="default" w:eastAsia="宋体"/>
                      <w:color w:val="auto"/>
                      <w:sz w:val="21"/>
                      <w:szCs w:val="21"/>
                      <w:lang w:val="en-US" w:eastAsia="zh-CN"/>
                    </w:rPr>
                  </w:pPr>
                  <w:r>
                    <w:rPr>
                      <w:rFonts w:hint="eastAsia"/>
                      <w:color w:val="auto"/>
                      <w:sz w:val="21"/>
                      <w:szCs w:val="21"/>
                      <w:lang w:val="en-US" w:eastAsia="zh-CN"/>
                    </w:rPr>
                    <w:t>13.9</w:t>
                  </w:r>
                </w:p>
              </w:tc>
              <w:tc>
                <w:tcPr>
                  <w:tcW w:w="1031" w:type="pct"/>
                  <w:tcBorders>
                    <w:tl2br w:val="nil"/>
                    <w:tr2bl w:val="nil"/>
                  </w:tcBorders>
                  <w:vAlign w:val="center"/>
                </w:tcPr>
                <w:p>
                  <w:pPr>
                    <w:pStyle w:val="53"/>
                    <w:spacing w:line="240" w:lineRule="auto"/>
                    <w:ind w:left="0" w:leftChars="0" w:firstLine="0" w:firstLineChars="0"/>
                    <w:jc w:val="center"/>
                    <w:rPr>
                      <w:color w:val="auto"/>
                      <w:sz w:val="21"/>
                      <w:szCs w:val="21"/>
                    </w:rPr>
                  </w:pPr>
                  <w:r>
                    <w:rPr>
                      <w:rFonts w:hint="eastAsia"/>
                      <w:color w:val="auto"/>
                      <w:sz w:val="21"/>
                      <w:szCs w:val="21"/>
                      <w:lang w:val="en-US" w:eastAsia="zh-CN"/>
                    </w:rPr>
                    <w:t>3</w:t>
                  </w:r>
                  <w:r>
                    <w:rPr>
                      <w:color w:val="auto"/>
                      <w:sz w:val="21"/>
                      <w:szCs w:val="21"/>
                    </w:rPr>
                    <w:t>0t</w:t>
                  </w:r>
                </w:p>
              </w:tc>
              <w:tc>
                <w:tcPr>
                  <w:tcW w:w="1812" w:type="dxa"/>
                  <w:tcBorders>
                    <w:tl2br w:val="nil"/>
                    <w:tr2bl w:val="nil"/>
                  </w:tcBorders>
                  <w:vAlign w:val="center"/>
                </w:tcPr>
                <w:p>
                  <w:pPr>
                    <w:keepNext w:val="0"/>
                    <w:keepLines w:val="0"/>
                    <w:widowControl/>
                    <w:suppressLineNumbers w:val="0"/>
                    <w:spacing w:line="240" w:lineRule="auto"/>
                    <w:ind w:left="0" w:leftChars="0" w:firstLine="0" w:firstLine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4633</w:t>
                  </w:r>
                </w:p>
              </w:tc>
              <w:tc>
                <w:tcPr>
                  <w:tcW w:w="1812" w:type="dxa"/>
                  <w:tcBorders>
                    <w:tl2br w:val="nil"/>
                    <w:tr2bl w:val="nil"/>
                  </w:tcBorders>
                  <w:vAlign w:val="center"/>
                </w:tcPr>
                <w:p>
                  <w:pPr>
                    <w:keepNext w:val="0"/>
                    <w:keepLines w:val="0"/>
                    <w:widowControl/>
                    <w:suppressLineNumbers w:val="0"/>
                    <w:spacing w:line="240" w:lineRule="auto"/>
                    <w:ind w:left="0" w:leftChars="0" w:firstLine="0" w:firstLine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874" w:type="pct"/>
                  <w:tcBorders>
                    <w:tl2br w:val="nil"/>
                    <w:tr2bl w:val="nil"/>
                  </w:tcBorders>
                  <w:vAlign w:val="center"/>
                </w:tcPr>
                <w:p>
                  <w:pPr>
                    <w:adjustRightInd w:val="0"/>
                    <w:snapToGrid w:val="0"/>
                    <w:spacing w:line="240" w:lineRule="auto"/>
                    <w:ind w:left="0" w:leftChars="0" w:firstLine="0" w:firstLineChars="0"/>
                    <w:jc w:val="center"/>
                    <w:rPr>
                      <w:rFonts w:hint="default" w:eastAsia="宋体"/>
                      <w:color w:val="auto"/>
                      <w:sz w:val="21"/>
                      <w:szCs w:val="21"/>
                      <w:lang w:val="en-US" w:eastAsia="zh-CN"/>
                    </w:rPr>
                  </w:pPr>
                  <w:r>
                    <w:rPr>
                      <w:rFonts w:hint="eastAsia"/>
                      <w:color w:val="auto"/>
                      <w:sz w:val="21"/>
                      <w:szCs w:val="21"/>
                      <w:lang w:val="en-US" w:eastAsia="zh-CN"/>
                    </w:rPr>
                    <w:t>大碎石</w:t>
                  </w:r>
                </w:p>
              </w:tc>
              <w:tc>
                <w:tcPr>
                  <w:tcW w:w="1030" w:type="pct"/>
                  <w:tcBorders>
                    <w:tl2br w:val="nil"/>
                    <w:tr2bl w:val="nil"/>
                  </w:tcBorders>
                  <w:vAlign w:val="center"/>
                </w:tcPr>
                <w:p>
                  <w:pPr>
                    <w:pStyle w:val="53"/>
                    <w:spacing w:line="240" w:lineRule="auto"/>
                    <w:ind w:left="0" w:leftChars="0" w:firstLine="0" w:firstLineChars="0"/>
                    <w:jc w:val="center"/>
                    <w:rPr>
                      <w:rFonts w:hint="default" w:eastAsia="宋体"/>
                      <w:color w:val="auto"/>
                      <w:sz w:val="21"/>
                      <w:szCs w:val="21"/>
                      <w:lang w:val="en-US" w:eastAsia="zh-CN"/>
                    </w:rPr>
                  </w:pPr>
                  <w:r>
                    <w:rPr>
                      <w:rFonts w:hint="eastAsia"/>
                      <w:color w:val="auto"/>
                      <w:sz w:val="21"/>
                      <w:szCs w:val="21"/>
                      <w:lang w:val="en-US" w:eastAsia="zh-CN"/>
                    </w:rPr>
                    <w:t>11</w:t>
                  </w:r>
                </w:p>
              </w:tc>
              <w:tc>
                <w:tcPr>
                  <w:tcW w:w="1031" w:type="pct"/>
                  <w:tcBorders>
                    <w:tl2br w:val="nil"/>
                    <w:tr2bl w:val="nil"/>
                  </w:tcBorders>
                  <w:vAlign w:val="center"/>
                </w:tcPr>
                <w:p>
                  <w:pPr>
                    <w:pStyle w:val="53"/>
                    <w:spacing w:line="240" w:lineRule="auto"/>
                    <w:ind w:left="0" w:leftChars="0" w:firstLine="0" w:firstLineChars="0"/>
                    <w:jc w:val="center"/>
                    <w:rPr>
                      <w:rFonts w:hint="default"/>
                      <w:color w:val="auto"/>
                      <w:sz w:val="21"/>
                      <w:szCs w:val="21"/>
                      <w:lang w:val="en-US" w:eastAsia="zh-CN"/>
                    </w:rPr>
                  </w:pPr>
                  <w:r>
                    <w:rPr>
                      <w:rFonts w:hint="eastAsia"/>
                      <w:color w:val="auto"/>
                      <w:sz w:val="21"/>
                      <w:szCs w:val="21"/>
                      <w:lang w:val="en-US" w:eastAsia="zh-CN"/>
                    </w:rPr>
                    <w:t>30t</w:t>
                  </w:r>
                </w:p>
              </w:tc>
              <w:tc>
                <w:tcPr>
                  <w:tcW w:w="1812" w:type="dxa"/>
                  <w:tcBorders>
                    <w:tl2br w:val="nil"/>
                    <w:tr2bl w:val="nil"/>
                  </w:tcBorders>
                  <w:vAlign w:val="center"/>
                </w:tcPr>
                <w:p>
                  <w:pPr>
                    <w:keepNext w:val="0"/>
                    <w:keepLines w:val="0"/>
                    <w:widowControl/>
                    <w:suppressLineNumbers w:val="0"/>
                    <w:spacing w:line="240" w:lineRule="auto"/>
                    <w:ind w:left="0" w:leftChars="0" w:firstLine="0" w:firstLine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3667</w:t>
                  </w:r>
                </w:p>
              </w:tc>
              <w:tc>
                <w:tcPr>
                  <w:tcW w:w="1812" w:type="dxa"/>
                  <w:tcBorders>
                    <w:tl2br w:val="nil"/>
                    <w:tr2bl w:val="nil"/>
                  </w:tcBorders>
                  <w:vAlign w:val="center"/>
                </w:tcPr>
                <w:p>
                  <w:pPr>
                    <w:keepNext w:val="0"/>
                    <w:keepLines w:val="0"/>
                    <w:widowControl/>
                    <w:suppressLineNumbers w:val="0"/>
                    <w:spacing w:line="240" w:lineRule="auto"/>
                    <w:ind w:left="0" w:leftChars="0" w:firstLine="0" w:firstLine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74" w:type="pct"/>
                  <w:tcBorders>
                    <w:tl2br w:val="nil"/>
                    <w:tr2bl w:val="nil"/>
                  </w:tcBorders>
                  <w:vAlign w:val="center"/>
                </w:tcPr>
                <w:p>
                  <w:pPr>
                    <w:adjustRightInd w:val="0"/>
                    <w:snapToGrid w:val="0"/>
                    <w:spacing w:line="240" w:lineRule="auto"/>
                    <w:ind w:left="0" w:leftChars="0" w:firstLine="0" w:firstLineChars="0"/>
                    <w:jc w:val="center"/>
                    <w:rPr>
                      <w:color w:val="auto"/>
                      <w:sz w:val="21"/>
                      <w:szCs w:val="21"/>
                    </w:rPr>
                  </w:pPr>
                  <w:r>
                    <w:rPr>
                      <w:color w:val="auto"/>
                      <w:sz w:val="21"/>
                      <w:szCs w:val="21"/>
                    </w:rPr>
                    <w:t>外加剂</w:t>
                  </w:r>
                </w:p>
              </w:tc>
              <w:tc>
                <w:tcPr>
                  <w:tcW w:w="1030" w:type="pct"/>
                  <w:tcBorders>
                    <w:tl2br w:val="nil"/>
                    <w:tr2bl w:val="nil"/>
                  </w:tcBorders>
                  <w:vAlign w:val="center"/>
                </w:tcPr>
                <w:p>
                  <w:pPr>
                    <w:pStyle w:val="53"/>
                    <w:spacing w:line="240" w:lineRule="auto"/>
                    <w:ind w:left="0" w:leftChars="0" w:firstLine="0" w:firstLineChars="0"/>
                    <w:jc w:val="center"/>
                    <w:rPr>
                      <w:rFonts w:hint="default" w:eastAsia="宋体"/>
                      <w:color w:val="auto"/>
                      <w:sz w:val="21"/>
                      <w:szCs w:val="21"/>
                      <w:lang w:val="en-US" w:eastAsia="zh-CN"/>
                    </w:rPr>
                  </w:pPr>
                  <w:r>
                    <w:rPr>
                      <w:rFonts w:hint="eastAsia"/>
                      <w:color w:val="auto"/>
                      <w:sz w:val="21"/>
                      <w:szCs w:val="21"/>
                      <w:lang w:val="en-US" w:eastAsia="zh-CN"/>
                    </w:rPr>
                    <w:t>0.15</w:t>
                  </w:r>
                </w:p>
              </w:tc>
              <w:tc>
                <w:tcPr>
                  <w:tcW w:w="1031" w:type="pct"/>
                  <w:tcBorders>
                    <w:tl2br w:val="nil"/>
                    <w:tr2bl w:val="nil"/>
                  </w:tcBorders>
                  <w:vAlign w:val="center"/>
                </w:tcPr>
                <w:p>
                  <w:pPr>
                    <w:pStyle w:val="53"/>
                    <w:spacing w:line="240" w:lineRule="auto"/>
                    <w:ind w:left="0" w:leftChars="0" w:firstLine="0" w:firstLineChars="0"/>
                    <w:jc w:val="center"/>
                    <w:rPr>
                      <w:color w:val="auto"/>
                      <w:sz w:val="21"/>
                      <w:szCs w:val="21"/>
                    </w:rPr>
                  </w:pPr>
                  <w:r>
                    <w:rPr>
                      <w:rFonts w:hint="eastAsia"/>
                      <w:color w:val="auto"/>
                      <w:sz w:val="21"/>
                      <w:szCs w:val="21"/>
                      <w:lang w:val="en-US" w:eastAsia="zh-CN"/>
                    </w:rPr>
                    <w:t>3</w:t>
                  </w:r>
                  <w:r>
                    <w:rPr>
                      <w:rFonts w:hint="eastAsia"/>
                      <w:color w:val="auto"/>
                      <w:sz w:val="21"/>
                      <w:szCs w:val="21"/>
                    </w:rPr>
                    <w:t>0t</w:t>
                  </w:r>
                </w:p>
              </w:tc>
              <w:tc>
                <w:tcPr>
                  <w:tcW w:w="1812" w:type="dxa"/>
                  <w:tcBorders>
                    <w:tl2br w:val="nil"/>
                    <w:tr2bl w:val="nil"/>
                  </w:tcBorders>
                  <w:vAlign w:val="center"/>
                </w:tcPr>
                <w:p>
                  <w:pPr>
                    <w:keepNext w:val="0"/>
                    <w:keepLines w:val="0"/>
                    <w:widowControl/>
                    <w:suppressLineNumbers w:val="0"/>
                    <w:spacing w:line="240" w:lineRule="auto"/>
                    <w:ind w:left="0" w:leftChars="0" w:firstLine="0" w:firstLineChars="0"/>
                    <w:jc w:val="center"/>
                    <w:textAlignment w:val="center"/>
                    <w:rPr>
                      <w:rFonts w:hint="default" w:eastAsia="宋体"/>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812" w:type="dxa"/>
                  <w:tcBorders>
                    <w:tl2br w:val="nil"/>
                    <w:tr2bl w:val="nil"/>
                  </w:tcBorders>
                  <w:vAlign w:val="center"/>
                </w:tcPr>
                <w:p>
                  <w:pPr>
                    <w:keepNext w:val="0"/>
                    <w:keepLines w:val="0"/>
                    <w:widowControl/>
                    <w:suppressLineNumbers w:val="0"/>
                    <w:spacing w:line="240" w:lineRule="auto"/>
                    <w:ind w:left="0" w:leftChars="0" w:firstLine="0" w:firstLineChars="0"/>
                    <w:jc w:val="center"/>
                    <w:textAlignment w:val="center"/>
                    <w:rPr>
                      <w:rFonts w:hint="eastAsia" w:eastAsia="宋体"/>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74" w:type="pct"/>
                  <w:tcBorders>
                    <w:tl2br w:val="nil"/>
                    <w:tr2bl w:val="nil"/>
                  </w:tcBorders>
                  <w:vAlign w:val="center"/>
                </w:tcPr>
                <w:p>
                  <w:pPr>
                    <w:adjustRightInd w:val="0"/>
                    <w:snapToGrid w:val="0"/>
                    <w:spacing w:line="240" w:lineRule="auto"/>
                    <w:jc w:val="center"/>
                    <w:rPr>
                      <w:color w:val="auto"/>
                      <w:sz w:val="21"/>
                      <w:szCs w:val="21"/>
                    </w:rPr>
                  </w:pPr>
                  <w:r>
                    <w:rPr>
                      <w:rFonts w:hint="eastAsia"/>
                      <w:color w:val="auto"/>
                      <w:sz w:val="21"/>
                      <w:szCs w:val="21"/>
                    </w:rPr>
                    <w:t>合计</w:t>
                  </w:r>
                </w:p>
              </w:tc>
              <w:tc>
                <w:tcPr>
                  <w:tcW w:w="1030" w:type="pct"/>
                  <w:tcBorders>
                    <w:tl2br w:val="nil"/>
                    <w:tr2bl w:val="nil"/>
                  </w:tcBorders>
                  <w:vAlign w:val="center"/>
                </w:tcPr>
                <w:p>
                  <w:pPr>
                    <w:pStyle w:val="53"/>
                    <w:spacing w:line="240" w:lineRule="auto"/>
                    <w:ind w:left="0" w:leftChars="0" w:firstLine="0" w:firstLineChars="0"/>
                    <w:jc w:val="center"/>
                    <w:rPr>
                      <w:color w:val="auto"/>
                      <w:sz w:val="21"/>
                      <w:szCs w:val="21"/>
                    </w:rPr>
                  </w:pPr>
                  <w:r>
                    <w:rPr>
                      <w:rFonts w:hint="eastAsia"/>
                      <w:color w:val="auto"/>
                      <w:sz w:val="21"/>
                      <w:szCs w:val="21"/>
                    </w:rPr>
                    <w:t>/</w:t>
                  </w:r>
                </w:p>
              </w:tc>
              <w:tc>
                <w:tcPr>
                  <w:tcW w:w="1031" w:type="pct"/>
                  <w:tcBorders>
                    <w:tl2br w:val="nil"/>
                    <w:tr2bl w:val="nil"/>
                  </w:tcBorders>
                  <w:vAlign w:val="center"/>
                </w:tcPr>
                <w:p>
                  <w:pPr>
                    <w:pStyle w:val="53"/>
                    <w:spacing w:line="240" w:lineRule="auto"/>
                    <w:jc w:val="center"/>
                    <w:rPr>
                      <w:color w:val="auto"/>
                      <w:sz w:val="21"/>
                      <w:szCs w:val="21"/>
                    </w:rPr>
                  </w:pPr>
                  <w:r>
                    <w:rPr>
                      <w:rFonts w:hint="eastAsia"/>
                      <w:color w:val="auto"/>
                      <w:sz w:val="21"/>
                      <w:szCs w:val="21"/>
                    </w:rPr>
                    <w:t>/</w:t>
                  </w:r>
                </w:p>
              </w:tc>
              <w:tc>
                <w:tcPr>
                  <w:tcW w:w="1031" w:type="pct"/>
                  <w:tcBorders>
                    <w:tl2br w:val="nil"/>
                    <w:tr2bl w:val="nil"/>
                  </w:tcBorders>
                  <w:vAlign w:val="center"/>
                </w:tcPr>
                <w:p>
                  <w:pPr>
                    <w:widowControl/>
                    <w:spacing w:line="240" w:lineRule="auto"/>
                    <w:ind w:left="0" w:leftChars="0" w:firstLine="0" w:firstLineChars="0"/>
                    <w:jc w:val="center"/>
                    <w:textAlignment w:val="center"/>
                    <w:rPr>
                      <w:rFonts w:hint="default" w:eastAsia="宋体"/>
                      <w:color w:val="auto"/>
                      <w:sz w:val="21"/>
                      <w:szCs w:val="21"/>
                      <w:lang w:val="en-US" w:eastAsia="zh-CN"/>
                    </w:rPr>
                  </w:pPr>
                  <w:r>
                    <w:rPr>
                      <w:rFonts w:hint="eastAsia"/>
                      <w:color w:val="auto"/>
                      <w:kern w:val="0"/>
                      <w:sz w:val="21"/>
                      <w:szCs w:val="21"/>
                      <w:lang w:val="en-US" w:eastAsia="zh-CN" w:bidi="ar"/>
                    </w:rPr>
                    <w:t>31150</w:t>
                  </w:r>
                </w:p>
              </w:tc>
              <w:tc>
                <w:tcPr>
                  <w:tcW w:w="1031" w:type="pct"/>
                  <w:tcBorders>
                    <w:tl2br w:val="nil"/>
                    <w:tr2bl w:val="nil"/>
                  </w:tcBorders>
                  <w:vAlign w:val="center"/>
                </w:tcPr>
                <w:p>
                  <w:pPr>
                    <w:widowControl/>
                    <w:spacing w:line="240" w:lineRule="auto"/>
                    <w:ind w:left="0" w:leftChars="0" w:firstLine="0" w:firstLineChars="0"/>
                    <w:jc w:val="center"/>
                    <w:textAlignment w:val="center"/>
                    <w:rPr>
                      <w:rFonts w:hint="default" w:eastAsia="宋体"/>
                      <w:color w:val="auto"/>
                      <w:sz w:val="21"/>
                      <w:szCs w:val="21"/>
                      <w:lang w:val="en-US" w:eastAsia="zh-CN"/>
                    </w:rPr>
                  </w:pPr>
                  <w:r>
                    <w:rPr>
                      <w:rFonts w:hint="eastAsia"/>
                      <w:color w:val="auto"/>
                      <w:kern w:val="0"/>
                      <w:sz w:val="21"/>
                      <w:szCs w:val="21"/>
                      <w:lang w:val="en-US" w:eastAsia="zh-CN" w:bidi="ar"/>
                    </w:rPr>
                    <w:t>1.988</w:t>
                  </w:r>
                </w:p>
              </w:tc>
            </w:tr>
          </w:tbl>
          <w:p>
            <w:pPr>
              <w:pStyle w:val="12"/>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根据上式计算出：本项目厂区内运输扬尘起尘量为</w:t>
            </w:r>
            <w:r>
              <w:rPr>
                <w:rFonts w:hint="eastAsia" w:cs="Times New Roman"/>
                <w:color w:val="auto"/>
                <w:kern w:val="0"/>
                <w:sz w:val="24"/>
                <w:szCs w:val="24"/>
                <w:lang w:val="en-US" w:eastAsia="zh-CN" w:bidi="ar-SA"/>
              </w:rPr>
              <w:t>1.988t</w:t>
            </w:r>
            <w:r>
              <w:rPr>
                <w:rFonts w:ascii="Times New Roman" w:hAnsi="Times New Roman" w:eastAsia="宋体" w:cs="Times New Roman"/>
                <w:color w:val="auto"/>
                <w:kern w:val="0"/>
                <w:sz w:val="24"/>
                <w:szCs w:val="24"/>
                <w:lang w:val="en-US" w:eastAsia="zh-CN" w:bidi="ar-SA"/>
              </w:rPr>
              <w:t>/a</w:t>
            </w:r>
            <w:r>
              <w:rPr>
                <w:rFonts w:hint="eastAsia" w:ascii="Times New Roman" w:hAnsi="Times New Roman" w:eastAsia="宋体" w:cs="Times New Roman"/>
                <w:color w:val="auto"/>
                <w:kern w:val="0"/>
                <w:sz w:val="24"/>
                <w:szCs w:val="24"/>
                <w:lang w:val="en-US" w:eastAsia="zh-CN" w:bidi="ar-SA"/>
              </w:rPr>
              <w:t>，产生速率0.904kg/h</w:t>
            </w:r>
            <w:r>
              <w:rPr>
                <w:rFonts w:ascii="Times New Roman" w:hAnsi="Times New Roman" w:eastAsia="宋体" w:cs="Times New Roman"/>
                <w:color w:val="auto"/>
                <w:kern w:val="0"/>
                <w:sz w:val="24"/>
                <w:szCs w:val="24"/>
                <w:lang w:val="en-US" w:eastAsia="zh-CN" w:bidi="ar-SA"/>
              </w:rPr>
              <w:t>。为了最大限度减小原材料及成品运输对外环境带来的不利影响，评价要求采取以下措施：</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a</w:t>
            </w:r>
            <w:r>
              <w:rPr>
                <w:rFonts w:hint="eastAsia" w:ascii="Times New Roman" w:hAnsi="Times New Roman" w:eastAsia="宋体" w:cs="Times New Roman"/>
                <w:color w:val="auto"/>
                <w:kern w:val="0"/>
                <w:sz w:val="24"/>
                <w:szCs w:val="24"/>
                <w:lang w:val="en-US" w:eastAsia="zh-CN" w:bidi="ar-SA"/>
              </w:rPr>
              <w:t>.</w:t>
            </w:r>
            <w:r>
              <w:rPr>
                <w:rFonts w:hint="eastAsia" w:ascii="Times New Roman" w:hAnsi="Times New Roman" w:cs="Times New Roman"/>
                <w:color w:val="auto"/>
                <w:kern w:val="0"/>
                <w:sz w:val="24"/>
                <w:szCs w:val="24"/>
                <w:lang w:val="en-US" w:eastAsia="zh-CN" w:bidi="ar-SA"/>
              </w:rPr>
              <w:t>每天</w:t>
            </w:r>
            <w:r>
              <w:rPr>
                <w:rFonts w:ascii="Times New Roman" w:hAnsi="Times New Roman" w:eastAsia="宋体" w:cs="Times New Roman"/>
                <w:color w:val="auto"/>
                <w:kern w:val="0"/>
                <w:sz w:val="24"/>
                <w:szCs w:val="24"/>
                <w:lang w:val="en-US" w:eastAsia="zh-CN" w:bidi="ar-SA"/>
              </w:rPr>
              <w:t>对厂区地面</w:t>
            </w:r>
            <w:r>
              <w:rPr>
                <w:rFonts w:hint="eastAsia" w:ascii="Times New Roman" w:hAnsi="Times New Roman" w:eastAsia="宋体" w:cs="Times New Roman"/>
                <w:color w:val="auto"/>
                <w:kern w:val="0"/>
                <w:sz w:val="24"/>
                <w:szCs w:val="24"/>
                <w:lang w:val="en-US" w:eastAsia="zh-CN" w:bidi="ar-SA"/>
              </w:rPr>
              <w:t>及运输道路</w:t>
            </w:r>
            <w:r>
              <w:rPr>
                <w:rFonts w:ascii="Times New Roman" w:hAnsi="Times New Roman" w:eastAsia="宋体" w:cs="Times New Roman"/>
                <w:color w:val="auto"/>
                <w:kern w:val="0"/>
                <w:sz w:val="24"/>
                <w:szCs w:val="24"/>
                <w:lang w:val="en-US" w:eastAsia="zh-CN" w:bidi="ar-SA"/>
              </w:rPr>
              <w:t>进行洒水降尘、清扫</w:t>
            </w:r>
            <w:r>
              <w:rPr>
                <w:rFonts w:hint="eastAsia" w:ascii="Times New Roman" w:hAnsi="Times New Roman" w:cs="Times New Roman"/>
                <w:color w:val="auto"/>
                <w:kern w:val="0"/>
                <w:sz w:val="24"/>
                <w:szCs w:val="24"/>
                <w:lang w:val="en-US" w:eastAsia="zh-CN" w:bidi="ar-SA"/>
              </w:rPr>
              <w:t>，保持运输道路的湿度</w:t>
            </w:r>
            <w:r>
              <w:rPr>
                <w:rFonts w:ascii="Times New Roman" w:hAnsi="Times New Roman" w:eastAsia="宋体" w:cs="Times New Roman"/>
                <w:color w:val="auto"/>
                <w:kern w:val="0"/>
                <w:sz w:val="24"/>
                <w:szCs w:val="24"/>
                <w:lang w:val="en-US" w:eastAsia="zh-CN" w:bidi="ar-SA"/>
              </w:rPr>
              <w:t>；</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b</w:t>
            </w:r>
            <w:r>
              <w:rPr>
                <w:rFonts w:hint="eastAsia" w:ascii="Times New Roman" w:hAnsi="Times New Roman" w:eastAsia="宋体" w:cs="Times New Roman"/>
                <w:color w:val="auto"/>
                <w:kern w:val="0"/>
                <w:sz w:val="24"/>
                <w:szCs w:val="24"/>
                <w:lang w:val="en-US" w:eastAsia="zh-CN" w:bidi="ar-SA"/>
              </w:rPr>
              <w:t>.</w:t>
            </w:r>
            <w:r>
              <w:rPr>
                <w:rFonts w:hint="eastAsia" w:ascii="Times New Roman" w:hAnsi="Times New Roman" w:cs="Times New Roman"/>
                <w:color w:val="auto"/>
                <w:kern w:val="0"/>
                <w:sz w:val="24"/>
                <w:szCs w:val="24"/>
                <w:lang w:val="en-US" w:eastAsia="zh-CN" w:bidi="ar-SA"/>
              </w:rPr>
              <w:t>严格管理进出场车辆的车速，车辆</w:t>
            </w:r>
            <w:r>
              <w:rPr>
                <w:rFonts w:ascii="Times New Roman" w:hAnsi="Times New Roman" w:eastAsia="宋体" w:cs="Times New Roman"/>
                <w:color w:val="auto"/>
                <w:kern w:val="0"/>
                <w:sz w:val="24"/>
                <w:szCs w:val="24"/>
                <w:lang w:val="en-US" w:eastAsia="zh-CN" w:bidi="ar-SA"/>
              </w:rPr>
              <w:t>进出要</w:t>
            </w:r>
            <w:r>
              <w:rPr>
                <w:rFonts w:hint="eastAsia" w:ascii="Times New Roman" w:hAnsi="Times New Roman" w:cs="Times New Roman"/>
                <w:color w:val="auto"/>
                <w:kern w:val="0"/>
                <w:sz w:val="24"/>
                <w:szCs w:val="24"/>
                <w:lang w:val="en-US" w:eastAsia="zh-CN" w:bidi="ar-SA"/>
              </w:rPr>
              <w:t>低</w:t>
            </w:r>
            <w:r>
              <w:rPr>
                <w:rFonts w:ascii="Times New Roman" w:hAnsi="Times New Roman" w:eastAsia="宋体" w:cs="Times New Roman"/>
                <w:color w:val="auto"/>
                <w:kern w:val="0"/>
                <w:sz w:val="24"/>
                <w:szCs w:val="24"/>
                <w:lang w:val="en-US" w:eastAsia="zh-CN" w:bidi="ar-SA"/>
              </w:rPr>
              <w:t>速慢行；</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c</w:t>
            </w:r>
            <w:r>
              <w:rPr>
                <w:rFonts w:hint="eastAsia" w:ascii="Times New Roman" w:hAnsi="Times New Roman" w:eastAsia="宋体" w:cs="Times New Roman"/>
                <w:color w:val="auto"/>
                <w:kern w:val="0"/>
                <w:sz w:val="24"/>
                <w:szCs w:val="24"/>
                <w:lang w:val="en-US" w:eastAsia="zh-CN" w:bidi="ar-SA"/>
              </w:rPr>
              <w:t>.</w:t>
            </w:r>
            <w:r>
              <w:rPr>
                <w:rFonts w:ascii="Times New Roman" w:hAnsi="Times New Roman" w:eastAsia="宋体" w:cs="Times New Roman"/>
                <w:color w:val="auto"/>
                <w:kern w:val="0"/>
                <w:sz w:val="24"/>
                <w:szCs w:val="24"/>
                <w:lang w:val="en-US" w:eastAsia="zh-CN" w:bidi="ar-SA"/>
              </w:rPr>
              <w:t>砂石运输车辆</w:t>
            </w:r>
            <w:r>
              <w:rPr>
                <w:rFonts w:hint="eastAsia" w:ascii="Times New Roman" w:hAnsi="Times New Roman" w:cs="Times New Roman"/>
                <w:color w:val="auto"/>
                <w:kern w:val="0"/>
                <w:sz w:val="24"/>
                <w:szCs w:val="24"/>
                <w:lang w:val="en-US" w:eastAsia="zh-CN" w:bidi="ar-SA"/>
              </w:rPr>
              <w:t>进出必须</w:t>
            </w:r>
            <w:r>
              <w:rPr>
                <w:rFonts w:ascii="Times New Roman" w:hAnsi="Times New Roman" w:eastAsia="宋体" w:cs="Times New Roman"/>
                <w:color w:val="auto"/>
                <w:kern w:val="0"/>
                <w:sz w:val="24"/>
                <w:szCs w:val="24"/>
                <w:lang w:val="en-US" w:eastAsia="zh-CN" w:bidi="ar-SA"/>
              </w:rPr>
              <w:t>封闭遮盖，粉料采用密闭罐车运输，</w:t>
            </w:r>
            <w:r>
              <w:rPr>
                <w:rFonts w:hint="eastAsia" w:ascii="Times New Roman" w:hAnsi="Times New Roman" w:cs="Times New Roman"/>
                <w:color w:val="auto"/>
                <w:kern w:val="0"/>
                <w:sz w:val="24"/>
                <w:szCs w:val="24"/>
                <w:lang w:val="en-US" w:eastAsia="zh-CN" w:bidi="ar-SA"/>
              </w:rPr>
              <w:t>减少</w:t>
            </w:r>
            <w:r>
              <w:rPr>
                <w:rFonts w:ascii="Times New Roman" w:hAnsi="Times New Roman" w:eastAsia="宋体" w:cs="Times New Roman"/>
                <w:color w:val="auto"/>
                <w:kern w:val="0"/>
                <w:sz w:val="24"/>
                <w:szCs w:val="24"/>
                <w:lang w:val="en-US" w:eastAsia="zh-CN" w:bidi="ar-SA"/>
              </w:rPr>
              <w:t>原料的散落。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经采取以上措施后可</w:t>
            </w:r>
            <w:r>
              <w:rPr>
                <w:rFonts w:hint="eastAsia" w:cs="Times New Roman"/>
                <w:color w:val="auto"/>
                <w:kern w:val="0"/>
                <w:sz w:val="24"/>
                <w:szCs w:val="24"/>
                <w:lang w:val="en-US" w:eastAsia="zh-CN" w:bidi="ar-SA"/>
              </w:rPr>
              <w:t>减少</w:t>
            </w:r>
            <w:r>
              <w:rPr>
                <w:rFonts w:ascii="Times New Roman" w:hAnsi="Times New Roman" w:eastAsia="宋体" w:cs="Times New Roman"/>
                <w:color w:val="auto"/>
                <w:kern w:val="0"/>
                <w:sz w:val="24"/>
                <w:szCs w:val="24"/>
                <w:lang w:val="en-US" w:eastAsia="zh-CN" w:bidi="ar-SA"/>
              </w:rPr>
              <w:t>运输道路扬尘，扬尘量减少</w:t>
            </w:r>
            <w:r>
              <w:rPr>
                <w:rFonts w:hint="eastAsia" w:cs="Times New Roman"/>
                <w:color w:val="auto"/>
                <w:kern w:val="0"/>
                <w:sz w:val="24"/>
                <w:szCs w:val="24"/>
                <w:lang w:val="en-US" w:eastAsia="zh-CN" w:bidi="ar-SA"/>
              </w:rPr>
              <w:t>70</w:t>
            </w:r>
            <w:r>
              <w:rPr>
                <w:rFonts w:ascii="Times New Roman" w:hAnsi="Times New Roman" w:eastAsia="宋体" w:cs="Times New Roman"/>
                <w:color w:val="auto"/>
                <w:kern w:val="0"/>
                <w:sz w:val="24"/>
                <w:szCs w:val="24"/>
                <w:lang w:val="en-US" w:eastAsia="zh-CN" w:bidi="ar-SA"/>
              </w:rPr>
              <w:t>%左右，即道路扬尘排放量约为</w:t>
            </w:r>
            <w:r>
              <w:rPr>
                <w:rFonts w:hint="eastAsia" w:ascii="Times New Roman" w:hAnsi="Times New Roman" w:eastAsia="宋体" w:cs="Times New Roman"/>
                <w:color w:val="auto"/>
                <w:kern w:val="0"/>
                <w:sz w:val="24"/>
                <w:szCs w:val="24"/>
                <w:lang w:val="en-US" w:eastAsia="zh-CN" w:bidi="ar-SA"/>
              </w:rPr>
              <w:t>0.596</w:t>
            </w:r>
            <w:r>
              <w:rPr>
                <w:rFonts w:ascii="Times New Roman" w:hAnsi="Times New Roman" w:eastAsia="宋体" w:cs="Times New Roman"/>
                <w:color w:val="auto"/>
                <w:kern w:val="0"/>
                <w:sz w:val="24"/>
                <w:szCs w:val="24"/>
                <w:lang w:val="en-US" w:eastAsia="zh-CN" w:bidi="ar-SA"/>
              </w:rPr>
              <w:t>t/a</w:t>
            </w:r>
            <w:r>
              <w:rPr>
                <w:rFonts w:hint="eastAsia" w:ascii="Times New Roman" w:hAnsi="Times New Roman" w:eastAsia="宋体" w:cs="Times New Roman"/>
                <w:color w:val="auto"/>
                <w:kern w:val="0"/>
                <w:sz w:val="24"/>
                <w:szCs w:val="24"/>
                <w:lang w:val="en-US" w:eastAsia="zh-CN" w:bidi="ar-SA"/>
              </w:rPr>
              <w:t>，排放速率0.271kg/h</w:t>
            </w:r>
            <w:r>
              <w:rPr>
                <w:rFonts w:ascii="Times New Roman" w:hAnsi="Times New Roman" w:eastAsia="宋体" w:cs="Times New Roman"/>
                <w:color w:val="auto"/>
                <w:kern w:val="0"/>
                <w:sz w:val="24"/>
                <w:szCs w:val="24"/>
                <w:lang w:val="en-US" w:eastAsia="zh-CN" w:bidi="ar-SA"/>
              </w:rPr>
              <w:t>。</w:t>
            </w:r>
          </w:p>
          <w:p>
            <w:pPr>
              <w:spacing w:line="360" w:lineRule="auto"/>
              <w:rPr>
                <w:b/>
                <w:color w:val="auto"/>
                <w:sz w:val="24"/>
                <w:szCs w:val="22"/>
              </w:rPr>
            </w:pPr>
            <w:r>
              <w:rPr>
                <w:rFonts w:hint="eastAsia"/>
                <w:b/>
                <w:color w:val="auto"/>
                <w:sz w:val="24"/>
                <w:lang w:eastAsia="zh-CN"/>
              </w:rPr>
              <w:t>（</w:t>
            </w:r>
            <w:r>
              <w:rPr>
                <w:rFonts w:hint="eastAsia"/>
                <w:b/>
                <w:color w:val="auto"/>
                <w:sz w:val="24"/>
                <w:lang w:val="en-US" w:eastAsia="zh-CN"/>
              </w:rPr>
              <w:t>6</w:t>
            </w:r>
            <w:r>
              <w:rPr>
                <w:rFonts w:hint="eastAsia"/>
                <w:b/>
                <w:color w:val="auto"/>
                <w:sz w:val="24"/>
                <w:lang w:eastAsia="zh-CN"/>
              </w:rPr>
              <w:t>）</w:t>
            </w:r>
            <w:r>
              <w:rPr>
                <w:rFonts w:hint="eastAsia"/>
                <w:b/>
                <w:color w:val="auto"/>
                <w:sz w:val="24"/>
              </w:rPr>
              <w:t>廊道</w:t>
            </w:r>
            <w:r>
              <w:rPr>
                <w:rFonts w:hint="eastAsia"/>
                <w:b/>
                <w:color w:val="auto"/>
                <w:sz w:val="24"/>
                <w:szCs w:val="22"/>
              </w:rPr>
              <w:t>输送</w:t>
            </w:r>
            <w:r>
              <w:rPr>
                <w:b/>
                <w:color w:val="auto"/>
                <w:sz w:val="24"/>
                <w:szCs w:val="22"/>
              </w:rPr>
              <w:t>起尘量</w:t>
            </w:r>
          </w:p>
          <w:p>
            <w:pPr>
              <w:pStyle w:val="12"/>
              <w:widowControl w:val="0"/>
              <w:snapToGrid/>
              <w:spacing w:before="0" w:after="0" w:line="360" w:lineRule="auto"/>
              <w:ind w:right="0" w:firstLine="480" w:firstLineChars="200"/>
              <w:rPr>
                <w:rFonts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本项目原料砂子小石料场采用全封闭措施，大石料场采用半封闭+防风抑尘网措施，并定期洒水降尘，生产过程中砂石料均通过密闭廊道运输至搅拌机，产生的粉尘自然沉降，廊道输送过程产生的粉尘对环境影响程度较小，本次环评不进行计量分析。</w:t>
            </w:r>
          </w:p>
          <w:p>
            <w:pPr>
              <w:bidi w:val="0"/>
              <w:ind w:left="0" w:leftChars="0" w:firstLine="482" w:firstLineChars="200"/>
              <w:rPr>
                <w:rFonts w:hint="default" w:ascii="Times New Roman" w:hAnsi="Times New Roman" w:cs="Times New Roman"/>
                <w:b/>
                <w:bCs/>
                <w:color w:val="auto"/>
                <w:lang w:val="en-US" w:eastAsia="zh-CN"/>
              </w:rPr>
            </w:pPr>
            <w:r>
              <w:rPr>
                <w:rFonts w:hint="eastAsia" w:cs="Times New Roman"/>
                <w:b/>
                <w:bCs/>
                <w:color w:val="auto"/>
                <w:lang w:val="en-US" w:eastAsia="zh-CN"/>
              </w:rPr>
              <w:t>（6）</w:t>
            </w:r>
            <w:r>
              <w:rPr>
                <w:rFonts w:hint="default" w:ascii="Times New Roman" w:hAnsi="Times New Roman" w:cs="Times New Roman"/>
                <w:b/>
                <w:bCs/>
                <w:color w:val="auto"/>
                <w:lang w:val="en-US" w:eastAsia="zh-CN"/>
              </w:rPr>
              <w:t>饮食业油烟</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szCs w:val="32"/>
              </w:rPr>
              <w:t>本项目新增职工用餐人数</w:t>
            </w:r>
            <w:r>
              <w:rPr>
                <w:rFonts w:hint="eastAsia" w:cs="Times New Roman"/>
                <w:color w:val="auto"/>
                <w:sz w:val="24"/>
                <w:szCs w:val="32"/>
                <w:lang w:val="en-US" w:eastAsia="zh-CN"/>
              </w:rPr>
              <w:t>30</w:t>
            </w:r>
            <w:r>
              <w:rPr>
                <w:rFonts w:hint="default" w:ascii="Times New Roman" w:hAnsi="Times New Roman" w:eastAsia="宋体" w:cs="Times New Roman"/>
                <w:color w:val="auto"/>
                <w:sz w:val="24"/>
                <w:szCs w:val="32"/>
              </w:rPr>
              <w:t>人，年工作</w:t>
            </w:r>
            <w:r>
              <w:rPr>
                <w:rFonts w:hint="eastAsia" w:cs="Times New Roman"/>
                <w:color w:val="auto"/>
                <w:sz w:val="24"/>
                <w:szCs w:val="32"/>
                <w:lang w:val="en-US" w:eastAsia="zh-CN"/>
              </w:rPr>
              <w:t>275</w:t>
            </w:r>
            <w:r>
              <w:rPr>
                <w:rFonts w:hint="default" w:ascii="Times New Roman" w:hAnsi="Times New Roman" w:eastAsia="宋体" w:cs="Times New Roman"/>
                <w:color w:val="auto"/>
                <w:sz w:val="24"/>
                <w:szCs w:val="32"/>
              </w:rPr>
              <w:t>d，</w:t>
            </w:r>
            <w:r>
              <w:rPr>
                <w:rFonts w:hint="default" w:ascii="Times New Roman" w:hAnsi="Times New Roman" w:eastAsia="宋体" w:cs="Times New Roman"/>
                <w:color w:val="auto"/>
                <w:sz w:val="24"/>
              </w:rPr>
              <w:t>按每人每日消耗动植物油以0.03kg计，则每人年消耗食用油约</w:t>
            </w:r>
            <w:r>
              <w:rPr>
                <w:rFonts w:hint="eastAsia" w:cs="Times New Roman"/>
                <w:color w:val="auto"/>
                <w:sz w:val="24"/>
                <w:lang w:val="en-US" w:eastAsia="zh-CN"/>
              </w:rPr>
              <w:t>247.5</w:t>
            </w:r>
            <w:r>
              <w:rPr>
                <w:rFonts w:hint="default" w:ascii="Times New Roman" w:hAnsi="Times New Roman" w:eastAsia="宋体" w:cs="Times New Roman"/>
                <w:color w:val="auto"/>
                <w:sz w:val="24"/>
              </w:rPr>
              <w:t>kg/a，依据《社会区域类环境影响评价》</w:t>
            </w:r>
            <w:r>
              <w:rPr>
                <w:rFonts w:hint="eastAsia" w:cs="Times New Roman"/>
                <w:color w:val="auto"/>
                <w:sz w:val="24"/>
                <w:lang w:eastAsia="zh-CN"/>
              </w:rPr>
              <w:t>（</w:t>
            </w:r>
            <w:r>
              <w:rPr>
                <w:rFonts w:hint="default" w:ascii="Times New Roman" w:hAnsi="Times New Roman" w:eastAsia="宋体" w:cs="Times New Roman"/>
                <w:color w:val="auto"/>
                <w:sz w:val="24"/>
              </w:rPr>
              <w:t>祝兴祥等，</w:t>
            </w:r>
            <w:r>
              <w:rPr>
                <w:rFonts w:hint="default" w:ascii="Times New Roman" w:hAnsi="Times New Roman" w:eastAsia="宋体" w:cs="Times New Roman"/>
                <w:color w:val="auto"/>
                <w:sz w:val="24"/>
                <w:lang w:val="en-US" w:eastAsia="zh-CN"/>
              </w:rPr>
              <w:t>中国环境科学出版社）给出的排放因子，油烟产生系数为1.035kg/t，则油烟产生量约为</w:t>
            </w:r>
            <w:r>
              <w:rPr>
                <w:rFonts w:hint="eastAsia" w:ascii="Times New Roman" w:hAnsi="Times New Roman" w:eastAsia="宋体" w:cs="Times New Roman"/>
                <w:color w:val="auto"/>
                <w:sz w:val="24"/>
                <w:lang w:val="en-US" w:eastAsia="zh-CN"/>
              </w:rPr>
              <w:t>0.256kg</w:t>
            </w:r>
            <w:r>
              <w:rPr>
                <w:rFonts w:hint="default" w:ascii="Times New Roman" w:hAnsi="Times New Roman" w:eastAsia="宋体" w:cs="Times New Roman"/>
                <w:color w:val="auto"/>
                <w:sz w:val="24"/>
                <w:lang w:val="en-US" w:eastAsia="zh-CN"/>
              </w:rPr>
              <w:t>/a</w:t>
            </w:r>
            <w:r>
              <w:rPr>
                <w:rFonts w:hint="eastAsia" w:ascii="Times New Roman" w:hAnsi="Times New Roman" w:eastAsia="宋体" w:cs="Times New Roman"/>
                <w:color w:val="auto"/>
                <w:sz w:val="24"/>
                <w:lang w:val="en-US" w:eastAsia="zh-CN"/>
              </w:rPr>
              <w:t>，产生速率1.16</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10</w:t>
            </w:r>
            <w:r>
              <w:rPr>
                <w:rFonts w:hint="eastAsia" w:ascii="Times New Roman" w:hAnsi="Times New Roman" w:eastAsia="宋体" w:cs="Times New Roman"/>
                <w:color w:val="auto"/>
                <w:sz w:val="24"/>
                <w:vertAlign w:val="superscript"/>
                <w:lang w:val="en-US" w:eastAsia="zh-CN"/>
              </w:rPr>
              <w:t>-4</w:t>
            </w:r>
            <w:r>
              <w:rPr>
                <w:rFonts w:hint="eastAsia" w:ascii="Times New Roman" w:hAnsi="Times New Roman" w:eastAsia="宋体" w:cs="Times New Roman"/>
                <w:color w:val="auto"/>
                <w:sz w:val="24"/>
                <w:vertAlign w:val="baseline"/>
                <w:lang w:val="en-US" w:eastAsia="zh-CN"/>
              </w:rPr>
              <w:t>kg/h</w:t>
            </w:r>
            <w:r>
              <w:rPr>
                <w:rFonts w:hint="default" w:ascii="Times New Roman" w:hAnsi="Times New Roman" w:eastAsia="宋体" w:cs="Times New Roman"/>
                <w:color w:val="auto"/>
                <w:sz w:val="24"/>
                <w:lang w:val="en-US" w:eastAsia="zh-CN"/>
              </w:rPr>
              <w:t>。</w:t>
            </w:r>
          </w:p>
          <w:p>
            <w:pPr>
              <w:numPr>
                <w:ilvl w:val="0"/>
                <w:numId w:val="0"/>
              </w:numPr>
              <w:adjustRightInd w:val="0"/>
              <w:snapToGrid w:val="0"/>
              <w:spacing w:line="360" w:lineRule="auto"/>
              <w:ind w:firstLine="480" w:firstLineChars="200"/>
              <w:rPr>
                <w:rFonts w:hint="default"/>
                <w:color w:val="auto"/>
                <w:lang w:val="en-US" w:eastAsia="zh-CN"/>
              </w:rPr>
            </w:pPr>
            <w:r>
              <w:rPr>
                <w:rFonts w:hint="eastAsia" w:cs="Times New Roman"/>
                <w:color w:val="auto"/>
                <w:kern w:val="0"/>
                <w:sz w:val="24"/>
                <w:lang w:val="en-US" w:eastAsia="zh-CN"/>
              </w:rPr>
              <w:t>项目</w:t>
            </w:r>
            <w:r>
              <w:rPr>
                <w:rFonts w:hint="eastAsia" w:cs="Times New Roman"/>
                <w:color w:val="000000"/>
                <w:kern w:val="0"/>
                <w:sz w:val="24"/>
                <w:lang w:val="en-US" w:eastAsia="zh-CN"/>
              </w:rPr>
              <w:t>食堂</w:t>
            </w:r>
            <w:r>
              <w:rPr>
                <w:rFonts w:hint="default" w:ascii="Times New Roman" w:hAnsi="Times New Roman" w:cs="Times New Roman"/>
                <w:color w:val="000000"/>
                <w:kern w:val="0"/>
                <w:sz w:val="24"/>
              </w:rPr>
              <w:t>油烟采用油烟净化器进行处理，处理效率</w:t>
            </w:r>
            <w:r>
              <w:rPr>
                <w:rFonts w:hint="eastAsia" w:cs="Times New Roman"/>
                <w:color w:val="000000"/>
                <w:kern w:val="0"/>
                <w:sz w:val="24"/>
                <w:lang w:val="en-US" w:eastAsia="zh-CN"/>
              </w:rPr>
              <w:t>为65</w:t>
            </w:r>
            <w:r>
              <w:rPr>
                <w:rFonts w:hint="default" w:ascii="Times New Roman" w:hAnsi="Times New Roman" w:cs="Times New Roman"/>
                <w:color w:val="000000"/>
                <w:kern w:val="0"/>
                <w:sz w:val="24"/>
              </w:rPr>
              <w:t>%，油烟机风量为</w:t>
            </w:r>
            <w:r>
              <w:rPr>
                <w:rFonts w:hint="eastAsia" w:cs="Times New Roman"/>
                <w:color w:val="000000"/>
                <w:kern w:val="0"/>
                <w:sz w:val="24"/>
                <w:lang w:val="en-US" w:eastAsia="zh-CN"/>
              </w:rPr>
              <w:t>2</w:t>
            </w:r>
            <w:r>
              <w:rPr>
                <w:rFonts w:hint="default" w:ascii="Times New Roman" w:hAnsi="Times New Roman" w:cs="Times New Roman"/>
                <w:color w:val="000000"/>
                <w:kern w:val="0"/>
                <w:sz w:val="24"/>
              </w:rPr>
              <w:t>000m</w:t>
            </w:r>
            <w:r>
              <w:rPr>
                <w:rFonts w:hint="default" w:ascii="Times New Roman" w:hAnsi="Times New Roman" w:cs="Times New Roman"/>
                <w:color w:val="000000"/>
                <w:kern w:val="0"/>
                <w:sz w:val="24"/>
                <w:vertAlign w:val="superscript"/>
              </w:rPr>
              <w:t>3</w:t>
            </w:r>
            <w:r>
              <w:rPr>
                <w:rFonts w:hint="default" w:ascii="Times New Roman" w:hAnsi="Times New Roman" w:cs="Times New Roman"/>
                <w:color w:val="000000"/>
                <w:kern w:val="0"/>
                <w:sz w:val="24"/>
              </w:rPr>
              <w:t>/h</w:t>
            </w:r>
            <w:r>
              <w:rPr>
                <w:rFonts w:hint="eastAsia" w:cs="Times New Roman"/>
                <w:color w:val="000000"/>
                <w:kern w:val="0"/>
                <w:sz w:val="24"/>
                <w:lang w:eastAsia="zh-CN"/>
              </w:rPr>
              <w:t>，</w:t>
            </w:r>
            <w:r>
              <w:rPr>
                <w:rFonts w:hint="default" w:ascii="Times New Roman" w:hAnsi="Times New Roman" w:cs="Times New Roman"/>
                <w:color w:val="000000"/>
                <w:kern w:val="0"/>
                <w:sz w:val="24"/>
              </w:rPr>
              <w:t>食堂炉灶</w:t>
            </w:r>
            <w:r>
              <w:rPr>
                <w:rFonts w:hint="eastAsia" w:cs="Times New Roman"/>
                <w:color w:val="000000"/>
                <w:kern w:val="0"/>
                <w:sz w:val="24"/>
                <w:lang w:val="en-US" w:eastAsia="zh-CN"/>
              </w:rPr>
              <w:t>按</w:t>
            </w:r>
            <w:r>
              <w:rPr>
                <w:rFonts w:ascii="Times New Roman" w:hAnsi="Times New Roman" w:eastAsia="宋体" w:cs="Times New Roman"/>
                <w:color w:val="auto"/>
                <w:kern w:val="0"/>
                <w:sz w:val="24"/>
              </w:rPr>
              <w:t>5</w:t>
            </w:r>
            <w:r>
              <w:rPr>
                <w:rFonts w:hint="eastAsia" w:cs="Times New Roman"/>
                <w:color w:val="auto"/>
                <w:kern w:val="0"/>
                <w:sz w:val="24"/>
                <w:lang w:val="en-US" w:eastAsia="zh-CN"/>
              </w:rPr>
              <w:t>h/d</w:t>
            </w:r>
            <w:r>
              <w:rPr>
                <w:rFonts w:ascii="Times New Roman" w:hAnsi="Times New Roman" w:eastAsia="宋体" w:cs="Times New Roman"/>
                <w:color w:val="auto"/>
                <w:kern w:val="0"/>
                <w:sz w:val="24"/>
              </w:rPr>
              <w:t>计，</w:t>
            </w:r>
            <w:r>
              <w:rPr>
                <w:rFonts w:hint="eastAsia" w:cs="Times New Roman"/>
                <w:color w:val="auto"/>
                <w:kern w:val="0"/>
                <w:sz w:val="24"/>
                <w:lang w:val="en-US" w:eastAsia="zh-CN"/>
              </w:rPr>
              <w:t>油烟净化器年工作时间为1375h，</w:t>
            </w:r>
            <w:r>
              <w:rPr>
                <w:rFonts w:ascii="Times New Roman" w:hAnsi="Times New Roman" w:eastAsia="宋体" w:cs="Times New Roman"/>
                <w:color w:val="auto"/>
                <w:kern w:val="0"/>
                <w:sz w:val="24"/>
              </w:rPr>
              <w:t>则</w:t>
            </w:r>
            <w:r>
              <w:rPr>
                <w:rFonts w:hint="eastAsia" w:cs="Times New Roman"/>
                <w:color w:val="auto"/>
                <w:kern w:val="0"/>
                <w:sz w:val="24"/>
                <w:lang w:val="en-US" w:eastAsia="zh-CN"/>
              </w:rPr>
              <w:t>食堂油烟的排放量为0.0896t/a，</w:t>
            </w:r>
            <w:r>
              <w:rPr>
                <w:rFonts w:hint="eastAsia" w:ascii="Times New Roman" w:hAnsi="Times New Roman" w:eastAsia="宋体" w:cs="Times New Roman"/>
                <w:color w:val="auto"/>
                <w:kern w:val="0"/>
                <w:sz w:val="24"/>
                <w:szCs w:val="24"/>
                <w:lang w:val="en-US" w:eastAsia="zh-CN" w:bidi="ar-SA"/>
              </w:rPr>
              <w:t>排放速率4.07</w:t>
            </w:r>
            <w:r>
              <w:rPr>
                <w:rFonts w:hint="default" w:ascii="Arial" w:hAnsi="Arial" w:eastAsia="宋体" w:cs="Arial"/>
                <w:color w:val="auto"/>
                <w:kern w:val="0"/>
                <w:sz w:val="24"/>
                <w:szCs w:val="24"/>
                <w:lang w:val="en-US" w:eastAsia="zh-CN" w:bidi="ar-SA"/>
              </w:rPr>
              <w:t>×</w:t>
            </w:r>
            <w:r>
              <w:rPr>
                <w:rFonts w:hint="eastAsia" w:ascii="Times New Roman" w:hAnsi="Times New Roman" w:eastAsia="宋体" w:cs="Times New Roman"/>
                <w:color w:val="auto"/>
                <w:kern w:val="0"/>
                <w:sz w:val="24"/>
                <w:szCs w:val="24"/>
                <w:lang w:val="en-US" w:eastAsia="zh-CN" w:bidi="ar-SA"/>
              </w:rPr>
              <w:t>10</w:t>
            </w:r>
            <w:r>
              <w:rPr>
                <w:rFonts w:hint="eastAsia" w:ascii="Times New Roman" w:hAnsi="Times New Roman" w:eastAsia="宋体" w:cs="Times New Roman"/>
                <w:color w:val="auto"/>
                <w:kern w:val="0"/>
                <w:sz w:val="24"/>
                <w:szCs w:val="24"/>
                <w:vertAlign w:val="superscript"/>
                <w:lang w:val="en-US" w:eastAsia="zh-CN" w:bidi="ar-SA"/>
              </w:rPr>
              <w:t>-5</w:t>
            </w:r>
            <w:r>
              <w:rPr>
                <w:rFonts w:hint="eastAsia" w:cs="Times New Roman"/>
                <w:color w:val="auto"/>
                <w:kern w:val="0"/>
                <w:sz w:val="24"/>
                <w:lang w:val="en-US" w:eastAsia="zh-CN"/>
              </w:rPr>
              <w:t>排放浓度0.033</w:t>
            </w:r>
            <w:r>
              <w:rPr>
                <w:rFonts w:ascii="Times New Roman" w:hAnsi="Times New Roman" w:eastAsia="宋体" w:cs="Times New Roman"/>
                <w:color w:val="auto"/>
                <w:kern w:val="0"/>
                <w:sz w:val="24"/>
              </w:rPr>
              <w:t>mg/m</w:t>
            </w:r>
            <w:r>
              <w:rPr>
                <w:rFonts w:ascii="Times New Roman" w:hAnsi="Times New Roman" w:eastAsia="宋体" w:cs="Times New Roman"/>
                <w:color w:val="auto"/>
                <w:kern w:val="0"/>
                <w:sz w:val="24"/>
                <w:vertAlign w:val="superscript"/>
              </w:rPr>
              <w:t>3</w:t>
            </w:r>
            <w:r>
              <w:rPr>
                <w:rFonts w:hint="eastAsia" w:cs="Times New Roman"/>
                <w:color w:val="auto"/>
                <w:kern w:val="0"/>
                <w:sz w:val="24"/>
                <w:lang w:val="en-US" w:eastAsia="zh-CN"/>
              </w:rPr>
              <w:t>，</w:t>
            </w:r>
            <w:r>
              <w:rPr>
                <w:rFonts w:hint="default" w:ascii="Times New Roman" w:hAnsi="Times New Roman" w:cs="Times New Roman"/>
                <w:color w:val="000000"/>
                <w:kern w:val="0"/>
                <w:sz w:val="24"/>
              </w:rPr>
              <w:t>处理后的</w:t>
            </w:r>
            <w:r>
              <w:rPr>
                <w:rFonts w:hint="eastAsia" w:cs="Times New Roman"/>
                <w:color w:val="000000"/>
                <w:kern w:val="0"/>
                <w:sz w:val="24"/>
                <w:lang w:val="en-US" w:eastAsia="zh-CN"/>
              </w:rPr>
              <w:t>食堂</w:t>
            </w:r>
            <w:r>
              <w:rPr>
                <w:rFonts w:hint="default" w:ascii="Times New Roman" w:hAnsi="Times New Roman" w:cs="Times New Roman"/>
                <w:color w:val="000000"/>
                <w:kern w:val="0"/>
                <w:sz w:val="24"/>
              </w:rPr>
              <w:t>油烟经专用排烟管道排放</w:t>
            </w:r>
            <w:r>
              <w:rPr>
                <w:color w:val="000000"/>
                <w:kern w:val="0"/>
                <w:sz w:val="24"/>
              </w:rPr>
              <w:t>。</w:t>
            </w:r>
            <w:r>
              <w:rPr>
                <w:rFonts w:hint="default" w:ascii="Times New Roman" w:hAnsi="Times New Roman" w:eastAsia="宋体" w:cs="Times New Roman"/>
                <w:color w:val="auto"/>
                <w:sz w:val="24"/>
              </w:rPr>
              <w:t>可达到</w:t>
            </w:r>
            <w:bookmarkStart w:id="7" w:name="_Hlk73483247"/>
            <w:r>
              <w:rPr>
                <w:rFonts w:hint="default" w:ascii="Times New Roman" w:hAnsi="Times New Roman" w:eastAsia="宋体" w:cs="Times New Roman"/>
                <w:color w:val="auto"/>
                <w:sz w:val="24"/>
              </w:rPr>
              <w:t>《饮食业油烟排放标准》（试行）</w:t>
            </w:r>
            <w:r>
              <w:rPr>
                <w:rFonts w:hint="eastAsia" w:cs="Times New Roman"/>
                <w:color w:val="auto"/>
                <w:sz w:val="24"/>
                <w:lang w:eastAsia="zh-CN"/>
              </w:rPr>
              <w:t>（</w:t>
            </w:r>
            <w:r>
              <w:rPr>
                <w:rFonts w:hint="default" w:ascii="Times New Roman" w:hAnsi="Times New Roman" w:eastAsia="宋体" w:cs="Times New Roman"/>
                <w:color w:val="auto"/>
                <w:sz w:val="24"/>
              </w:rPr>
              <w:t>GB18483-2001</w:t>
            </w:r>
            <w:r>
              <w:rPr>
                <w:rFonts w:hint="eastAsia" w:cs="Times New Roman"/>
                <w:color w:val="auto"/>
                <w:sz w:val="24"/>
                <w:lang w:eastAsia="zh-CN"/>
              </w:rPr>
              <w:t>）</w:t>
            </w:r>
            <w:r>
              <w:rPr>
                <w:rFonts w:hint="default" w:ascii="Times New Roman" w:hAnsi="Times New Roman" w:eastAsia="宋体" w:cs="Times New Roman"/>
                <w:color w:val="auto"/>
                <w:sz w:val="24"/>
              </w:rPr>
              <w:t>标准</w:t>
            </w:r>
            <w:bookmarkEnd w:id="7"/>
            <w:r>
              <w:rPr>
                <w:rFonts w:hint="default" w:ascii="Times New Roman" w:hAnsi="Times New Roman" w:eastAsia="宋体" w:cs="Times New Roman"/>
                <w:color w:val="auto"/>
                <w:sz w:val="24"/>
              </w:rPr>
              <w:t>2.0mg/m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要求，对大气环境质量影响很小。</w:t>
            </w:r>
          </w:p>
          <w:p>
            <w:pPr>
              <w:bidi w:val="0"/>
              <w:ind w:left="0" w:leftChars="0" w:firstLine="0" w:firstLineChars="0"/>
              <w:rPr>
                <w:rFonts w:hint="default" w:ascii="Times New Roman" w:hAnsi="Times New Roman" w:cs="Times New Roman"/>
                <w:b/>
                <w:bCs/>
                <w:lang w:val="en-US" w:eastAsia="zh-CN"/>
              </w:rPr>
            </w:pPr>
            <w:r>
              <w:rPr>
                <w:rFonts w:hint="default" w:ascii="Times New Roman" w:hAnsi="Times New Roman" w:cs="Times New Roman"/>
                <w:b/>
                <w:bCs/>
                <w:lang w:val="en-US" w:eastAsia="zh-CN"/>
              </w:rPr>
              <w:t>1.2项目大气污染防治</w:t>
            </w:r>
            <w:r>
              <w:rPr>
                <w:rFonts w:hint="eastAsia" w:cs="Times New Roman"/>
                <w:b/>
                <w:bCs/>
                <w:lang w:val="en-US" w:eastAsia="zh-CN"/>
              </w:rPr>
              <w:t>措施</w:t>
            </w:r>
            <w:r>
              <w:rPr>
                <w:rFonts w:hint="default" w:ascii="Times New Roman" w:hAnsi="Times New Roman" w:cs="Times New Roman"/>
                <w:b/>
                <w:bCs/>
                <w:lang w:val="en-US" w:eastAsia="zh-CN"/>
              </w:rPr>
              <w:t>分析</w:t>
            </w:r>
          </w:p>
          <w:p>
            <w:pPr>
              <w:bidi w:val="0"/>
              <w:rPr>
                <w:rFonts w:hint="default" w:cs="Times New Roman"/>
                <w:lang w:val="en-US" w:eastAsia="zh-CN"/>
              </w:rPr>
            </w:pPr>
            <w:r>
              <w:rPr>
                <w:rFonts w:hint="eastAsia" w:cs="Times New Roman"/>
                <w:lang w:val="en-US" w:eastAsia="zh-CN"/>
              </w:rPr>
              <w:t>（1）有组织废气可行性分析</w:t>
            </w:r>
          </w:p>
          <w:p>
            <w:pPr>
              <w:bidi w:val="0"/>
              <w:rPr>
                <w:rFonts w:hint="default" w:ascii="Times New Roman" w:hAnsi="Times New Roman" w:cs="Times New Roman"/>
                <w:color w:val="auto"/>
                <w:lang w:val="en-US" w:eastAsia="zh-CN"/>
              </w:rPr>
            </w:pPr>
            <w:r>
              <w:rPr>
                <w:rFonts w:hint="default" w:ascii="Times New Roman" w:hAnsi="Times New Roman" w:cs="Times New Roman"/>
                <w:lang w:val="en-US" w:eastAsia="zh-CN"/>
              </w:rPr>
              <w:t>根据《排污许可证申请与核发技术规范</w:t>
            </w:r>
            <w:r>
              <w:rPr>
                <w:rFonts w:hint="eastAsia" w:cs="Times New Roman"/>
                <w:lang w:val="en-US" w:eastAsia="zh-CN"/>
              </w:rPr>
              <w:t xml:space="preserve"> </w:t>
            </w:r>
            <w:r>
              <w:rPr>
                <w:rFonts w:hint="default" w:ascii="Times New Roman" w:hAnsi="Times New Roman" w:cs="Times New Roman"/>
                <w:lang w:val="en-US" w:eastAsia="zh-CN"/>
              </w:rPr>
              <w:t>水泥工业）</w:t>
            </w:r>
            <w:r>
              <w:rPr>
                <w:rFonts w:hint="eastAsia" w:cs="Times New Roman"/>
                <w:lang w:val="en-US" w:eastAsia="zh-CN"/>
              </w:rPr>
              <w:t>（</w:t>
            </w:r>
            <w:r>
              <w:rPr>
                <w:rFonts w:hint="default" w:ascii="Times New Roman" w:hAnsi="Times New Roman" w:cs="Times New Roman"/>
                <w:lang w:val="en-US" w:eastAsia="zh-CN"/>
              </w:rPr>
              <w:t>HJ847-2017)》及《水泥工业除尘工程技术规范》（HJ 434-2008）可知，水泥工业除尘器应采用袋式除尘或电除尘器。本项目水泥筒仓、搅拌系统均配套高效袋式除尘器，其技术属于可行性技术，符合环保要求，排放的颗</w:t>
            </w:r>
            <w:r>
              <w:rPr>
                <w:rFonts w:hint="default" w:ascii="Times New Roman" w:hAnsi="Times New Roman" w:cs="Times New Roman"/>
                <w:color w:val="auto"/>
                <w:lang w:val="en-US" w:eastAsia="zh-CN"/>
              </w:rPr>
              <w:t>粒物对周边环境的影响可接受。</w:t>
            </w:r>
          </w:p>
          <w:p>
            <w:pPr>
              <w:pStyle w:val="9"/>
              <w:numPr>
                <w:ilvl w:val="0"/>
                <w:numId w:val="5"/>
              </w:numPr>
              <w:ind w:left="-240" w:leftChars="0" w:firstLine="720" w:firstLineChars="0"/>
              <w:rPr>
                <w:rFonts w:hint="eastAsia" w:cs="Times New Roman"/>
                <w:color w:val="auto"/>
                <w:lang w:val="en-US" w:eastAsia="zh-CN"/>
              </w:rPr>
            </w:pPr>
            <w:r>
              <w:rPr>
                <w:rFonts w:hint="eastAsia" w:cs="Times New Roman"/>
                <w:color w:val="auto"/>
                <w:lang w:val="en-US" w:eastAsia="zh-CN"/>
              </w:rPr>
              <w:t>无组织废气可行性分析</w:t>
            </w:r>
          </w:p>
          <w:p>
            <w:pPr>
              <w:pStyle w:val="44"/>
              <w:rPr>
                <w:rFonts w:cs="Times New Roman" w:eastAsiaTheme="minorEastAsia"/>
                <w:color w:val="auto"/>
              </w:rPr>
            </w:pPr>
            <w:r>
              <w:rPr>
                <w:rFonts w:hint="eastAsia" w:cs="Times New Roman" w:eastAsiaTheme="minorEastAsia"/>
                <w:color w:val="auto"/>
              </w:rPr>
              <w:t>本项目无组织废气主要为</w:t>
            </w:r>
            <w:r>
              <w:rPr>
                <w:rFonts w:hint="eastAsia" w:cs="Times New Roman" w:eastAsiaTheme="minorEastAsia"/>
                <w:color w:val="auto"/>
                <w:lang w:val="en-US" w:eastAsia="zh-CN"/>
              </w:rPr>
              <w:t>住几楼逸散粉尘</w:t>
            </w:r>
            <w:r>
              <w:rPr>
                <w:rFonts w:hint="eastAsia" w:cs="Times New Roman" w:eastAsiaTheme="minorEastAsia"/>
                <w:color w:val="auto"/>
              </w:rPr>
              <w:t>、</w:t>
            </w:r>
            <w:r>
              <w:rPr>
                <w:rFonts w:hint="eastAsia" w:cs="Times New Roman" w:eastAsiaTheme="minorEastAsia"/>
                <w:color w:val="auto"/>
                <w:lang w:val="en-US" w:eastAsia="zh-CN"/>
              </w:rPr>
              <w:t>各类筒仓逸散粉尘</w:t>
            </w:r>
            <w:r>
              <w:rPr>
                <w:rFonts w:hint="eastAsia" w:cs="Times New Roman" w:eastAsiaTheme="minorEastAsia"/>
                <w:color w:val="auto"/>
                <w:lang w:eastAsia="zh-CN"/>
              </w:rPr>
              <w:t>、堆场粉尘、</w:t>
            </w:r>
            <w:r>
              <w:rPr>
                <w:rFonts w:hint="eastAsia" w:cs="Times New Roman" w:eastAsiaTheme="minorEastAsia"/>
                <w:color w:val="auto"/>
              </w:rPr>
              <w:t>汽车运输、物料转运过程中产生的粉尘。</w:t>
            </w:r>
          </w:p>
          <w:p>
            <w:pPr>
              <w:pStyle w:val="45"/>
              <w:rPr>
                <w:rFonts w:hint="default" w:cs="Times New Roman"/>
                <w:color w:val="auto"/>
                <w:lang w:val="en-US" w:eastAsia="zh-CN"/>
              </w:rPr>
            </w:pPr>
            <w:r>
              <w:rPr>
                <w:rFonts w:hint="eastAsia" w:ascii="Times New Roman" w:hAnsi="Times New Roman" w:cs="Times New Roman" w:eastAsiaTheme="minorEastAsia"/>
                <w:color w:val="auto"/>
                <w:kern w:val="2"/>
                <w:sz w:val="24"/>
                <w:szCs w:val="24"/>
                <w:lang w:val="en-US" w:eastAsia="zh-CN" w:bidi="ar-SA"/>
              </w:rPr>
              <w:t>本项目</w:t>
            </w:r>
            <w:r>
              <w:rPr>
                <w:rFonts w:hint="eastAsia" w:cs="Times New Roman" w:eastAsiaTheme="minorEastAsia"/>
                <w:color w:val="auto"/>
                <w:kern w:val="2"/>
                <w:sz w:val="24"/>
                <w:szCs w:val="24"/>
                <w:lang w:val="en-US" w:eastAsia="zh-CN" w:bidi="ar-SA"/>
              </w:rPr>
              <w:t>搅拌楼</w:t>
            </w:r>
            <w:r>
              <w:rPr>
                <w:rFonts w:hint="eastAsia" w:ascii="Times New Roman" w:hAnsi="Times New Roman" w:cs="Times New Roman" w:eastAsiaTheme="minorEastAsia"/>
                <w:color w:val="auto"/>
                <w:kern w:val="2"/>
                <w:sz w:val="24"/>
                <w:szCs w:val="24"/>
                <w:lang w:val="en-US" w:eastAsia="zh-CN" w:bidi="ar-SA"/>
              </w:rPr>
              <w:t>全封闭，</w:t>
            </w:r>
            <w:r>
              <w:rPr>
                <w:rFonts w:hint="eastAsia" w:cs="Times New Roman" w:eastAsiaTheme="minorEastAsia"/>
                <w:color w:val="auto"/>
                <w:kern w:val="2"/>
                <w:sz w:val="24"/>
                <w:szCs w:val="24"/>
                <w:lang w:val="en-US" w:eastAsia="zh-CN" w:bidi="ar-SA"/>
              </w:rPr>
              <w:t>安装集气罩+袋式除尘器处理后排放，减少</w:t>
            </w:r>
            <w:r>
              <w:rPr>
                <w:rFonts w:hint="eastAsia" w:ascii="Times New Roman" w:hAnsi="Times New Roman" w:cs="Times New Roman" w:eastAsiaTheme="minorEastAsia"/>
                <w:color w:val="auto"/>
                <w:kern w:val="2"/>
                <w:sz w:val="24"/>
                <w:szCs w:val="24"/>
                <w:lang w:val="en-US" w:eastAsia="zh-CN" w:bidi="ar-SA"/>
              </w:rPr>
              <w:t>粉尘逸散。</w:t>
            </w:r>
            <w:r>
              <w:rPr>
                <w:rFonts w:hint="eastAsia" w:cs="Times New Roman" w:eastAsiaTheme="minorEastAsia"/>
                <w:color w:val="auto"/>
                <w:kern w:val="2"/>
                <w:sz w:val="24"/>
                <w:szCs w:val="24"/>
                <w:lang w:val="en-US" w:eastAsia="zh-CN" w:bidi="ar-SA"/>
              </w:rPr>
              <w:t>水泥筒仓、粉煤灰仓均安装除尘器，处理后通过顶部呼吸孔无组织逸散，砂子、小石料场采用全封闭措施，大石堆料场采取半封闭+防风抑尘网并定期洒水降尘，满足《工业料堆场扬尘整治规范》(DB65/T4064-2017）相关要求，</w:t>
            </w:r>
            <w:r>
              <w:rPr>
                <w:rFonts w:hint="eastAsia" w:ascii="Times New Roman" w:hAnsi="Times New Roman" w:cs="Times New Roman" w:eastAsiaTheme="minorEastAsia"/>
                <w:color w:val="auto"/>
                <w:kern w:val="2"/>
                <w:sz w:val="24"/>
                <w:szCs w:val="24"/>
                <w:lang w:val="en-US" w:eastAsia="zh-CN" w:bidi="ar-SA"/>
              </w:rPr>
              <w:t>物料装卸过程及运输过程中产生的粉尘通过洒水降尘、运输车辆遮盖篷布、厂区遗撒物料及时清理等措施降低无组织粉尘逸散</w:t>
            </w:r>
            <w:r>
              <w:rPr>
                <w:rFonts w:hint="eastAsia" w:cs="Times New Roman" w:eastAsiaTheme="minorEastAsia"/>
                <w:color w:val="auto"/>
                <w:kern w:val="2"/>
                <w:sz w:val="24"/>
                <w:szCs w:val="24"/>
                <w:lang w:val="en-US" w:eastAsia="zh-CN" w:bidi="ar-SA"/>
              </w:rPr>
              <w:t>。</w:t>
            </w:r>
            <w:r>
              <w:rPr>
                <w:rFonts w:hint="eastAsia" w:ascii="Times New Roman" w:hAnsi="Times New Roman" w:cs="Times New Roman" w:eastAsiaTheme="minorEastAsia"/>
                <w:color w:val="auto"/>
                <w:kern w:val="2"/>
                <w:sz w:val="24"/>
                <w:szCs w:val="24"/>
                <w:lang w:val="en-US" w:eastAsia="zh-CN" w:bidi="ar-SA"/>
              </w:rPr>
              <w:t>落</w:t>
            </w:r>
            <w:r>
              <w:rPr>
                <w:rFonts w:hint="eastAsia" w:cs="Times New Roman" w:eastAsiaTheme="minorEastAsia"/>
                <w:color w:val="auto"/>
                <w:kern w:val="2"/>
                <w:sz w:val="24"/>
                <w:szCs w:val="24"/>
                <w:lang w:val="en-US" w:eastAsia="zh-CN" w:bidi="ar-SA"/>
              </w:rPr>
              <w:t>实上述措施后，无组织粉尘得到了有效控制，其措施可行。</w:t>
            </w:r>
          </w:p>
          <w:p>
            <w:pPr>
              <w:bidi w:val="0"/>
              <w:ind w:left="0" w:leftChars="0" w:firstLine="0" w:firstLineChars="0"/>
              <w:rPr>
                <w:rFonts w:hint="default" w:ascii="Times New Roman" w:hAnsi="Times New Roman" w:cs="Times New Roman"/>
                <w:b/>
                <w:bCs/>
                <w:lang w:val="en-US" w:eastAsia="zh-CN"/>
              </w:rPr>
            </w:pPr>
            <w:r>
              <w:rPr>
                <w:rFonts w:hint="default" w:ascii="Times New Roman" w:hAnsi="Times New Roman" w:cs="Times New Roman"/>
                <w:b/>
                <w:bCs/>
                <w:lang w:val="en-US" w:eastAsia="zh-CN"/>
              </w:rPr>
              <w:t>1.3项目大气污染物产排情况汇总</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项目颗粒物产排情况如下表4-</w:t>
            </w:r>
            <w:r>
              <w:rPr>
                <w:rFonts w:hint="eastAsia" w:cs="Times New Roman"/>
                <w:lang w:val="en-US" w:eastAsia="zh-CN"/>
              </w:rPr>
              <w:t>5</w:t>
            </w:r>
            <w:r>
              <w:rPr>
                <w:rFonts w:hint="default" w:ascii="Times New Roman" w:hAnsi="Times New Roman" w:cs="Times New Roman"/>
                <w:lang w:val="en-US" w:eastAsia="zh-CN"/>
              </w:rPr>
              <w:t>。</w:t>
            </w:r>
          </w:p>
          <w:p>
            <w:pPr>
              <w:pStyle w:val="30"/>
              <w:bidi w:val="0"/>
              <w:rPr>
                <w:rFonts w:hint="default" w:ascii="Times New Roman" w:hAnsi="Times New Roman" w:cs="Times New Roman"/>
                <w:b/>
                <w:bCs/>
              </w:rPr>
            </w:pPr>
            <w:r>
              <w:rPr>
                <w:rFonts w:hint="default" w:ascii="Times New Roman" w:hAnsi="Times New Roman" w:cs="Times New Roman"/>
                <w:b/>
                <w:bCs/>
              </w:rPr>
              <w:t>表</w:t>
            </w:r>
            <w:r>
              <w:rPr>
                <w:rFonts w:hint="default" w:ascii="Times New Roman" w:hAnsi="Times New Roman" w:cs="Times New Roman"/>
                <w:b/>
                <w:bCs/>
                <w:lang w:val="en-US" w:eastAsia="zh-CN"/>
              </w:rPr>
              <w:t>4-</w:t>
            </w:r>
            <w:r>
              <w:rPr>
                <w:rFonts w:hint="eastAsia" w:cs="Times New Roman"/>
                <w:b/>
                <w:bCs/>
                <w:lang w:val="en-US" w:eastAsia="zh-CN"/>
              </w:rPr>
              <w:t>5</w:t>
            </w:r>
            <w:r>
              <w:rPr>
                <w:rFonts w:hint="default" w:ascii="Times New Roman" w:hAnsi="Times New Roman" w:cs="Times New Roman"/>
                <w:b/>
                <w:bCs/>
                <w:lang w:val="en-US" w:eastAsia="zh-CN"/>
              </w:rPr>
              <w:t xml:space="preserve">   </w:t>
            </w:r>
            <w:r>
              <w:rPr>
                <w:rFonts w:hint="default" w:ascii="Times New Roman" w:hAnsi="Times New Roman" w:cs="Times New Roman"/>
                <w:b/>
                <w:bCs/>
                <w:lang w:eastAsia="zh-CN"/>
              </w:rPr>
              <w:t>本项目颗粒物产排</w:t>
            </w:r>
            <w:r>
              <w:rPr>
                <w:rFonts w:hint="default" w:ascii="Times New Roman" w:hAnsi="Times New Roman" w:cs="Times New Roman"/>
                <w:b/>
                <w:bCs/>
              </w:rPr>
              <w:t>一览表</w:t>
            </w:r>
          </w:p>
          <w:tbl>
            <w:tblPr>
              <w:tblStyle w:val="24"/>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21"/>
              <w:gridCol w:w="489"/>
              <w:gridCol w:w="720"/>
              <w:gridCol w:w="826"/>
              <w:gridCol w:w="1135"/>
              <w:gridCol w:w="947"/>
              <w:gridCol w:w="870"/>
              <w:gridCol w:w="870"/>
              <w:gridCol w:w="826"/>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Merge w:val="restart"/>
                  <w:vAlign w:val="center"/>
                </w:tcPr>
                <w:p>
                  <w:pPr>
                    <w:pStyle w:val="30"/>
                    <w:spacing w:before="24" w:after="24" w:line="240" w:lineRule="auto"/>
                    <w:jc w:val="center"/>
                    <w:rPr>
                      <w:rFonts w:ascii="Times New Roman"/>
                      <w:b/>
                      <w:bCs/>
                      <w:color w:val="auto"/>
                      <w:sz w:val="21"/>
                      <w:szCs w:val="21"/>
                    </w:rPr>
                  </w:pPr>
                  <w:r>
                    <w:rPr>
                      <w:rFonts w:hint="eastAsia" w:ascii="Times New Roman"/>
                      <w:b/>
                      <w:bCs/>
                      <w:color w:val="auto"/>
                      <w:sz w:val="21"/>
                      <w:szCs w:val="21"/>
                    </w:rPr>
                    <w:t>产排污环节</w:t>
                  </w:r>
                </w:p>
              </w:tc>
              <w:tc>
                <w:tcPr>
                  <w:tcW w:w="296" w:type="pct"/>
                  <w:vMerge w:val="restart"/>
                  <w:vAlign w:val="center"/>
                </w:tcPr>
                <w:p>
                  <w:pPr>
                    <w:pStyle w:val="30"/>
                    <w:spacing w:before="24" w:after="24" w:line="240" w:lineRule="auto"/>
                    <w:jc w:val="center"/>
                    <w:rPr>
                      <w:rFonts w:ascii="Times New Roman"/>
                      <w:b/>
                      <w:bCs/>
                      <w:color w:val="auto"/>
                      <w:sz w:val="21"/>
                      <w:szCs w:val="21"/>
                    </w:rPr>
                  </w:pPr>
                  <w:r>
                    <w:rPr>
                      <w:rFonts w:hint="eastAsia" w:ascii="Times New Roman"/>
                      <w:b/>
                      <w:bCs/>
                      <w:color w:val="auto"/>
                      <w:sz w:val="21"/>
                      <w:szCs w:val="21"/>
                    </w:rPr>
                    <w:t>排放形式</w:t>
                  </w:r>
                </w:p>
              </w:tc>
              <w:tc>
                <w:tcPr>
                  <w:tcW w:w="278" w:type="pct"/>
                  <w:vMerge w:val="restart"/>
                  <w:vAlign w:val="center"/>
                </w:tcPr>
                <w:p>
                  <w:pPr>
                    <w:pStyle w:val="30"/>
                    <w:spacing w:before="24" w:after="24" w:line="240" w:lineRule="auto"/>
                    <w:jc w:val="center"/>
                    <w:rPr>
                      <w:rFonts w:ascii="Times New Roman"/>
                      <w:b/>
                      <w:bCs/>
                      <w:color w:val="auto"/>
                      <w:sz w:val="21"/>
                      <w:szCs w:val="21"/>
                    </w:rPr>
                  </w:pPr>
                  <w:r>
                    <w:rPr>
                      <w:rFonts w:ascii="Times New Roman"/>
                      <w:b/>
                      <w:bCs/>
                      <w:color w:val="auto"/>
                      <w:sz w:val="21"/>
                      <w:szCs w:val="21"/>
                    </w:rPr>
                    <w:t>污染物</w:t>
                  </w:r>
                </w:p>
              </w:tc>
              <w:tc>
                <w:tcPr>
                  <w:tcW w:w="409" w:type="pct"/>
                  <w:vMerge w:val="restart"/>
                  <w:vAlign w:val="center"/>
                </w:tcPr>
                <w:p>
                  <w:pPr>
                    <w:pStyle w:val="30"/>
                    <w:spacing w:before="24" w:after="24" w:line="240" w:lineRule="auto"/>
                    <w:jc w:val="center"/>
                    <w:rPr>
                      <w:b/>
                      <w:bCs/>
                      <w:color w:val="auto"/>
                      <w:sz w:val="21"/>
                      <w:szCs w:val="21"/>
                    </w:rPr>
                  </w:pPr>
                  <w:r>
                    <w:rPr>
                      <w:rFonts w:ascii="Times New Roman"/>
                      <w:b/>
                      <w:bCs/>
                      <w:color w:val="auto"/>
                      <w:sz w:val="21"/>
                      <w:szCs w:val="21"/>
                    </w:rPr>
                    <w:t>产生量</w:t>
                  </w:r>
                  <w:r>
                    <w:rPr>
                      <w:rFonts w:hint="eastAsia"/>
                      <w:b/>
                      <w:bCs/>
                      <w:color w:val="auto"/>
                      <w:sz w:val="21"/>
                      <w:szCs w:val="21"/>
                      <w:lang w:val="en-US" w:eastAsia="zh-CN"/>
                    </w:rPr>
                    <w:t>t</w:t>
                  </w:r>
                  <w:r>
                    <w:rPr>
                      <w:b/>
                      <w:bCs/>
                      <w:color w:val="auto"/>
                      <w:sz w:val="21"/>
                      <w:szCs w:val="21"/>
                    </w:rPr>
                    <w:t>/a</w:t>
                  </w:r>
                </w:p>
              </w:tc>
              <w:tc>
                <w:tcPr>
                  <w:tcW w:w="469" w:type="pct"/>
                  <w:vMerge w:val="restart"/>
                  <w:vAlign w:val="center"/>
                </w:tcPr>
                <w:p>
                  <w:pPr>
                    <w:spacing w:line="240" w:lineRule="auto"/>
                    <w:ind w:left="0" w:leftChars="0" w:firstLine="0" w:firstLineChars="0"/>
                    <w:jc w:val="both"/>
                    <w:rPr>
                      <w:b/>
                      <w:bCs/>
                      <w:color w:val="auto"/>
                      <w:sz w:val="21"/>
                      <w:szCs w:val="21"/>
                    </w:rPr>
                  </w:pPr>
                  <w:r>
                    <w:rPr>
                      <w:b/>
                      <w:bCs/>
                      <w:color w:val="auto"/>
                      <w:sz w:val="21"/>
                      <w:szCs w:val="21"/>
                    </w:rPr>
                    <w:t>产生速率kg/h</w:t>
                  </w:r>
                </w:p>
              </w:tc>
              <w:tc>
                <w:tcPr>
                  <w:tcW w:w="1183" w:type="pct"/>
                  <w:gridSpan w:val="2"/>
                  <w:vAlign w:val="center"/>
                </w:tcPr>
                <w:p>
                  <w:pPr>
                    <w:pStyle w:val="30"/>
                    <w:spacing w:before="24" w:after="24" w:line="240" w:lineRule="auto"/>
                    <w:jc w:val="center"/>
                    <w:rPr>
                      <w:rFonts w:hint="default" w:ascii="Times New Roman" w:eastAsia="宋体"/>
                      <w:b/>
                      <w:bCs/>
                      <w:color w:val="auto"/>
                      <w:sz w:val="21"/>
                      <w:szCs w:val="21"/>
                      <w:lang w:val="en-US" w:eastAsia="zh-CN"/>
                    </w:rPr>
                  </w:pPr>
                  <w:r>
                    <w:rPr>
                      <w:rFonts w:hint="eastAsia" w:ascii="Times New Roman"/>
                      <w:b/>
                      <w:bCs/>
                      <w:color w:val="auto"/>
                      <w:sz w:val="21"/>
                      <w:szCs w:val="21"/>
                      <w:lang w:val="en-US" w:eastAsia="zh-CN"/>
                    </w:rPr>
                    <w:t>污染防治设施</w:t>
                  </w:r>
                </w:p>
              </w:tc>
              <w:tc>
                <w:tcPr>
                  <w:tcW w:w="494" w:type="pct"/>
                  <w:vMerge w:val="restart"/>
                  <w:vAlign w:val="center"/>
                </w:tcPr>
                <w:p>
                  <w:pPr>
                    <w:pStyle w:val="30"/>
                    <w:spacing w:before="24" w:after="24" w:line="240" w:lineRule="auto"/>
                    <w:jc w:val="center"/>
                    <w:rPr>
                      <w:rFonts w:ascii="Times New Roman"/>
                      <w:b/>
                      <w:bCs/>
                      <w:color w:val="auto"/>
                      <w:sz w:val="21"/>
                      <w:szCs w:val="21"/>
                    </w:rPr>
                  </w:pPr>
                  <w:r>
                    <w:rPr>
                      <w:rFonts w:ascii="Times New Roman"/>
                      <w:b/>
                      <w:bCs/>
                      <w:color w:val="auto"/>
                      <w:sz w:val="21"/>
                      <w:szCs w:val="21"/>
                    </w:rPr>
                    <w:t>排放量t/a</w:t>
                  </w:r>
                </w:p>
              </w:tc>
              <w:tc>
                <w:tcPr>
                  <w:tcW w:w="494" w:type="pct"/>
                  <w:vMerge w:val="restart"/>
                  <w:vAlign w:val="center"/>
                </w:tcPr>
                <w:p>
                  <w:pPr>
                    <w:pStyle w:val="30"/>
                    <w:spacing w:before="24" w:after="24" w:line="240" w:lineRule="auto"/>
                    <w:jc w:val="center"/>
                    <w:rPr>
                      <w:rFonts w:ascii="Times New Roman"/>
                      <w:b/>
                      <w:bCs/>
                      <w:color w:val="auto"/>
                      <w:sz w:val="21"/>
                      <w:szCs w:val="21"/>
                    </w:rPr>
                  </w:pPr>
                  <w:r>
                    <w:rPr>
                      <w:rFonts w:ascii="Times New Roman"/>
                      <w:b/>
                      <w:bCs/>
                      <w:color w:val="auto"/>
                      <w:sz w:val="21"/>
                      <w:szCs w:val="21"/>
                    </w:rPr>
                    <w:t>排放速率kg/h</w:t>
                  </w:r>
                </w:p>
              </w:tc>
              <w:tc>
                <w:tcPr>
                  <w:tcW w:w="469" w:type="pct"/>
                  <w:vMerge w:val="restart"/>
                  <w:vAlign w:val="center"/>
                </w:tcPr>
                <w:p>
                  <w:pPr>
                    <w:pStyle w:val="30"/>
                    <w:spacing w:before="24" w:after="24" w:line="240" w:lineRule="auto"/>
                    <w:jc w:val="center"/>
                    <w:rPr>
                      <w:rFonts w:ascii="Times New Roman"/>
                      <w:b/>
                      <w:bCs/>
                      <w:color w:val="auto"/>
                      <w:sz w:val="21"/>
                      <w:szCs w:val="21"/>
                    </w:rPr>
                  </w:pPr>
                  <w:r>
                    <w:rPr>
                      <w:rFonts w:ascii="Times New Roman"/>
                      <w:b/>
                      <w:bCs/>
                      <w:color w:val="auto"/>
                      <w:sz w:val="21"/>
                      <w:szCs w:val="21"/>
                    </w:rPr>
                    <w:t>排放浓度mg/m</w:t>
                  </w:r>
                  <w:r>
                    <w:rPr>
                      <w:rFonts w:ascii="Times New Roman"/>
                      <w:b/>
                      <w:bCs/>
                      <w:color w:val="auto"/>
                      <w:sz w:val="21"/>
                      <w:szCs w:val="21"/>
                      <w:vertAlign w:val="superscript"/>
                    </w:rPr>
                    <w:t>3</w:t>
                  </w:r>
                </w:p>
              </w:tc>
              <w:tc>
                <w:tcPr>
                  <w:tcW w:w="512" w:type="pct"/>
                  <w:vMerge w:val="restart"/>
                  <w:vAlign w:val="center"/>
                </w:tcPr>
                <w:p>
                  <w:pPr>
                    <w:pStyle w:val="30"/>
                    <w:spacing w:before="24" w:after="24" w:line="240" w:lineRule="auto"/>
                    <w:jc w:val="center"/>
                    <w:rPr>
                      <w:rFonts w:hint="eastAsia" w:ascii="Times New Roman"/>
                      <w:b/>
                      <w:bCs/>
                      <w:color w:val="auto"/>
                      <w:sz w:val="21"/>
                      <w:szCs w:val="21"/>
                      <w:lang w:val="en-US" w:eastAsia="zh-CN"/>
                    </w:rPr>
                  </w:pPr>
                  <w:r>
                    <w:rPr>
                      <w:rFonts w:hint="eastAsia" w:ascii="Times New Roman"/>
                      <w:b/>
                      <w:bCs/>
                      <w:color w:val="auto"/>
                      <w:sz w:val="21"/>
                      <w:szCs w:val="21"/>
                      <w:lang w:val="en-US" w:eastAsia="zh-CN"/>
                    </w:rPr>
                    <w:t>标准限值</w:t>
                  </w:r>
                </w:p>
                <w:p>
                  <w:pPr>
                    <w:pStyle w:val="30"/>
                    <w:spacing w:before="24" w:after="24" w:line="240" w:lineRule="auto"/>
                    <w:jc w:val="center"/>
                    <w:rPr>
                      <w:rFonts w:hint="default" w:ascii="Times New Roman" w:eastAsia="宋体"/>
                      <w:b/>
                      <w:bCs/>
                      <w:color w:val="auto"/>
                      <w:sz w:val="21"/>
                      <w:szCs w:val="21"/>
                      <w:lang w:val="en-US" w:eastAsia="zh-CN"/>
                    </w:rPr>
                  </w:pPr>
                  <w:r>
                    <w:rPr>
                      <w:rFonts w:hint="eastAsia" w:ascii="Times New Roman"/>
                      <w:b/>
                      <w:bCs/>
                      <w:color w:val="auto"/>
                      <w:sz w:val="21"/>
                      <w:szCs w:val="21"/>
                      <w:lang w:val="en-US" w:eastAsia="zh-CN"/>
                    </w:rPr>
                    <w:t>mg/m</w:t>
                  </w:r>
                  <w:r>
                    <w:rPr>
                      <w:rFonts w:hint="eastAsia" w:ascii="Times New Roman"/>
                      <w:b/>
                      <w:bCs/>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392" w:type="pct"/>
                  <w:vMerge w:val="continue"/>
                  <w:vAlign w:val="center"/>
                </w:tcPr>
                <w:p>
                  <w:pPr>
                    <w:pStyle w:val="30"/>
                    <w:spacing w:before="24" w:after="24" w:line="240" w:lineRule="auto"/>
                    <w:jc w:val="center"/>
                    <w:rPr>
                      <w:color w:val="auto"/>
                    </w:rPr>
                  </w:pPr>
                </w:p>
              </w:tc>
              <w:tc>
                <w:tcPr>
                  <w:tcW w:w="296" w:type="pct"/>
                  <w:vMerge w:val="continue"/>
                  <w:vAlign w:val="center"/>
                </w:tcPr>
                <w:p>
                  <w:pPr>
                    <w:pStyle w:val="30"/>
                    <w:spacing w:before="24" w:after="24" w:line="240" w:lineRule="auto"/>
                    <w:jc w:val="center"/>
                    <w:rPr>
                      <w:color w:val="auto"/>
                    </w:rPr>
                  </w:pPr>
                </w:p>
              </w:tc>
              <w:tc>
                <w:tcPr>
                  <w:tcW w:w="278" w:type="pct"/>
                  <w:vMerge w:val="continue"/>
                  <w:vAlign w:val="center"/>
                </w:tcPr>
                <w:p>
                  <w:pPr>
                    <w:pStyle w:val="30"/>
                    <w:spacing w:before="24" w:after="24" w:line="240" w:lineRule="auto"/>
                    <w:jc w:val="center"/>
                    <w:rPr>
                      <w:color w:val="auto"/>
                    </w:rPr>
                  </w:pPr>
                </w:p>
              </w:tc>
              <w:tc>
                <w:tcPr>
                  <w:tcW w:w="409" w:type="pct"/>
                  <w:vMerge w:val="continue"/>
                  <w:vAlign w:val="center"/>
                </w:tcPr>
                <w:p>
                  <w:pPr>
                    <w:pStyle w:val="30"/>
                    <w:spacing w:before="24" w:after="24" w:line="240" w:lineRule="auto"/>
                    <w:jc w:val="center"/>
                    <w:rPr>
                      <w:color w:val="auto"/>
                    </w:rPr>
                  </w:pPr>
                </w:p>
              </w:tc>
              <w:tc>
                <w:tcPr>
                  <w:tcW w:w="469" w:type="pct"/>
                  <w:vMerge w:val="continue"/>
                  <w:vAlign w:val="center"/>
                </w:tcPr>
                <w:p>
                  <w:pPr>
                    <w:pStyle w:val="30"/>
                    <w:spacing w:before="24" w:after="24" w:line="240" w:lineRule="auto"/>
                    <w:jc w:val="center"/>
                    <w:rPr>
                      <w:color w:val="auto"/>
                    </w:rPr>
                  </w:pPr>
                </w:p>
              </w:tc>
              <w:tc>
                <w:tcPr>
                  <w:tcW w:w="645" w:type="pct"/>
                  <w:vAlign w:val="center"/>
                </w:tcPr>
                <w:p>
                  <w:pPr>
                    <w:pStyle w:val="30"/>
                    <w:spacing w:before="24" w:after="24" w:line="240" w:lineRule="auto"/>
                    <w:jc w:val="center"/>
                    <w:rPr>
                      <w:rFonts w:hint="default" w:ascii="Times New Roman"/>
                      <w:b/>
                      <w:bCs/>
                      <w:color w:val="auto"/>
                      <w:sz w:val="21"/>
                      <w:szCs w:val="21"/>
                      <w:lang w:val="en-US" w:eastAsia="zh-CN"/>
                    </w:rPr>
                  </w:pPr>
                  <w:r>
                    <w:rPr>
                      <w:rFonts w:hint="eastAsia" w:ascii="Times New Roman"/>
                      <w:b/>
                      <w:bCs/>
                      <w:color w:val="auto"/>
                      <w:sz w:val="21"/>
                      <w:szCs w:val="21"/>
                      <w:lang w:val="en-US" w:eastAsia="zh-CN"/>
                    </w:rPr>
                    <w:t>名称及工艺</w:t>
                  </w:r>
                </w:p>
              </w:tc>
              <w:tc>
                <w:tcPr>
                  <w:tcW w:w="537" w:type="pct"/>
                  <w:vAlign w:val="center"/>
                </w:tcPr>
                <w:p>
                  <w:pPr>
                    <w:pStyle w:val="30"/>
                    <w:spacing w:before="24" w:after="24" w:line="240" w:lineRule="auto"/>
                    <w:jc w:val="center"/>
                    <w:rPr>
                      <w:rFonts w:hint="default" w:ascii="Times New Roman"/>
                      <w:b/>
                      <w:bCs/>
                      <w:color w:val="auto"/>
                      <w:sz w:val="21"/>
                      <w:szCs w:val="21"/>
                      <w:lang w:val="en-US" w:eastAsia="zh-CN"/>
                    </w:rPr>
                  </w:pPr>
                  <w:r>
                    <w:rPr>
                      <w:rFonts w:hint="eastAsia" w:ascii="Times New Roman"/>
                      <w:b/>
                      <w:bCs/>
                      <w:color w:val="auto"/>
                      <w:sz w:val="21"/>
                      <w:szCs w:val="21"/>
                      <w:lang w:val="en-US" w:eastAsia="zh-CN"/>
                    </w:rPr>
                    <w:t>是否为可行技术</w:t>
                  </w:r>
                </w:p>
              </w:tc>
              <w:tc>
                <w:tcPr>
                  <w:tcW w:w="494" w:type="pct"/>
                  <w:vMerge w:val="continue"/>
                  <w:vAlign w:val="center"/>
                </w:tcPr>
                <w:p>
                  <w:pPr>
                    <w:pStyle w:val="30"/>
                    <w:spacing w:before="24" w:after="24" w:line="240" w:lineRule="auto"/>
                    <w:jc w:val="center"/>
                    <w:rPr>
                      <w:rFonts w:hint="eastAsia" w:ascii="Times New Roman"/>
                      <w:b/>
                      <w:bCs/>
                      <w:color w:val="auto"/>
                      <w:sz w:val="21"/>
                      <w:szCs w:val="21"/>
                      <w:lang w:val="en-US" w:eastAsia="zh-CN"/>
                    </w:rPr>
                  </w:pPr>
                </w:p>
              </w:tc>
              <w:tc>
                <w:tcPr>
                  <w:tcW w:w="494" w:type="pct"/>
                  <w:vMerge w:val="continue"/>
                  <w:vAlign w:val="center"/>
                </w:tcPr>
                <w:p>
                  <w:pPr>
                    <w:pStyle w:val="30"/>
                    <w:spacing w:before="24" w:after="24" w:line="240" w:lineRule="auto"/>
                    <w:jc w:val="center"/>
                    <w:rPr>
                      <w:rFonts w:hint="eastAsia" w:ascii="Times New Roman"/>
                      <w:b/>
                      <w:bCs/>
                      <w:color w:val="auto"/>
                      <w:sz w:val="21"/>
                      <w:szCs w:val="21"/>
                      <w:lang w:val="en-US" w:eastAsia="zh-CN"/>
                    </w:rPr>
                  </w:pPr>
                </w:p>
              </w:tc>
              <w:tc>
                <w:tcPr>
                  <w:tcW w:w="469" w:type="pct"/>
                  <w:vMerge w:val="continue"/>
                  <w:vAlign w:val="center"/>
                </w:tcPr>
                <w:p>
                  <w:pPr>
                    <w:pStyle w:val="30"/>
                    <w:spacing w:before="24" w:after="24" w:line="240" w:lineRule="auto"/>
                    <w:jc w:val="center"/>
                    <w:rPr>
                      <w:rFonts w:hint="eastAsia" w:ascii="Times New Roman"/>
                      <w:b/>
                      <w:bCs/>
                      <w:color w:val="auto"/>
                      <w:sz w:val="21"/>
                      <w:szCs w:val="21"/>
                      <w:lang w:val="en-US" w:eastAsia="zh-CN"/>
                    </w:rPr>
                  </w:pPr>
                </w:p>
              </w:tc>
              <w:tc>
                <w:tcPr>
                  <w:tcW w:w="512" w:type="pct"/>
                  <w:vMerge w:val="continue"/>
                  <w:vAlign w:val="center"/>
                </w:tcPr>
                <w:p>
                  <w:pPr>
                    <w:pStyle w:val="30"/>
                    <w:spacing w:before="24" w:after="24" w:line="240" w:lineRule="auto"/>
                    <w:jc w:val="center"/>
                    <w:rPr>
                      <w:rFonts w:hint="eastAsia" w:ascii="Times New Roman"/>
                      <w:b/>
                      <w:bCs/>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tcBorders>
                    <w:tl2br w:val="nil"/>
                    <w:tr2bl w:val="nil"/>
                  </w:tcBorders>
                  <w:vAlign w:val="center"/>
                </w:tcPr>
                <w:p>
                  <w:pPr>
                    <w:pStyle w:val="3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搅拌楼</w:t>
                  </w:r>
                </w:p>
              </w:tc>
              <w:tc>
                <w:tcPr>
                  <w:tcW w:w="296" w:type="pct"/>
                  <w:vMerge w:val="restart"/>
                  <w:tcBorders>
                    <w:tl2br w:val="nil"/>
                    <w:tr2bl w:val="nil"/>
                  </w:tcBorders>
                  <w:vAlign w:val="center"/>
                </w:tcPr>
                <w:p>
                  <w:pPr>
                    <w:pStyle w:val="30"/>
                    <w:spacing w:before="24" w:after="24" w:line="240" w:lineRule="auto"/>
                    <w:jc w:val="center"/>
                    <w:rPr>
                      <w:rFonts w:ascii="Times New Roman"/>
                      <w:color w:val="auto"/>
                      <w:sz w:val="21"/>
                      <w:szCs w:val="21"/>
                    </w:rPr>
                  </w:pPr>
                  <w:r>
                    <w:rPr>
                      <w:rFonts w:hint="eastAsia" w:ascii="Times New Roman"/>
                      <w:color w:val="auto"/>
                      <w:sz w:val="21"/>
                      <w:szCs w:val="21"/>
                    </w:rPr>
                    <w:t>无组织</w:t>
                  </w:r>
                </w:p>
              </w:tc>
              <w:tc>
                <w:tcPr>
                  <w:tcW w:w="278" w:type="pct"/>
                  <w:tcBorders>
                    <w:tl2br w:val="nil"/>
                    <w:tr2bl w:val="nil"/>
                  </w:tcBorders>
                  <w:vAlign w:val="center"/>
                </w:tcPr>
                <w:p>
                  <w:pPr>
                    <w:pStyle w:val="30"/>
                    <w:spacing w:before="24" w:after="24" w:line="240" w:lineRule="auto"/>
                    <w:jc w:val="center"/>
                    <w:rPr>
                      <w:rFonts w:hint="eastAsia" w:ascii="Times New Roman"/>
                      <w:color w:val="auto"/>
                      <w:sz w:val="21"/>
                      <w:szCs w:val="21"/>
                    </w:rPr>
                  </w:pPr>
                  <w:r>
                    <w:rPr>
                      <w:rFonts w:hint="eastAsia" w:ascii="Times New Roman"/>
                      <w:color w:val="auto"/>
                      <w:sz w:val="21"/>
                      <w:szCs w:val="21"/>
                    </w:rPr>
                    <w:t>颗粒物</w:t>
                  </w:r>
                </w:p>
              </w:tc>
              <w:tc>
                <w:tcPr>
                  <w:tcW w:w="409" w:type="pct"/>
                  <w:tcBorders>
                    <w:tl2br w:val="nil"/>
                    <w:tr2bl w:val="nil"/>
                  </w:tcBorders>
                  <w:vAlign w:val="center"/>
                </w:tcPr>
                <w:p>
                  <w:pPr>
                    <w:pStyle w:val="30"/>
                    <w:spacing w:before="24" w:after="24" w:line="240" w:lineRule="auto"/>
                    <w:jc w:val="center"/>
                    <w:rPr>
                      <w:rFonts w:hint="default" w:ascii="Times New Roman"/>
                      <w:color w:val="auto"/>
                      <w:sz w:val="21"/>
                      <w:szCs w:val="21"/>
                      <w:lang w:val="en-US" w:eastAsia="zh-CN"/>
                    </w:rPr>
                  </w:pPr>
                  <w:r>
                    <w:rPr>
                      <w:rFonts w:hint="eastAsia" w:ascii="Times New Roman"/>
                      <w:color w:val="auto"/>
                      <w:sz w:val="21"/>
                      <w:szCs w:val="21"/>
                      <w:lang w:val="en-US" w:eastAsia="zh-CN"/>
                    </w:rPr>
                    <w:t>6.24</w:t>
                  </w:r>
                </w:p>
              </w:tc>
              <w:tc>
                <w:tcPr>
                  <w:tcW w:w="469" w:type="pct"/>
                  <w:tcBorders>
                    <w:tl2br w:val="nil"/>
                    <w:tr2bl w:val="nil"/>
                  </w:tcBorders>
                  <w:vAlign w:val="center"/>
                </w:tcPr>
                <w:p>
                  <w:pPr>
                    <w:pStyle w:val="30"/>
                    <w:spacing w:before="24" w:after="24" w:line="240" w:lineRule="auto"/>
                    <w:jc w:val="center"/>
                    <w:rPr>
                      <w:rFonts w:hint="default" w:ascii="Times New Roman"/>
                      <w:color w:val="auto"/>
                      <w:sz w:val="21"/>
                      <w:szCs w:val="21"/>
                      <w:lang w:val="en-US" w:eastAsia="zh-CN"/>
                    </w:rPr>
                  </w:pPr>
                  <w:r>
                    <w:rPr>
                      <w:rFonts w:hint="eastAsia" w:ascii="Times New Roman"/>
                      <w:color w:val="auto"/>
                      <w:sz w:val="21"/>
                      <w:szCs w:val="21"/>
                      <w:lang w:val="en-US" w:eastAsia="zh-CN"/>
                    </w:rPr>
                    <w:t>2.84</w:t>
                  </w:r>
                </w:p>
              </w:tc>
              <w:tc>
                <w:tcPr>
                  <w:tcW w:w="645" w:type="pct"/>
                  <w:tcBorders>
                    <w:tl2br w:val="nil"/>
                    <w:tr2bl w:val="nil"/>
                  </w:tcBorders>
                  <w:vAlign w:val="center"/>
                </w:tcPr>
                <w:p>
                  <w:pPr>
                    <w:pStyle w:val="3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搅拌楼封闭</w:t>
                  </w:r>
                </w:p>
              </w:tc>
              <w:tc>
                <w:tcPr>
                  <w:tcW w:w="537" w:type="pct"/>
                  <w:tcBorders>
                    <w:tl2br w:val="nil"/>
                    <w:tr2bl w:val="nil"/>
                  </w:tcBorders>
                  <w:vAlign w:val="center"/>
                </w:tcPr>
                <w:p>
                  <w:pPr>
                    <w:pStyle w:val="30"/>
                    <w:spacing w:before="24" w:after="24" w:line="240" w:lineRule="auto"/>
                    <w:jc w:val="center"/>
                    <w:rPr>
                      <w:rFonts w:hint="default" w:ascii="Times New Roman"/>
                      <w:color w:val="auto"/>
                      <w:sz w:val="21"/>
                      <w:szCs w:val="21"/>
                      <w:lang w:val="en-US" w:eastAsia="zh-CN"/>
                    </w:rPr>
                  </w:pPr>
                  <w:r>
                    <w:rPr>
                      <w:rFonts w:hint="eastAsia" w:ascii="Times New Roman"/>
                      <w:color w:val="auto"/>
                      <w:sz w:val="21"/>
                      <w:szCs w:val="21"/>
                      <w:lang w:val="en-US" w:eastAsia="zh-CN"/>
                    </w:rPr>
                    <w:t>是</w:t>
                  </w:r>
                </w:p>
              </w:tc>
              <w:tc>
                <w:tcPr>
                  <w:tcW w:w="494" w:type="pct"/>
                  <w:tcBorders>
                    <w:tl2br w:val="nil"/>
                    <w:tr2bl w:val="nil"/>
                  </w:tcBorders>
                  <w:vAlign w:val="center"/>
                </w:tcPr>
                <w:p>
                  <w:pPr>
                    <w:pStyle w:val="30"/>
                    <w:spacing w:before="24" w:after="24" w:line="240" w:lineRule="auto"/>
                    <w:jc w:val="center"/>
                    <w:rPr>
                      <w:rFonts w:hint="default" w:ascii="Times New Roman"/>
                      <w:color w:val="auto"/>
                      <w:sz w:val="21"/>
                      <w:szCs w:val="21"/>
                      <w:lang w:val="en-US" w:eastAsia="zh-CN"/>
                    </w:rPr>
                  </w:pPr>
                  <w:r>
                    <w:rPr>
                      <w:rFonts w:hint="eastAsia" w:ascii="Times New Roman"/>
                      <w:color w:val="auto"/>
                      <w:sz w:val="21"/>
                      <w:szCs w:val="21"/>
                      <w:lang w:val="en-US" w:eastAsia="zh-CN"/>
                    </w:rPr>
                    <w:t>1.25</w:t>
                  </w:r>
                </w:p>
              </w:tc>
              <w:tc>
                <w:tcPr>
                  <w:tcW w:w="494" w:type="pct"/>
                  <w:tcBorders>
                    <w:tl2br w:val="nil"/>
                    <w:tr2bl w:val="nil"/>
                  </w:tcBorders>
                  <w:vAlign w:val="center"/>
                </w:tcPr>
                <w:p>
                  <w:pPr>
                    <w:pStyle w:val="30"/>
                    <w:spacing w:before="24" w:after="24" w:line="240" w:lineRule="auto"/>
                    <w:jc w:val="center"/>
                    <w:rPr>
                      <w:rFonts w:hint="default" w:ascii="Times New Roman"/>
                      <w:color w:val="auto"/>
                      <w:sz w:val="21"/>
                      <w:szCs w:val="21"/>
                      <w:lang w:val="en-US" w:eastAsia="zh-CN"/>
                    </w:rPr>
                  </w:pPr>
                  <w:r>
                    <w:rPr>
                      <w:rFonts w:hint="eastAsia" w:ascii="Times New Roman"/>
                      <w:color w:val="auto"/>
                      <w:sz w:val="21"/>
                      <w:szCs w:val="21"/>
                      <w:lang w:val="en-US" w:eastAsia="zh-CN"/>
                    </w:rPr>
                    <w:t>0.57</w:t>
                  </w:r>
                </w:p>
              </w:tc>
              <w:tc>
                <w:tcPr>
                  <w:tcW w:w="469" w:type="pct"/>
                  <w:tcBorders>
                    <w:tl2br w:val="nil"/>
                    <w:tr2bl w:val="nil"/>
                  </w:tcBorders>
                  <w:vAlign w:val="center"/>
                </w:tcPr>
                <w:p>
                  <w:pPr>
                    <w:pStyle w:val="30"/>
                    <w:spacing w:before="24" w:after="24" w:line="240" w:lineRule="auto"/>
                    <w:jc w:val="center"/>
                    <w:rPr>
                      <w:rFonts w:hint="default" w:ascii="Times New Roman"/>
                      <w:color w:val="auto"/>
                      <w:sz w:val="21"/>
                      <w:szCs w:val="21"/>
                      <w:lang w:val="en-US" w:eastAsia="zh-CN"/>
                    </w:rPr>
                  </w:pPr>
                  <w:r>
                    <w:rPr>
                      <w:rFonts w:hint="eastAsia" w:ascii="Times New Roman"/>
                      <w:color w:val="auto"/>
                      <w:sz w:val="21"/>
                      <w:szCs w:val="21"/>
                      <w:lang w:val="en-US" w:eastAsia="zh-CN"/>
                    </w:rPr>
                    <w:t>/</w:t>
                  </w:r>
                </w:p>
              </w:tc>
              <w:tc>
                <w:tcPr>
                  <w:tcW w:w="512" w:type="pct"/>
                  <w:tcBorders>
                    <w:tl2br w:val="nil"/>
                    <w:tr2bl w:val="nil"/>
                  </w:tcBorders>
                  <w:vAlign w:val="center"/>
                </w:tcPr>
                <w:p>
                  <w:pPr>
                    <w:pStyle w:val="30"/>
                    <w:spacing w:before="24" w:after="24" w:line="240" w:lineRule="auto"/>
                    <w:jc w:val="center"/>
                    <w:rPr>
                      <w:rFonts w:hint="default" w:ascii="Times New Roman"/>
                      <w:color w:val="auto"/>
                      <w:sz w:val="21"/>
                      <w:szCs w:val="21"/>
                      <w:lang w:val="en-US" w:eastAsia="zh-CN"/>
                    </w:rPr>
                  </w:pPr>
                  <w:r>
                    <w:rPr>
                      <w:rFonts w:hint="eastAsia" w:ascii="Times New Roman"/>
                      <w:color w:val="auto"/>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tcBorders>
                    <w:tl2br w:val="nil"/>
                    <w:tr2bl w:val="nil"/>
                  </w:tcBorders>
                  <w:vAlign w:val="center"/>
                </w:tcPr>
                <w:p>
                  <w:pPr>
                    <w:pStyle w:val="30"/>
                    <w:spacing w:before="24" w:after="24" w:line="240" w:lineRule="auto"/>
                    <w:jc w:val="center"/>
                    <w:rPr>
                      <w:rFonts w:hint="default" w:ascii="Times New Roman"/>
                      <w:color w:val="auto"/>
                      <w:sz w:val="21"/>
                      <w:szCs w:val="21"/>
                      <w:lang w:val="en-US" w:eastAsia="zh-CN"/>
                    </w:rPr>
                  </w:pPr>
                  <w:r>
                    <w:rPr>
                      <w:rFonts w:hint="eastAsia" w:ascii="Times New Roman"/>
                      <w:color w:val="auto"/>
                      <w:sz w:val="21"/>
                      <w:szCs w:val="21"/>
                      <w:lang w:val="en-US" w:eastAsia="zh-CN"/>
                    </w:rPr>
                    <w:t>水稳站</w:t>
                  </w:r>
                </w:p>
              </w:tc>
              <w:tc>
                <w:tcPr>
                  <w:tcW w:w="296" w:type="pct"/>
                  <w:vMerge w:val="continue"/>
                  <w:tcBorders>
                    <w:tl2br w:val="nil"/>
                    <w:tr2bl w:val="nil"/>
                  </w:tcBorders>
                  <w:vAlign w:val="center"/>
                </w:tcPr>
                <w:p>
                  <w:pPr>
                    <w:pStyle w:val="30"/>
                    <w:spacing w:before="24" w:after="24" w:line="240" w:lineRule="auto"/>
                    <w:jc w:val="center"/>
                    <w:rPr>
                      <w:rFonts w:hint="eastAsia" w:ascii="Times New Roman"/>
                      <w:color w:val="auto"/>
                      <w:sz w:val="21"/>
                      <w:szCs w:val="21"/>
                    </w:rPr>
                  </w:pPr>
                </w:p>
              </w:tc>
              <w:tc>
                <w:tcPr>
                  <w:tcW w:w="278" w:type="pct"/>
                  <w:tcBorders>
                    <w:tl2br w:val="nil"/>
                    <w:tr2bl w:val="nil"/>
                  </w:tcBorders>
                  <w:vAlign w:val="center"/>
                </w:tcPr>
                <w:p>
                  <w:pPr>
                    <w:pStyle w:val="30"/>
                    <w:spacing w:before="24" w:after="24" w:line="240" w:lineRule="auto"/>
                    <w:jc w:val="center"/>
                    <w:rPr>
                      <w:rFonts w:hint="eastAsia" w:ascii="Times New Roman"/>
                      <w:color w:val="auto"/>
                      <w:sz w:val="21"/>
                      <w:szCs w:val="21"/>
                    </w:rPr>
                  </w:pPr>
                  <w:r>
                    <w:rPr>
                      <w:rFonts w:hint="eastAsia" w:ascii="Times New Roman"/>
                      <w:color w:val="auto"/>
                      <w:sz w:val="21"/>
                      <w:szCs w:val="21"/>
                    </w:rPr>
                    <w:t>颗粒物</w:t>
                  </w:r>
                </w:p>
              </w:tc>
              <w:tc>
                <w:tcPr>
                  <w:tcW w:w="409" w:type="pct"/>
                  <w:tcBorders>
                    <w:tl2br w:val="nil"/>
                    <w:tr2bl w:val="nil"/>
                  </w:tcBorders>
                  <w:vAlign w:val="center"/>
                </w:tcPr>
                <w:p>
                  <w:pPr>
                    <w:pStyle w:val="30"/>
                    <w:spacing w:before="24" w:after="24" w:line="240" w:lineRule="auto"/>
                    <w:jc w:val="center"/>
                    <w:rPr>
                      <w:rFonts w:hint="default" w:ascii="Times New Roman"/>
                      <w:color w:val="auto"/>
                      <w:sz w:val="21"/>
                      <w:szCs w:val="21"/>
                      <w:lang w:val="en-US" w:eastAsia="zh-CN"/>
                    </w:rPr>
                  </w:pPr>
                  <w:r>
                    <w:rPr>
                      <w:rFonts w:hint="eastAsia" w:ascii="Times New Roman"/>
                      <w:color w:val="auto"/>
                      <w:sz w:val="21"/>
                      <w:szCs w:val="21"/>
                      <w:lang w:val="en-US" w:eastAsia="zh-CN"/>
                    </w:rPr>
                    <w:t>0.339</w:t>
                  </w:r>
                </w:p>
              </w:tc>
              <w:tc>
                <w:tcPr>
                  <w:tcW w:w="469" w:type="pct"/>
                  <w:tcBorders>
                    <w:tl2br w:val="nil"/>
                    <w:tr2bl w:val="nil"/>
                  </w:tcBorders>
                  <w:vAlign w:val="center"/>
                </w:tcPr>
                <w:p>
                  <w:pPr>
                    <w:pStyle w:val="30"/>
                    <w:spacing w:before="24" w:after="24" w:line="240" w:lineRule="auto"/>
                    <w:jc w:val="center"/>
                    <w:rPr>
                      <w:rFonts w:hint="default" w:ascii="Times New Roman"/>
                      <w:color w:val="auto"/>
                      <w:sz w:val="21"/>
                      <w:szCs w:val="21"/>
                      <w:lang w:val="en-US" w:eastAsia="zh-CN"/>
                    </w:rPr>
                  </w:pPr>
                  <w:r>
                    <w:rPr>
                      <w:rFonts w:hint="eastAsia" w:ascii="Times New Roman"/>
                      <w:color w:val="auto"/>
                      <w:sz w:val="21"/>
                      <w:szCs w:val="21"/>
                      <w:lang w:val="en-US" w:eastAsia="zh-CN"/>
                    </w:rPr>
                    <w:t>0.154</w:t>
                  </w:r>
                </w:p>
              </w:tc>
              <w:tc>
                <w:tcPr>
                  <w:tcW w:w="645" w:type="pct"/>
                  <w:tcBorders>
                    <w:tl2br w:val="nil"/>
                    <w:tr2bl w:val="nil"/>
                  </w:tcBorders>
                  <w:vAlign w:val="center"/>
                </w:tcPr>
                <w:p>
                  <w:pPr>
                    <w:pStyle w:val="30"/>
                    <w:spacing w:before="24" w:after="24" w:line="240" w:lineRule="auto"/>
                    <w:jc w:val="center"/>
                    <w:rPr>
                      <w:rFonts w:hint="eastAsia" w:ascii="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车间密闭，皮带进行封闭，车间内安装喷淋雾化装置和雾炮机、洒水抑尘</w:t>
                  </w:r>
                </w:p>
              </w:tc>
              <w:tc>
                <w:tcPr>
                  <w:tcW w:w="537" w:type="pct"/>
                  <w:tcBorders>
                    <w:tl2br w:val="nil"/>
                    <w:tr2bl w:val="nil"/>
                  </w:tcBorders>
                  <w:vAlign w:val="center"/>
                </w:tcPr>
                <w:p>
                  <w:pPr>
                    <w:pStyle w:val="30"/>
                    <w:spacing w:before="24" w:after="24" w:line="240" w:lineRule="auto"/>
                    <w:jc w:val="center"/>
                    <w:rPr>
                      <w:rFonts w:hint="default" w:ascii="Times New Roman"/>
                      <w:color w:val="auto"/>
                      <w:sz w:val="21"/>
                      <w:szCs w:val="21"/>
                      <w:lang w:val="en-US" w:eastAsia="zh-CN"/>
                    </w:rPr>
                  </w:pPr>
                  <w:r>
                    <w:rPr>
                      <w:rFonts w:hint="eastAsia" w:ascii="Times New Roman"/>
                      <w:color w:val="auto"/>
                      <w:sz w:val="21"/>
                      <w:szCs w:val="21"/>
                      <w:lang w:val="en-US" w:eastAsia="zh-CN"/>
                    </w:rPr>
                    <w:t>是</w:t>
                  </w:r>
                </w:p>
              </w:tc>
              <w:tc>
                <w:tcPr>
                  <w:tcW w:w="494" w:type="pct"/>
                  <w:tcBorders>
                    <w:tl2br w:val="nil"/>
                    <w:tr2bl w:val="nil"/>
                  </w:tcBorders>
                  <w:vAlign w:val="center"/>
                </w:tcPr>
                <w:p>
                  <w:pPr>
                    <w:pStyle w:val="30"/>
                    <w:spacing w:before="24" w:after="24" w:line="240" w:lineRule="auto"/>
                    <w:jc w:val="center"/>
                    <w:rPr>
                      <w:rFonts w:hint="default" w:ascii="Times New Roman"/>
                      <w:color w:val="auto"/>
                      <w:sz w:val="21"/>
                      <w:szCs w:val="21"/>
                      <w:lang w:val="en-US" w:eastAsia="zh-CN"/>
                    </w:rPr>
                  </w:pPr>
                  <w:r>
                    <w:rPr>
                      <w:rFonts w:hint="eastAsia" w:ascii="Times New Roman"/>
                      <w:color w:val="auto"/>
                      <w:sz w:val="21"/>
                      <w:szCs w:val="21"/>
                      <w:lang w:val="en-US" w:eastAsia="zh-CN"/>
                    </w:rPr>
                    <w:t>0.068</w:t>
                  </w:r>
                </w:p>
              </w:tc>
              <w:tc>
                <w:tcPr>
                  <w:tcW w:w="494" w:type="pct"/>
                  <w:tcBorders>
                    <w:tl2br w:val="nil"/>
                    <w:tr2bl w:val="nil"/>
                  </w:tcBorders>
                  <w:vAlign w:val="center"/>
                </w:tcPr>
                <w:p>
                  <w:pPr>
                    <w:pStyle w:val="30"/>
                    <w:spacing w:before="24" w:after="24" w:line="240" w:lineRule="auto"/>
                    <w:jc w:val="center"/>
                    <w:rPr>
                      <w:rFonts w:hint="default" w:ascii="Times New Roman"/>
                      <w:color w:val="auto"/>
                      <w:sz w:val="21"/>
                      <w:szCs w:val="21"/>
                      <w:lang w:val="en-US" w:eastAsia="zh-CN"/>
                    </w:rPr>
                  </w:pPr>
                  <w:r>
                    <w:rPr>
                      <w:rFonts w:hint="eastAsia" w:ascii="Times New Roman"/>
                      <w:color w:val="auto"/>
                      <w:sz w:val="21"/>
                      <w:szCs w:val="21"/>
                      <w:lang w:val="en-US" w:eastAsia="zh-CN"/>
                    </w:rPr>
                    <w:t>0.031</w:t>
                  </w:r>
                </w:p>
              </w:tc>
              <w:tc>
                <w:tcPr>
                  <w:tcW w:w="469" w:type="pct"/>
                  <w:tcBorders>
                    <w:tl2br w:val="nil"/>
                    <w:tr2bl w:val="nil"/>
                  </w:tcBorders>
                  <w:vAlign w:val="center"/>
                </w:tcPr>
                <w:p>
                  <w:pPr>
                    <w:pStyle w:val="30"/>
                    <w:spacing w:before="24" w:after="24" w:line="240" w:lineRule="auto"/>
                    <w:jc w:val="center"/>
                    <w:rPr>
                      <w:rFonts w:hint="eastAsia" w:ascii="Times New Roman"/>
                      <w:color w:val="auto"/>
                      <w:sz w:val="21"/>
                      <w:szCs w:val="21"/>
                      <w:lang w:val="en-US" w:eastAsia="zh-CN"/>
                    </w:rPr>
                  </w:pPr>
                </w:p>
              </w:tc>
              <w:tc>
                <w:tcPr>
                  <w:tcW w:w="512" w:type="pct"/>
                  <w:tcBorders>
                    <w:tl2br w:val="nil"/>
                    <w:tr2bl w:val="nil"/>
                  </w:tcBorders>
                  <w:vAlign w:val="center"/>
                </w:tcPr>
                <w:p>
                  <w:pPr>
                    <w:pStyle w:val="30"/>
                    <w:spacing w:before="24" w:after="24" w:line="240" w:lineRule="auto"/>
                    <w:jc w:val="center"/>
                    <w:rPr>
                      <w:rFonts w:hint="eastAsia" w:ascii="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tcBorders>
                    <w:tl2br w:val="nil"/>
                    <w:tr2bl w:val="nil"/>
                  </w:tcBorders>
                  <w:vAlign w:val="center"/>
                </w:tcPr>
                <w:p>
                  <w:pPr>
                    <w:pStyle w:val="30"/>
                    <w:spacing w:before="24" w:after="24" w:line="240" w:lineRule="auto"/>
                    <w:jc w:val="center"/>
                    <w:rPr>
                      <w:rFonts w:ascii="Times New Roman"/>
                      <w:color w:val="auto"/>
                      <w:sz w:val="21"/>
                      <w:szCs w:val="21"/>
                    </w:rPr>
                  </w:pPr>
                  <w:r>
                    <w:rPr>
                      <w:rFonts w:hint="eastAsia" w:ascii="Times New Roman"/>
                      <w:color w:val="auto"/>
                      <w:sz w:val="21"/>
                      <w:szCs w:val="21"/>
                    </w:rPr>
                    <w:t>筒仓粉尘</w:t>
                  </w:r>
                </w:p>
              </w:tc>
              <w:tc>
                <w:tcPr>
                  <w:tcW w:w="296" w:type="pct"/>
                  <w:vMerge w:val="continue"/>
                  <w:tcBorders>
                    <w:tl2br w:val="nil"/>
                    <w:tr2bl w:val="nil"/>
                  </w:tcBorders>
                  <w:vAlign w:val="center"/>
                </w:tcPr>
                <w:p>
                  <w:pPr>
                    <w:pStyle w:val="30"/>
                    <w:spacing w:before="24" w:after="24" w:line="240" w:lineRule="auto"/>
                    <w:jc w:val="center"/>
                    <w:rPr>
                      <w:rFonts w:ascii="Times New Roman"/>
                      <w:color w:val="auto"/>
                      <w:sz w:val="21"/>
                      <w:szCs w:val="21"/>
                    </w:rPr>
                  </w:pPr>
                </w:p>
              </w:tc>
              <w:tc>
                <w:tcPr>
                  <w:tcW w:w="278" w:type="pct"/>
                  <w:tcBorders>
                    <w:tl2br w:val="nil"/>
                    <w:tr2bl w:val="nil"/>
                  </w:tcBorders>
                  <w:vAlign w:val="center"/>
                </w:tcPr>
                <w:p>
                  <w:pPr>
                    <w:pStyle w:val="30"/>
                    <w:spacing w:before="24" w:after="24" w:line="240" w:lineRule="auto"/>
                    <w:jc w:val="center"/>
                    <w:rPr>
                      <w:rFonts w:ascii="Times New Roman"/>
                      <w:color w:val="auto"/>
                      <w:sz w:val="21"/>
                      <w:szCs w:val="21"/>
                    </w:rPr>
                  </w:pPr>
                  <w:r>
                    <w:rPr>
                      <w:rFonts w:hint="eastAsia" w:ascii="Times New Roman"/>
                      <w:color w:val="auto"/>
                      <w:sz w:val="21"/>
                      <w:szCs w:val="21"/>
                    </w:rPr>
                    <w:t>颗粒物</w:t>
                  </w:r>
                </w:p>
              </w:tc>
              <w:tc>
                <w:tcPr>
                  <w:tcW w:w="409" w:type="pct"/>
                  <w:tcBorders>
                    <w:tl2br w:val="nil"/>
                    <w:tr2bl w:val="nil"/>
                  </w:tcBorders>
                  <w:vAlign w:val="center"/>
                </w:tcPr>
                <w:p>
                  <w:pPr>
                    <w:pStyle w:val="3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57.6</w:t>
                  </w:r>
                </w:p>
              </w:tc>
              <w:tc>
                <w:tcPr>
                  <w:tcW w:w="469" w:type="pct"/>
                  <w:tcBorders>
                    <w:tl2br w:val="nil"/>
                    <w:tr2bl w:val="nil"/>
                  </w:tcBorders>
                  <w:vAlign w:val="center"/>
                </w:tcPr>
                <w:p>
                  <w:pPr>
                    <w:pStyle w:val="30"/>
                    <w:spacing w:before="24" w:after="24" w:line="240" w:lineRule="auto"/>
                    <w:jc w:val="center"/>
                    <w:rPr>
                      <w:rFonts w:hint="default" w:ascii="Times New Roman" w:eastAsia="宋体"/>
                      <w:color w:val="auto"/>
                      <w:sz w:val="21"/>
                      <w:szCs w:val="21"/>
                      <w:lang w:val="en-US" w:eastAsia="zh-CN"/>
                    </w:rPr>
                  </w:pPr>
                  <w:r>
                    <w:rPr>
                      <w:rFonts w:hint="eastAsia" w:ascii="Times New Roman" w:eastAsia="宋体"/>
                      <w:color w:val="auto"/>
                      <w:sz w:val="21"/>
                      <w:szCs w:val="21"/>
                      <w:lang w:val="en-US" w:eastAsia="zh-CN"/>
                    </w:rPr>
                    <w:t>26.18</w:t>
                  </w:r>
                </w:p>
              </w:tc>
              <w:tc>
                <w:tcPr>
                  <w:tcW w:w="645" w:type="pct"/>
                  <w:tcBorders>
                    <w:tl2br w:val="nil"/>
                    <w:tr2bl w:val="nil"/>
                  </w:tcBorders>
                  <w:vAlign w:val="center"/>
                </w:tcPr>
                <w:p>
                  <w:pPr>
                    <w:pStyle w:val="30"/>
                    <w:spacing w:before="24" w:after="24" w:line="240" w:lineRule="auto"/>
                    <w:jc w:val="center"/>
                    <w:rPr>
                      <w:rFonts w:hint="default" w:ascii="Times New Roman" w:eastAsia="宋体"/>
                      <w:color w:val="auto"/>
                      <w:sz w:val="21"/>
                      <w:szCs w:val="21"/>
                      <w:lang w:val="en-US" w:eastAsia="zh-CN"/>
                    </w:rPr>
                  </w:pPr>
                  <w:r>
                    <w:rPr>
                      <w:rFonts w:ascii="Times New Roman"/>
                      <w:color w:val="auto"/>
                      <w:sz w:val="21"/>
                      <w:szCs w:val="21"/>
                    </w:rPr>
                    <w:t>脉冲布袋除尘器</w:t>
                  </w:r>
                </w:p>
              </w:tc>
              <w:tc>
                <w:tcPr>
                  <w:tcW w:w="537" w:type="pct"/>
                  <w:tcBorders>
                    <w:tl2br w:val="nil"/>
                    <w:tr2bl w:val="nil"/>
                  </w:tcBorders>
                  <w:vAlign w:val="center"/>
                </w:tcPr>
                <w:p>
                  <w:pPr>
                    <w:pStyle w:val="30"/>
                    <w:spacing w:before="24" w:after="24" w:line="240" w:lineRule="auto"/>
                    <w:jc w:val="center"/>
                    <w:rPr>
                      <w:rFonts w:hint="eastAsia" w:ascii="Times New Roman" w:eastAsia="宋体"/>
                      <w:color w:val="auto"/>
                      <w:sz w:val="21"/>
                      <w:szCs w:val="21"/>
                      <w:lang w:val="en-US" w:eastAsia="zh-CN"/>
                    </w:rPr>
                  </w:pPr>
                  <w:r>
                    <w:rPr>
                      <w:rFonts w:hint="eastAsia" w:ascii="Times New Roman"/>
                      <w:color w:val="auto"/>
                      <w:sz w:val="21"/>
                      <w:szCs w:val="21"/>
                      <w:lang w:val="en-US" w:eastAsia="zh-CN"/>
                    </w:rPr>
                    <w:t>是</w:t>
                  </w:r>
                </w:p>
              </w:tc>
              <w:tc>
                <w:tcPr>
                  <w:tcW w:w="494" w:type="pct"/>
                  <w:tcBorders>
                    <w:tl2br w:val="nil"/>
                    <w:tr2bl w:val="nil"/>
                  </w:tcBorders>
                  <w:vAlign w:val="center"/>
                </w:tcPr>
                <w:p>
                  <w:pPr>
                    <w:pStyle w:val="3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0.173</w:t>
                  </w:r>
                </w:p>
              </w:tc>
              <w:tc>
                <w:tcPr>
                  <w:tcW w:w="494" w:type="pct"/>
                  <w:tcBorders>
                    <w:tl2br w:val="nil"/>
                    <w:tr2bl w:val="nil"/>
                  </w:tcBorders>
                  <w:vAlign w:val="center"/>
                </w:tcPr>
                <w:p>
                  <w:pPr>
                    <w:pStyle w:val="3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0.079</w:t>
                  </w:r>
                </w:p>
              </w:tc>
              <w:tc>
                <w:tcPr>
                  <w:tcW w:w="469" w:type="pct"/>
                  <w:tcBorders>
                    <w:tl2br w:val="nil"/>
                    <w:tr2bl w:val="nil"/>
                  </w:tcBorders>
                  <w:vAlign w:val="center"/>
                </w:tcPr>
                <w:p>
                  <w:pPr>
                    <w:pStyle w:val="3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w:t>
                  </w:r>
                </w:p>
              </w:tc>
              <w:tc>
                <w:tcPr>
                  <w:tcW w:w="512" w:type="pct"/>
                  <w:tcBorders>
                    <w:tl2br w:val="nil"/>
                    <w:tr2bl w:val="nil"/>
                  </w:tcBorders>
                  <w:vAlign w:val="center"/>
                </w:tcPr>
                <w:p>
                  <w:pPr>
                    <w:pStyle w:val="3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tcBorders>
                    <w:tl2br w:val="nil"/>
                    <w:tr2bl w:val="nil"/>
                  </w:tcBorders>
                  <w:vAlign w:val="center"/>
                </w:tcPr>
                <w:p>
                  <w:pPr>
                    <w:pStyle w:val="30"/>
                    <w:spacing w:before="24" w:after="24" w:line="240" w:lineRule="auto"/>
                    <w:jc w:val="center"/>
                    <w:rPr>
                      <w:rFonts w:ascii="Times New Roman"/>
                      <w:color w:val="auto"/>
                      <w:sz w:val="21"/>
                      <w:szCs w:val="21"/>
                    </w:rPr>
                  </w:pPr>
                  <w:r>
                    <w:rPr>
                      <w:rFonts w:hint="eastAsia" w:ascii="Times New Roman"/>
                      <w:color w:val="auto"/>
                      <w:sz w:val="21"/>
                      <w:szCs w:val="21"/>
                    </w:rPr>
                    <w:t>料</w:t>
                  </w:r>
                  <w:r>
                    <w:rPr>
                      <w:rFonts w:hint="eastAsia" w:ascii="Times New Roman"/>
                      <w:color w:val="auto"/>
                      <w:sz w:val="21"/>
                      <w:szCs w:val="21"/>
                      <w:lang w:val="en-US" w:eastAsia="zh-CN"/>
                    </w:rPr>
                    <w:t>场</w:t>
                  </w:r>
                  <w:r>
                    <w:rPr>
                      <w:rFonts w:hint="eastAsia" w:ascii="Times New Roman"/>
                      <w:color w:val="auto"/>
                      <w:sz w:val="21"/>
                      <w:szCs w:val="21"/>
                    </w:rPr>
                    <w:t>扬尘及装卸扬尘</w:t>
                  </w:r>
                </w:p>
              </w:tc>
              <w:tc>
                <w:tcPr>
                  <w:tcW w:w="296" w:type="pct"/>
                  <w:vMerge w:val="continue"/>
                  <w:tcBorders>
                    <w:tl2br w:val="nil"/>
                    <w:tr2bl w:val="nil"/>
                  </w:tcBorders>
                  <w:vAlign w:val="center"/>
                </w:tcPr>
                <w:p>
                  <w:pPr>
                    <w:pStyle w:val="30"/>
                    <w:spacing w:before="24" w:after="24" w:line="240" w:lineRule="auto"/>
                    <w:jc w:val="center"/>
                    <w:rPr>
                      <w:rFonts w:ascii="Times New Roman"/>
                      <w:color w:val="auto"/>
                      <w:sz w:val="21"/>
                      <w:szCs w:val="21"/>
                    </w:rPr>
                  </w:pPr>
                </w:p>
              </w:tc>
              <w:tc>
                <w:tcPr>
                  <w:tcW w:w="278" w:type="pct"/>
                  <w:tcBorders>
                    <w:tl2br w:val="nil"/>
                    <w:tr2bl w:val="nil"/>
                  </w:tcBorders>
                  <w:vAlign w:val="center"/>
                </w:tcPr>
                <w:p>
                  <w:pPr>
                    <w:pStyle w:val="30"/>
                    <w:spacing w:before="24" w:after="24" w:line="240" w:lineRule="auto"/>
                    <w:jc w:val="center"/>
                    <w:rPr>
                      <w:rFonts w:ascii="Times New Roman"/>
                      <w:color w:val="auto"/>
                      <w:sz w:val="21"/>
                      <w:szCs w:val="21"/>
                    </w:rPr>
                  </w:pPr>
                  <w:r>
                    <w:rPr>
                      <w:rFonts w:hint="eastAsia" w:ascii="Times New Roman"/>
                      <w:color w:val="auto"/>
                      <w:sz w:val="21"/>
                      <w:szCs w:val="21"/>
                    </w:rPr>
                    <w:t>颗粒物</w:t>
                  </w:r>
                </w:p>
              </w:tc>
              <w:tc>
                <w:tcPr>
                  <w:tcW w:w="409" w:type="pct"/>
                  <w:tcBorders>
                    <w:tl2br w:val="nil"/>
                    <w:tr2bl w:val="nil"/>
                  </w:tcBorders>
                  <w:vAlign w:val="center"/>
                </w:tcPr>
                <w:p>
                  <w:pPr>
                    <w:pStyle w:val="3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317.7</w:t>
                  </w:r>
                </w:p>
              </w:tc>
              <w:tc>
                <w:tcPr>
                  <w:tcW w:w="469" w:type="pct"/>
                  <w:tcBorders>
                    <w:tl2br w:val="nil"/>
                    <w:tr2bl w:val="nil"/>
                  </w:tcBorders>
                  <w:vAlign w:val="center"/>
                </w:tcPr>
                <w:p>
                  <w:pPr>
                    <w:ind w:left="0" w:leftChars="0" w:firstLine="0" w:firstLineChars="0"/>
                    <w:jc w:val="center"/>
                    <w:rPr>
                      <w:rFonts w:hint="default" w:eastAsia="宋体"/>
                      <w:color w:val="auto"/>
                      <w:sz w:val="21"/>
                      <w:szCs w:val="21"/>
                      <w:lang w:val="en-US" w:eastAsia="zh-CN"/>
                    </w:rPr>
                  </w:pPr>
                  <w:r>
                    <w:rPr>
                      <w:rFonts w:hint="eastAsia"/>
                      <w:color w:val="auto"/>
                      <w:sz w:val="21"/>
                      <w:szCs w:val="21"/>
                      <w:lang w:val="en-US" w:eastAsia="zh-CN"/>
                    </w:rPr>
                    <w:t>144.4</w:t>
                  </w:r>
                </w:p>
              </w:tc>
              <w:tc>
                <w:tcPr>
                  <w:tcW w:w="645" w:type="pct"/>
                  <w:tcBorders>
                    <w:tl2br w:val="nil"/>
                    <w:tr2bl w:val="nil"/>
                  </w:tcBorders>
                  <w:vAlign w:val="center"/>
                </w:tcPr>
                <w:p>
                  <w:pPr>
                    <w:pStyle w:val="3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小石砂子堆场全封闭，大石堆场半封闭+防风抑尘网</w:t>
                  </w:r>
                </w:p>
              </w:tc>
              <w:tc>
                <w:tcPr>
                  <w:tcW w:w="537" w:type="pct"/>
                  <w:tcBorders>
                    <w:tl2br w:val="nil"/>
                    <w:tr2bl w:val="nil"/>
                  </w:tcBorders>
                  <w:vAlign w:val="center"/>
                </w:tcPr>
                <w:p>
                  <w:pPr>
                    <w:pStyle w:val="30"/>
                    <w:spacing w:before="24" w:after="24" w:line="240" w:lineRule="auto"/>
                    <w:jc w:val="center"/>
                    <w:rPr>
                      <w:rFonts w:hint="eastAsia" w:ascii="Times New Roman" w:eastAsia="宋体"/>
                      <w:color w:val="auto"/>
                      <w:sz w:val="21"/>
                      <w:szCs w:val="21"/>
                      <w:lang w:val="en-US" w:eastAsia="zh-CN"/>
                    </w:rPr>
                  </w:pPr>
                  <w:r>
                    <w:rPr>
                      <w:rFonts w:hint="eastAsia" w:ascii="Times New Roman"/>
                      <w:color w:val="auto"/>
                      <w:sz w:val="21"/>
                      <w:szCs w:val="21"/>
                      <w:lang w:val="en-US" w:eastAsia="zh-CN"/>
                    </w:rPr>
                    <w:t>是</w:t>
                  </w:r>
                </w:p>
              </w:tc>
              <w:tc>
                <w:tcPr>
                  <w:tcW w:w="494" w:type="pct"/>
                  <w:tcBorders>
                    <w:tl2br w:val="nil"/>
                    <w:tr2bl w:val="nil"/>
                  </w:tcBorders>
                  <w:vAlign w:val="center"/>
                </w:tcPr>
                <w:p>
                  <w:pPr>
                    <w:pStyle w:val="3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8.37</w:t>
                  </w:r>
                </w:p>
              </w:tc>
              <w:tc>
                <w:tcPr>
                  <w:tcW w:w="494" w:type="pct"/>
                  <w:tcBorders>
                    <w:tl2br w:val="nil"/>
                    <w:tr2bl w:val="nil"/>
                  </w:tcBorders>
                  <w:vAlign w:val="center"/>
                </w:tcPr>
                <w:p>
                  <w:pPr>
                    <w:pStyle w:val="3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3.80</w:t>
                  </w:r>
                </w:p>
              </w:tc>
              <w:tc>
                <w:tcPr>
                  <w:tcW w:w="469" w:type="pct"/>
                  <w:tcBorders>
                    <w:tl2br w:val="nil"/>
                    <w:tr2bl w:val="nil"/>
                  </w:tcBorders>
                  <w:vAlign w:val="center"/>
                </w:tcPr>
                <w:p>
                  <w:pPr>
                    <w:pStyle w:val="30"/>
                    <w:spacing w:before="24" w:after="24" w:line="240" w:lineRule="auto"/>
                    <w:jc w:val="center"/>
                    <w:rPr>
                      <w:rFonts w:hint="eastAsia" w:ascii="Times New Roman" w:eastAsia="宋体"/>
                      <w:color w:val="auto"/>
                      <w:sz w:val="21"/>
                      <w:szCs w:val="21"/>
                      <w:lang w:val="en-US" w:eastAsia="zh-CN"/>
                    </w:rPr>
                  </w:pPr>
                  <w:r>
                    <w:rPr>
                      <w:rFonts w:hint="eastAsia" w:ascii="Times New Roman"/>
                      <w:color w:val="auto"/>
                      <w:sz w:val="21"/>
                      <w:szCs w:val="21"/>
                      <w:lang w:val="en-US" w:eastAsia="zh-CN"/>
                    </w:rPr>
                    <w:t>/</w:t>
                  </w:r>
                </w:p>
              </w:tc>
              <w:tc>
                <w:tcPr>
                  <w:tcW w:w="512" w:type="pct"/>
                  <w:tcBorders>
                    <w:tl2br w:val="nil"/>
                    <w:tr2bl w:val="nil"/>
                  </w:tcBorders>
                  <w:vAlign w:val="center"/>
                </w:tcPr>
                <w:p>
                  <w:pPr>
                    <w:pStyle w:val="3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tcBorders>
                    <w:tl2br w:val="nil"/>
                    <w:tr2bl w:val="nil"/>
                  </w:tcBorders>
                  <w:vAlign w:val="center"/>
                </w:tcPr>
                <w:p>
                  <w:pPr>
                    <w:pStyle w:val="30"/>
                    <w:spacing w:before="24" w:after="24" w:line="240" w:lineRule="auto"/>
                    <w:jc w:val="center"/>
                    <w:rPr>
                      <w:rFonts w:ascii="Times New Roman"/>
                      <w:color w:val="auto"/>
                      <w:sz w:val="21"/>
                      <w:szCs w:val="21"/>
                    </w:rPr>
                  </w:pPr>
                  <w:r>
                    <w:rPr>
                      <w:rFonts w:ascii="Times New Roman"/>
                      <w:color w:val="auto"/>
                      <w:sz w:val="21"/>
                      <w:szCs w:val="21"/>
                    </w:rPr>
                    <w:t>运输车辆道路扬尘</w:t>
                  </w:r>
                </w:p>
              </w:tc>
              <w:tc>
                <w:tcPr>
                  <w:tcW w:w="296" w:type="pct"/>
                  <w:vMerge w:val="continue"/>
                  <w:tcBorders>
                    <w:tl2br w:val="nil"/>
                    <w:tr2bl w:val="nil"/>
                  </w:tcBorders>
                  <w:vAlign w:val="center"/>
                </w:tcPr>
                <w:p>
                  <w:pPr>
                    <w:pStyle w:val="30"/>
                    <w:spacing w:before="24" w:after="24" w:line="240" w:lineRule="auto"/>
                    <w:jc w:val="center"/>
                    <w:rPr>
                      <w:rFonts w:ascii="Times New Roman"/>
                      <w:color w:val="auto"/>
                      <w:sz w:val="21"/>
                      <w:szCs w:val="21"/>
                    </w:rPr>
                  </w:pPr>
                </w:p>
              </w:tc>
              <w:tc>
                <w:tcPr>
                  <w:tcW w:w="278" w:type="pct"/>
                  <w:tcBorders>
                    <w:tl2br w:val="nil"/>
                    <w:tr2bl w:val="nil"/>
                  </w:tcBorders>
                  <w:vAlign w:val="center"/>
                </w:tcPr>
                <w:p>
                  <w:pPr>
                    <w:pStyle w:val="30"/>
                    <w:spacing w:before="24" w:after="24" w:line="240" w:lineRule="auto"/>
                    <w:jc w:val="center"/>
                    <w:rPr>
                      <w:rFonts w:ascii="Times New Roman"/>
                      <w:color w:val="auto"/>
                      <w:sz w:val="21"/>
                      <w:szCs w:val="21"/>
                    </w:rPr>
                  </w:pPr>
                  <w:r>
                    <w:rPr>
                      <w:rFonts w:hint="eastAsia" w:ascii="Times New Roman"/>
                      <w:color w:val="auto"/>
                      <w:sz w:val="21"/>
                      <w:szCs w:val="21"/>
                    </w:rPr>
                    <w:t>颗粒物</w:t>
                  </w:r>
                </w:p>
              </w:tc>
              <w:tc>
                <w:tcPr>
                  <w:tcW w:w="409" w:type="pct"/>
                  <w:tcBorders>
                    <w:tl2br w:val="nil"/>
                    <w:tr2bl w:val="nil"/>
                  </w:tcBorders>
                  <w:vAlign w:val="center"/>
                </w:tcPr>
                <w:p>
                  <w:pPr>
                    <w:pStyle w:val="30"/>
                    <w:spacing w:before="24" w:after="24" w:line="240" w:lineRule="auto"/>
                    <w:jc w:val="center"/>
                    <w:rPr>
                      <w:rFonts w:hint="default" w:ascii="Times New Roman" w:eastAsia="宋体"/>
                      <w:color w:val="auto"/>
                      <w:sz w:val="21"/>
                      <w:szCs w:val="21"/>
                      <w:lang w:val="en-US" w:eastAsia="zh-CN"/>
                    </w:rPr>
                  </w:pPr>
                  <w:r>
                    <w:rPr>
                      <w:rFonts w:hint="eastAsia" w:ascii="Times New Roman" w:eastAsia="宋体"/>
                      <w:color w:val="auto"/>
                      <w:sz w:val="21"/>
                      <w:szCs w:val="21"/>
                      <w:lang w:val="en-US" w:eastAsia="zh-CN"/>
                    </w:rPr>
                    <w:t>1.988</w:t>
                  </w:r>
                </w:p>
              </w:tc>
              <w:tc>
                <w:tcPr>
                  <w:tcW w:w="469" w:type="pct"/>
                  <w:tcBorders>
                    <w:tl2br w:val="nil"/>
                    <w:tr2bl w:val="nil"/>
                  </w:tcBorders>
                  <w:vAlign w:val="center"/>
                </w:tcPr>
                <w:p>
                  <w:pPr>
                    <w:ind w:left="0" w:leftChars="0" w:firstLine="0" w:firstLineChars="0"/>
                    <w:jc w:val="both"/>
                    <w:rPr>
                      <w:rFonts w:hint="default" w:eastAsia="宋体"/>
                      <w:color w:val="auto"/>
                      <w:sz w:val="21"/>
                      <w:szCs w:val="21"/>
                      <w:lang w:val="en-US" w:eastAsia="zh-CN"/>
                    </w:rPr>
                  </w:pPr>
                  <w:r>
                    <w:rPr>
                      <w:rFonts w:hint="eastAsia" w:eastAsia="宋体"/>
                      <w:color w:val="auto"/>
                      <w:sz w:val="21"/>
                      <w:szCs w:val="21"/>
                      <w:lang w:val="en-US" w:eastAsia="zh-CN"/>
                    </w:rPr>
                    <w:t>0.904</w:t>
                  </w:r>
                </w:p>
              </w:tc>
              <w:tc>
                <w:tcPr>
                  <w:tcW w:w="645" w:type="pct"/>
                  <w:tcBorders>
                    <w:tl2br w:val="nil"/>
                    <w:tr2bl w:val="nil"/>
                  </w:tcBorders>
                  <w:vAlign w:val="center"/>
                </w:tcPr>
                <w:p>
                  <w:pPr>
                    <w:pStyle w:val="30"/>
                    <w:spacing w:before="24" w:after="24" w:line="240" w:lineRule="auto"/>
                    <w:jc w:val="center"/>
                    <w:rPr>
                      <w:rFonts w:ascii="Times New Roman"/>
                      <w:color w:val="auto"/>
                      <w:sz w:val="21"/>
                      <w:szCs w:val="21"/>
                    </w:rPr>
                  </w:pPr>
                  <w:r>
                    <w:rPr>
                      <w:rFonts w:hint="eastAsia" w:ascii="Times New Roman"/>
                      <w:color w:val="auto"/>
                      <w:sz w:val="21"/>
                      <w:szCs w:val="21"/>
                    </w:rPr>
                    <w:t>封闭运输+车辆、道路清洗+洒水降尘</w:t>
                  </w:r>
                </w:p>
              </w:tc>
              <w:tc>
                <w:tcPr>
                  <w:tcW w:w="537" w:type="pct"/>
                  <w:tcBorders>
                    <w:tl2br w:val="nil"/>
                    <w:tr2bl w:val="nil"/>
                  </w:tcBorders>
                  <w:vAlign w:val="center"/>
                </w:tcPr>
                <w:p>
                  <w:pPr>
                    <w:pStyle w:val="30"/>
                    <w:spacing w:before="24" w:after="24" w:line="240" w:lineRule="auto"/>
                    <w:jc w:val="center"/>
                    <w:rPr>
                      <w:rFonts w:hint="eastAsia" w:ascii="Times New Roman" w:eastAsia="宋体"/>
                      <w:color w:val="auto"/>
                      <w:sz w:val="21"/>
                      <w:szCs w:val="21"/>
                      <w:lang w:val="en-US" w:eastAsia="zh-CN"/>
                    </w:rPr>
                  </w:pPr>
                  <w:r>
                    <w:rPr>
                      <w:rFonts w:hint="eastAsia" w:ascii="Times New Roman"/>
                      <w:color w:val="auto"/>
                      <w:sz w:val="21"/>
                      <w:szCs w:val="21"/>
                      <w:lang w:val="en-US" w:eastAsia="zh-CN"/>
                    </w:rPr>
                    <w:t>是</w:t>
                  </w:r>
                </w:p>
              </w:tc>
              <w:tc>
                <w:tcPr>
                  <w:tcW w:w="494" w:type="pct"/>
                  <w:tcBorders>
                    <w:tl2br w:val="nil"/>
                    <w:tr2bl w:val="nil"/>
                  </w:tcBorders>
                  <w:vAlign w:val="center"/>
                </w:tcPr>
                <w:p>
                  <w:pPr>
                    <w:pStyle w:val="3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0.596</w:t>
                  </w:r>
                </w:p>
              </w:tc>
              <w:tc>
                <w:tcPr>
                  <w:tcW w:w="494" w:type="pct"/>
                  <w:tcBorders>
                    <w:tl2br w:val="nil"/>
                    <w:tr2bl w:val="nil"/>
                  </w:tcBorders>
                  <w:vAlign w:val="center"/>
                </w:tcPr>
                <w:p>
                  <w:pPr>
                    <w:pStyle w:val="3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0.271</w:t>
                  </w:r>
                </w:p>
              </w:tc>
              <w:tc>
                <w:tcPr>
                  <w:tcW w:w="469" w:type="pct"/>
                  <w:tcBorders>
                    <w:tl2br w:val="nil"/>
                    <w:tr2bl w:val="nil"/>
                  </w:tcBorders>
                  <w:vAlign w:val="center"/>
                </w:tcPr>
                <w:p>
                  <w:pPr>
                    <w:pStyle w:val="3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w:t>
                  </w:r>
                </w:p>
              </w:tc>
              <w:tc>
                <w:tcPr>
                  <w:tcW w:w="512" w:type="pct"/>
                  <w:tcBorders>
                    <w:tl2br w:val="nil"/>
                    <w:tr2bl w:val="nil"/>
                  </w:tcBorders>
                  <w:vAlign w:val="center"/>
                </w:tcPr>
                <w:p>
                  <w:pPr>
                    <w:pStyle w:val="3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tcBorders>
                    <w:tl2br w:val="nil"/>
                    <w:tr2bl w:val="nil"/>
                  </w:tcBorders>
                  <w:vAlign w:val="center"/>
                </w:tcPr>
                <w:p>
                  <w:pPr>
                    <w:pStyle w:val="30"/>
                    <w:spacing w:before="24" w:after="24" w:line="240" w:lineRule="auto"/>
                    <w:jc w:val="center"/>
                    <w:rPr>
                      <w:rFonts w:ascii="Times New Roman"/>
                      <w:color w:val="auto"/>
                      <w:sz w:val="21"/>
                      <w:szCs w:val="21"/>
                    </w:rPr>
                  </w:pPr>
                  <w:r>
                    <w:rPr>
                      <w:rFonts w:hint="eastAsia" w:ascii="Times New Roman"/>
                      <w:color w:val="auto"/>
                      <w:sz w:val="21"/>
                      <w:szCs w:val="21"/>
                    </w:rPr>
                    <w:t>食堂油烟</w:t>
                  </w:r>
                </w:p>
              </w:tc>
              <w:tc>
                <w:tcPr>
                  <w:tcW w:w="296" w:type="pct"/>
                  <w:vMerge w:val="restart"/>
                  <w:tcBorders>
                    <w:tl2br w:val="nil"/>
                    <w:tr2bl w:val="nil"/>
                  </w:tcBorders>
                  <w:vAlign w:val="center"/>
                </w:tcPr>
                <w:p>
                  <w:pPr>
                    <w:pStyle w:val="30"/>
                    <w:spacing w:before="24" w:after="24" w:line="240" w:lineRule="auto"/>
                    <w:jc w:val="center"/>
                    <w:rPr>
                      <w:rFonts w:ascii="Times New Roman"/>
                      <w:color w:val="auto"/>
                      <w:sz w:val="21"/>
                      <w:szCs w:val="21"/>
                    </w:rPr>
                  </w:pPr>
                  <w:r>
                    <w:rPr>
                      <w:rFonts w:hint="eastAsia" w:ascii="Times New Roman"/>
                      <w:color w:val="auto"/>
                      <w:sz w:val="21"/>
                      <w:szCs w:val="21"/>
                    </w:rPr>
                    <w:t>有组织</w:t>
                  </w:r>
                </w:p>
              </w:tc>
              <w:tc>
                <w:tcPr>
                  <w:tcW w:w="278" w:type="pct"/>
                  <w:tcBorders>
                    <w:tl2br w:val="nil"/>
                    <w:tr2bl w:val="nil"/>
                  </w:tcBorders>
                  <w:vAlign w:val="center"/>
                </w:tcPr>
                <w:p>
                  <w:pPr>
                    <w:pStyle w:val="30"/>
                    <w:spacing w:before="24" w:after="24" w:line="240" w:lineRule="auto"/>
                    <w:jc w:val="center"/>
                    <w:rPr>
                      <w:rFonts w:ascii="Times New Roman"/>
                      <w:color w:val="auto"/>
                      <w:sz w:val="21"/>
                      <w:szCs w:val="21"/>
                    </w:rPr>
                  </w:pPr>
                  <w:r>
                    <w:rPr>
                      <w:rFonts w:hint="eastAsia" w:ascii="Times New Roman"/>
                      <w:color w:val="auto"/>
                      <w:sz w:val="21"/>
                      <w:szCs w:val="21"/>
                    </w:rPr>
                    <w:t>油烟</w:t>
                  </w:r>
                </w:p>
              </w:tc>
              <w:tc>
                <w:tcPr>
                  <w:tcW w:w="409" w:type="pct"/>
                  <w:tcBorders>
                    <w:tl2br w:val="nil"/>
                    <w:tr2bl w:val="nil"/>
                  </w:tcBorders>
                  <w:vAlign w:val="center"/>
                </w:tcPr>
                <w:p>
                  <w:pPr>
                    <w:pStyle w:val="3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0.256kg/a</w:t>
                  </w:r>
                </w:p>
              </w:tc>
              <w:tc>
                <w:tcPr>
                  <w:tcW w:w="469" w:type="pct"/>
                  <w:tcBorders>
                    <w:tl2br w:val="nil"/>
                    <w:tr2bl w:val="nil"/>
                  </w:tcBorders>
                  <w:vAlign w:val="center"/>
                </w:tcPr>
                <w:p>
                  <w:pPr>
                    <w:ind w:left="0" w:leftChars="0" w:firstLine="0" w:firstLineChars="0"/>
                    <w:jc w:val="both"/>
                    <w:rPr>
                      <w:rFonts w:hint="default" w:eastAsia="宋体"/>
                      <w:color w:val="auto"/>
                      <w:sz w:val="21"/>
                      <w:szCs w:val="21"/>
                      <w:lang w:val="en-US" w:eastAsia="zh-CN"/>
                    </w:rPr>
                  </w:pPr>
                  <w:r>
                    <w:rPr>
                      <w:rFonts w:hint="eastAsia" w:eastAsia="宋体"/>
                      <w:color w:val="auto"/>
                      <w:sz w:val="21"/>
                      <w:szCs w:val="21"/>
                      <w:lang w:val="en-US" w:eastAsia="zh-CN"/>
                    </w:rPr>
                    <w:t>1.16</w:t>
                  </w:r>
                  <w:r>
                    <w:rPr>
                      <w:rFonts w:hint="default" w:ascii="Arial" w:hAnsi="Arial" w:eastAsia="宋体" w:cs="Arial"/>
                      <w:color w:val="auto"/>
                      <w:sz w:val="21"/>
                      <w:szCs w:val="21"/>
                      <w:lang w:val="en-US" w:eastAsia="zh-CN"/>
                    </w:rPr>
                    <w:t>×</w:t>
                  </w:r>
                  <w:r>
                    <w:rPr>
                      <w:rFonts w:hint="eastAsia" w:eastAsia="宋体"/>
                      <w:color w:val="auto"/>
                      <w:sz w:val="21"/>
                      <w:szCs w:val="21"/>
                      <w:lang w:val="en-US" w:eastAsia="zh-CN"/>
                    </w:rPr>
                    <w:t>10</w:t>
                  </w:r>
                  <w:r>
                    <w:rPr>
                      <w:rFonts w:hint="eastAsia" w:eastAsia="宋体"/>
                      <w:color w:val="auto"/>
                      <w:sz w:val="21"/>
                      <w:szCs w:val="21"/>
                      <w:vertAlign w:val="superscript"/>
                      <w:lang w:val="en-US" w:eastAsia="zh-CN"/>
                    </w:rPr>
                    <w:t>-4</w:t>
                  </w:r>
                </w:p>
              </w:tc>
              <w:tc>
                <w:tcPr>
                  <w:tcW w:w="645" w:type="pct"/>
                  <w:tcBorders>
                    <w:tl2br w:val="nil"/>
                    <w:tr2bl w:val="nil"/>
                  </w:tcBorders>
                  <w:vAlign w:val="center"/>
                </w:tcPr>
                <w:p>
                  <w:pPr>
                    <w:pStyle w:val="30"/>
                    <w:spacing w:before="24" w:after="24" w:line="240" w:lineRule="auto"/>
                    <w:jc w:val="center"/>
                    <w:rPr>
                      <w:rFonts w:ascii="Times New Roman"/>
                      <w:color w:val="auto"/>
                      <w:sz w:val="21"/>
                      <w:szCs w:val="21"/>
                    </w:rPr>
                  </w:pPr>
                  <w:r>
                    <w:rPr>
                      <w:rFonts w:hint="eastAsia" w:ascii="Times New Roman"/>
                      <w:color w:val="auto"/>
                      <w:sz w:val="21"/>
                      <w:szCs w:val="21"/>
                    </w:rPr>
                    <w:t>油烟净化器+专用烟道</w:t>
                  </w:r>
                </w:p>
              </w:tc>
              <w:tc>
                <w:tcPr>
                  <w:tcW w:w="537" w:type="pct"/>
                  <w:tcBorders>
                    <w:tl2br w:val="nil"/>
                    <w:tr2bl w:val="nil"/>
                  </w:tcBorders>
                  <w:vAlign w:val="center"/>
                </w:tcPr>
                <w:p>
                  <w:pPr>
                    <w:pStyle w:val="30"/>
                    <w:spacing w:before="24" w:after="24" w:line="240" w:lineRule="auto"/>
                    <w:jc w:val="center"/>
                    <w:rPr>
                      <w:rFonts w:hint="eastAsia" w:ascii="Times New Roman" w:eastAsia="宋体"/>
                      <w:color w:val="auto"/>
                      <w:sz w:val="21"/>
                      <w:szCs w:val="21"/>
                      <w:lang w:val="en-US" w:eastAsia="zh-CN"/>
                    </w:rPr>
                  </w:pPr>
                  <w:r>
                    <w:rPr>
                      <w:rFonts w:hint="eastAsia" w:ascii="Times New Roman"/>
                      <w:color w:val="auto"/>
                      <w:sz w:val="21"/>
                      <w:szCs w:val="21"/>
                      <w:lang w:val="en-US" w:eastAsia="zh-CN"/>
                    </w:rPr>
                    <w:t>是</w:t>
                  </w:r>
                </w:p>
              </w:tc>
              <w:tc>
                <w:tcPr>
                  <w:tcW w:w="494" w:type="pct"/>
                  <w:tcBorders>
                    <w:tl2br w:val="nil"/>
                    <w:tr2bl w:val="nil"/>
                  </w:tcBorders>
                  <w:vAlign w:val="center"/>
                </w:tcPr>
                <w:p>
                  <w:pPr>
                    <w:pStyle w:val="30"/>
                    <w:spacing w:before="24" w:after="24" w:line="240" w:lineRule="auto"/>
                    <w:jc w:val="center"/>
                    <w:rPr>
                      <w:rFonts w:hint="default"/>
                      <w:color w:val="auto"/>
                      <w:lang w:val="en-US" w:eastAsia="zh-CN"/>
                    </w:rPr>
                  </w:pPr>
                  <w:r>
                    <w:rPr>
                      <w:rFonts w:hint="eastAsia" w:ascii="Times New Roman"/>
                      <w:color w:val="auto"/>
                      <w:sz w:val="21"/>
                      <w:szCs w:val="21"/>
                      <w:lang w:val="en-US" w:eastAsia="zh-CN"/>
                    </w:rPr>
                    <w:t>0.0896kg/a</w:t>
                  </w:r>
                </w:p>
              </w:tc>
              <w:tc>
                <w:tcPr>
                  <w:tcW w:w="494" w:type="pct"/>
                  <w:tcBorders>
                    <w:tl2br w:val="nil"/>
                    <w:tr2bl w:val="nil"/>
                  </w:tcBorders>
                  <w:vAlign w:val="center"/>
                </w:tcPr>
                <w:p>
                  <w:pPr>
                    <w:pStyle w:val="30"/>
                    <w:spacing w:before="24" w:after="24" w:line="240" w:lineRule="auto"/>
                    <w:jc w:val="center"/>
                    <w:rPr>
                      <w:rFonts w:hint="default" w:ascii="Times New Roman" w:eastAsia="宋体"/>
                      <w:color w:val="auto"/>
                      <w:sz w:val="21"/>
                      <w:szCs w:val="21"/>
                      <w:lang w:val="en-US" w:eastAsia="zh-CN"/>
                    </w:rPr>
                  </w:pPr>
                  <w:r>
                    <w:rPr>
                      <w:rFonts w:hint="eastAsia" w:eastAsia="宋体"/>
                      <w:color w:val="auto"/>
                      <w:sz w:val="21"/>
                      <w:szCs w:val="21"/>
                      <w:lang w:val="en-US" w:eastAsia="zh-CN"/>
                    </w:rPr>
                    <w:t>4.07</w:t>
                  </w:r>
                  <w:r>
                    <w:rPr>
                      <w:rFonts w:hint="default" w:ascii="Arial" w:hAnsi="Arial" w:eastAsia="宋体" w:cs="Arial"/>
                      <w:color w:val="auto"/>
                      <w:sz w:val="21"/>
                      <w:szCs w:val="21"/>
                      <w:lang w:val="en-US" w:eastAsia="zh-CN"/>
                    </w:rPr>
                    <w:t>×</w:t>
                  </w:r>
                  <w:r>
                    <w:rPr>
                      <w:rFonts w:hint="eastAsia" w:eastAsia="宋体"/>
                      <w:color w:val="auto"/>
                      <w:sz w:val="21"/>
                      <w:szCs w:val="21"/>
                      <w:lang w:val="en-US" w:eastAsia="zh-CN"/>
                    </w:rPr>
                    <w:t>10</w:t>
                  </w:r>
                  <w:r>
                    <w:rPr>
                      <w:rFonts w:hint="eastAsia" w:eastAsia="宋体"/>
                      <w:color w:val="auto"/>
                      <w:sz w:val="21"/>
                      <w:szCs w:val="21"/>
                      <w:vertAlign w:val="superscript"/>
                      <w:lang w:val="en-US" w:eastAsia="zh-CN"/>
                    </w:rPr>
                    <w:t>-5</w:t>
                  </w:r>
                </w:p>
              </w:tc>
              <w:tc>
                <w:tcPr>
                  <w:tcW w:w="469" w:type="pct"/>
                  <w:tcBorders>
                    <w:tl2br w:val="nil"/>
                    <w:tr2bl w:val="nil"/>
                  </w:tcBorders>
                  <w:vAlign w:val="center"/>
                </w:tcPr>
                <w:p>
                  <w:pPr>
                    <w:pStyle w:val="3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0.033</w:t>
                  </w:r>
                </w:p>
              </w:tc>
              <w:tc>
                <w:tcPr>
                  <w:tcW w:w="512" w:type="pct"/>
                  <w:tcBorders>
                    <w:tl2br w:val="nil"/>
                    <w:tr2bl w:val="nil"/>
                  </w:tcBorders>
                  <w:vAlign w:val="center"/>
                </w:tcPr>
                <w:p>
                  <w:pPr>
                    <w:pStyle w:val="3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392" w:type="pct"/>
                  <w:tcBorders>
                    <w:tl2br w:val="nil"/>
                    <w:tr2bl w:val="nil"/>
                  </w:tcBorders>
                  <w:vAlign w:val="center"/>
                </w:tcPr>
                <w:p>
                  <w:pPr>
                    <w:pStyle w:val="30"/>
                    <w:spacing w:before="24" w:after="24" w:line="240" w:lineRule="auto"/>
                    <w:jc w:val="center"/>
                    <w:rPr>
                      <w:rFonts w:ascii="Times New Roman"/>
                      <w:color w:val="auto"/>
                      <w:sz w:val="21"/>
                      <w:szCs w:val="21"/>
                    </w:rPr>
                  </w:pPr>
                  <w:r>
                    <w:rPr>
                      <w:rFonts w:hint="eastAsia" w:ascii="Times New Roman"/>
                      <w:color w:val="auto"/>
                      <w:sz w:val="21"/>
                      <w:szCs w:val="21"/>
                    </w:rPr>
                    <w:t>搅拌粉尘</w:t>
                  </w:r>
                </w:p>
              </w:tc>
              <w:tc>
                <w:tcPr>
                  <w:tcW w:w="296" w:type="pct"/>
                  <w:vMerge w:val="continue"/>
                  <w:tcBorders>
                    <w:tl2br w:val="nil"/>
                    <w:tr2bl w:val="nil"/>
                  </w:tcBorders>
                  <w:vAlign w:val="center"/>
                </w:tcPr>
                <w:p>
                  <w:pPr>
                    <w:pStyle w:val="30"/>
                    <w:spacing w:before="24" w:after="24" w:line="240" w:lineRule="auto"/>
                    <w:jc w:val="center"/>
                    <w:rPr>
                      <w:rFonts w:ascii="Times New Roman"/>
                      <w:color w:val="auto"/>
                      <w:sz w:val="21"/>
                      <w:szCs w:val="21"/>
                    </w:rPr>
                  </w:pPr>
                </w:p>
              </w:tc>
              <w:tc>
                <w:tcPr>
                  <w:tcW w:w="278" w:type="pct"/>
                  <w:tcBorders>
                    <w:tl2br w:val="nil"/>
                    <w:tr2bl w:val="nil"/>
                  </w:tcBorders>
                  <w:vAlign w:val="center"/>
                </w:tcPr>
                <w:p>
                  <w:pPr>
                    <w:pStyle w:val="30"/>
                    <w:spacing w:before="24" w:after="24" w:line="240" w:lineRule="auto"/>
                    <w:jc w:val="center"/>
                    <w:rPr>
                      <w:rFonts w:ascii="Times New Roman"/>
                      <w:color w:val="auto"/>
                      <w:sz w:val="21"/>
                      <w:szCs w:val="21"/>
                    </w:rPr>
                  </w:pPr>
                  <w:r>
                    <w:rPr>
                      <w:rFonts w:hint="eastAsia" w:ascii="Times New Roman"/>
                      <w:color w:val="auto"/>
                      <w:sz w:val="21"/>
                      <w:szCs w:val="21"/>
                    </w:rPr>
                    <w:t>颗粒物</w:t>
                  </w:r>
                </w:p>
              </w:tc>
              <w:tc>
                <w:tcPr>
                  <w:tcW w:w="409" w:type="pct"/>
                  <w:tcBorders>
                    <w:tl2br w:val="nil"/>
                    <w:tr2bl w:val="nil"/>
                  </w:tcBorders>
                  <w:vAlign w:val="center"/>
                </w:tcPr>
                <w:p>
                  <w:pPr>
                    <w:pStyle w:val="3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62.4</w:t>
                  </w:r>
                </w:p>
              </w:tc>
              <w:tc>
                <w:tcPr>
                  <w:tcW w:w="469" w:type="pct"/>
                  <w:tcBorders>
                    <w:tl2br w:val="nil"/>
                    <w:tr2bl w:val="nil"/>
                  </w:tcBorders>
                  <w:vAlign w:val="center"/>
                </w:tcPr>
                <w:p>
                  <w:pPr>
                    <w:ind w:left="0" w:leftChars="0" w:firstLine="0" w:firstLineChars="0"/>
                    <w:jc w:val="both"/>
                    <w:rPr>
                      <w:rFonts w:hint="default" w:eastAsia="宋体"/>
                      <w:color w:val="auto"/>
                      <w:sz w:val="21"/>
                      <w:szCs w:val="21"/>
                      <w:lang w:val="en-US" w:eastAsia="zh-CN"/>
                    </w:rPr>
                  </w:pPr>
                  <w:r>
                    <w:rPr>
                      <w:rFonts w:hint="eastAsia"/>
                      <w:color w:val="auto"/>
                      <w:sz w:val="21"/>
                      <w:szCs w:val="21"/>
                      <w:lang w:val="en-US" w:eastAsia="zh-CN"/>
                    </w:rPr>
                    <w:t>28.36</w:t>
                  </w:r>
                </w:p>
              </w:tc>
              <w:tc>
                <w:tcPr>
                  <w:tcW w:w="645" w:type="pct"/>
                  <w:tcBorders>
                    <w:tl2br w:val="nil"/>
                    <w:tr2bl w:val="nil"/>
                  </w:tcBorders>
                  <w:vAlign w:val="center"/>
                </w:tcPr>
                <w:p>
                  <w:pPr>
                    <w:pStyle w:val="3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集气罩+</w:t>
                  </w:r>
                  <w:r>
                    <w:rPr>
                      <w:rFonts w:hint="eastAsia" w:ascii="Times New Roman"/>
                      <w:color w:val="auto"/>
                      <w:sz w:val="21"/>
                      <w:szCs w:val="21"/>
                    </w:rPr>
                    <w:t>脉冲布袋除尘器</w:t>
                  </w:r>
                  <w:r>
                    <w:rPr>
                      <w:rFonts w:hint="eastAsia" w:ascii="Times New Roman"/>
                      <w:color w:val="auto"/>
                      <w:sz w:val="21"/>
                      <w:szCs w:val="21"/>
                      <w:lang w:val="en-US" w:eastAsia="zh-CN"/>
                    </w:rPr>
                    <w:t>+15m高排气筒（DA001）</w:t>
                  </w:r>
                </w:p>
              </w:tc>
              <w:tc>
                <w:tcPr>
                  <w:tcW w:w="537" w:type="pct"/>
                  <w:tcBorders>
                    <w:tl2br w:val="nil"/>
                    <w:tr2bl w:val="nil"/>
                  </w:tcBorders>
                  <w:vAlign w:val="center"/>
                </w:tcPr>
                <w:p>
                  <w:pPr>
                    <w:pStyle w:val="30"/>
                    <w:spacing w:before="24" w:after="24" w:line="240" w:lineRule="auto"/>
                    <w:jc w:val="center"/>
                    <w:rPr>
                      <w:rFonts w:hint="eastAsia" w:ascii="Times New Roman" w:eastAsia="宋体"/>
                      <w:color w:val="auto"/>
                      <w:sz w:val="21"/>
                      <w:szCs w:val="21"/>
                      <w:lang w:val="en-US" w:eastAsia="zh-CN"/>
                    </w:rPr>
                  </w:pPr>
                  <w:r>
                    <w:rPr>
                      <w:rFonts w:hint="eastAsia" w:ascii="Times New Roman"/>
                      <w:color w:val="auto"/>
                      <w:sz w:val="21"/>
                      <w:szCs w:val="21"/>
                      <w:lang w:val="en-US" w:eastAsia="zh-CN"/>
                    </w:rPr>
                    <w:t>是</w:t>
                  </w:r>
                </w:p>
              </w:tc>
              <w:tc>
                <w:tcPr>
                  <w:tcW w:w="494" w:type="pct"/>
                  <w:tcBorders>
                    <w:tl2br w:val="nil"/>
                    <w:tr2bl w:val="nil"/>
                  </w:tcBorders>
                  <w:vAlign w:val="center"/>
                </w:tcPr>
                <w:p>
                  <w:pPr>
                    <w:pStyle w:val="3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0.168</w:t>
                  </w:r>
                </w:p>
              </w:tc>
              <w:tc>
                <w:tcPr>
                  <w:tcW w:w="494" w:type="pct"/>
                  <w:tcBorders>
                    <w:tl2br w:val="nil"/>
                    <w:tr2bl w:val="nil"/>
                  </w:tcBorders>
                  <w:vAlign w:val="center"/>
                </w:tcPr>
                <w:p>
                  <w:pPr>
                    <w:pStyle w:val="3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0.076</w:t>
                  </w:r>
                </w:p>
              </w:tc>
              <w:tc>
                <w:tcPr>
                  <w:tcW w:w="469" w:type="pct"/>
                  <w:tcBorders>
                    <w:tl2br w:val="nil"/>
                    <w:tr2bl w:val="nil"/>
                  </w:tcBorders>
                  <w:vAlign w:val="center"/>
                </w:tcPr>
                <w:p>
                  <w:pPr>
                    <w:pStyle w:val="3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14</w:t>
                  </w:r>
                </w:p>
              </w:tc>
              <w:tc>
                <w:tcPr>
                  <w:tcW w:w="512" w:type="pct"/>
                  <w:tcBorders>
                    <w:tl2br w:val="nil"/>
                    <w:tr2bl w:val="nil"/>
                  </w:tcBorders>
                  <w:vAlign w:val="center"/>
                </w:tcPr>
                <w:p>
                  <w:pPr>
                    <w:pStyle w:val="30"/>
                    <w:spacing w:before="24" w:after="24" w:line="240" w:lineRule="auto"/>
                    <w:jc w:val="center"/>
                    <w:rPr>
                      <w:rFonts w:hint="default" w:ascii="Times New Roman" w:eastAsia="宋体"/>
                      <w:color w:val="auto"/>
                      <w:sz w:val="21"/>
                      <w:szCs w:val="21"/>
                      <w:lang w:val="en-US" w:eastAsia="zh-CN"/>
                    </w:rPr>
                  </w:pPr>
                  <w:r>
                    <w:rPr>
                      <w:rFonts w:hint="eastAsia" w:ascii="Times New Roman"/>
                      <w:color w:val="auto"/>
                      <w:sz w:val="21"/>
                      <w:szCs w:val="21"/>
                      <w:lang w:val="en-US" w:eastAsia="zh-CN"/>
                    </w:rPr>
                    <w:t>20</w:t>
                  </w:r>
                </w:p>
              </w:tc>
            </w:tr>
          </w:tbl>
          <w:p>
            <w:pPr>
              <w:keepNext w:val="0"/>
              <w:keepLines w:val="0"/>
              <w:widowControl/>
              <w:suppressLineNumbers w:val="0"/>
              <w:ind w:left="0" w:leftChars="0" w:firstLine="480" w:firstLineChars="200"/>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由上表可知</w:t>
            </w:r>
            <w:r>
              <w:rPr>
                <w:rFonts w:hint="eastAsia" w:cs="Times New Roman"/>
                <w:color w:val="000000"/>
                <w:kern w:val="0"/>
                <w:sz w:val="24"/>
                <w:szCs w:val="24"/>
                <w:lang w:val="en-US" w:eastAsia="zh-CN" w:bidi="ar"/>
              </w:rPr>
              <w:t>搅拌楼有组织废气颗粒物</w:t>
            </w:r>
            <w:r>
              <w:rPr>
                <w:rFonts w:hint="default" w:ascii="Times New Roman" w:hAnsi="Times New Roman" w:eastAsia="宋体" w:cs="Times New Roman"/>
                <w:color w:val="000000"/>
                <w:kern w:val="0"/>
                <w:sz w:val="24"/>
                <w:szCs w:val="24"/>
                <w:lang w:val="en-US" w:eastAsia="zh-CN" w:bidi="ar"/>
              </w:rPr>
              <w:t>满足《水泥工业大气污染物排放标准》（GB4915-2013）</w:t>
            </w:r>
            <w:r>
              <w:rPr>
                <w:rFonts w:hint="eastAsia" w:cs="Times New Roman"/>
                <w:color w:val="000000"/>
                <w:kern w:val="0"/>
                <w:sz w:val="24"/>
                <w:szCs w:val="24"/>
                <w:lang w:val="en-US" w:eastAsia="zh-CN" w:bidi="ar"/>
              </w:rPr>
              <w:t>表1</w:t>
            </w:r>
            <w:r>
              <w:rPr>
                <w:rFonts w:hint="default" w:ascii="Times New Roman" w:hAnsi="Times New Roman" w:eastAsia="宋体" w:cs="Times New Roman"/>
                <w:color w:val="000000"/>
                <w:kern w:val="0"/>
                <w:sz w:val="24"/>
                <w:szCs w:val="24"/>
                <w:lang w:val="en-US" w:eastAsia="zh-CN" w:bidi="ar"/>
              </w:rPr>
              <w:t>中的</w:t>
            </w:r>
            <w:r>
              <w:rPr>
                <w:rFonts w:hint="eastAsia" w:cs="Times New Roman"/>
                <w:color w:val="000000"/>
                <w:kern w:val="0"/>
                <w:sz w:val="24"/>
                <w:szCs w:val="24"/>
                <w:lang w:val="en-US" w:eastAsia="zh-CN" w:bidi="ar"/>
              </w:rPr>
              <w:t>20mg/</w:t>
            </w:r>
            <w:r>
              <w:rPr>
                <w:rFonts w:hint="eastAsia"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相关标准；</w:t>
            </w:r>
          </w:p>
          <w:p>
            <w:pPr>
              <w:keepNext w:val="0"/>
              <w:keepLines w:val="0"/>
              <w:widowControl/>
              <w:suppressLineNumbers w:val="0"/>
              <w:ind w:left="0" w:leftChars="0" w:firstLine="480" w:firstLineChars="200"/>
              <w:jc w:val="left"/>
              <w:rPr>
                <w:rFonts w:hint="default" w:ascii="Times New Roman" w:hAnsi="Times New Roman" w:eastAsia="宋体" w:cs="Times New Roman"/>
                <w:color w:val="000000"/>
                <w:kern w:val="0"/>
                <w:sz w:val="24"/>
                <w:szCs w:val="24"/>
                <w:lang w:val="en-US" w:eastAsia="zh-CN" w:bidi="ar"/>
              </w:rPr>
            </w:pPr>
            <w:r>
              <w:rPr>
                <w:rFonts w:hint="eastAsia" w:cs="Times New Roman"/>
                <w:color w:val="000000"/>
                <w:kern w:val="0"/>
                <w:sz w:val="24"/>
                <w:szCs w:val="24"/>
                <w:lang w:val="en-US" w:eastAsia="zh-CN" w:bidi="ar"/>
              </w:rPr>
              <w:t>水泥筒仓、粉煤灰仓、</w:t>
            </w:r>
            <w:r>
              <w:rPr>
                <w:rFonts w:hint="default" w:ascii="Times New Roman" w:hAnsi="Times New Roman" w:eastAsia="宋体" w:cs="Times New Roman"/>
                <w:color w:val="000000"/>
                <w:kern w:val="0"/>
                <w:sz w:val="24"/>
                <w:szCs w:val="24"/>
                <w:lang w:val="en-US" w:eastAsia="zh-CN" w:bidi="ar"/>
              </w:rPr>
              <w:t>砂石料堆场</w:t>
            </w:r>
            <w:r>
              <w:rPr>
                <w:rFonts w:hint="eastAsia" w:cs="Times New Roman"/>
                <w:color w:val="000000"/>
                <w:kern w:val="0"/>
                <w:sz w:val="24"/>
                <w:szCs w:val="24"/>
                <w:lang w:val="en-US" w:eastAsia="zh-CN" w:bidi="ar"/>
              </w:rPr>
              <w:t>装卸粉尘、水稳站输送计量粉尘、运输扬尘</w:t>
            </w:r>
            <w:r>
              <w:rPr>
                <w:rFonts w:hint="default" w:ascii="Times New Roman" w:hAnsi="Times New Roman" w:eastAsia="宋体" w:cs="Times New Roman"/>
                <w:color w:val="000000"/>
                <w:kern w:val="0"/>
                <w:sz w:val="24"/>
                <w:szCs w:val="24"/>
                <w:lang w:val="en-US" w:eastAsia="zh-CN" w:bidi="ar"/>
              </w:rPr>
              <w:t>装卸堆存粉尘及</w:t>
            </w:r>
            <w:r>
              <w:rPr>
                <w:rFonts w:hint="eastAsia" w:cs="Times New Roman"/>
                <w:color w:val="000000"/>
                <w:kern w:val="0"/>
                <w:sz w:val="24"/>
                <w:szCs w:val="24"/>
                <w:lang w:val="en-US" w:eastAsia="zh-CN" w:bidi="ar"/>
              </w:rPr>
              <w:t>车间逸散粉尘</w:t>
            </w:r>
            <w:r>
              <w:rPr>
                <w:rFonts w:hint="default" w:ascii="Times New Roman" w:hAnsi="Times New Roman" w:eastAsia="宋体" w:cs="Times New Roman"/>
                <w:color w:val="000000"/>
                <w:kern w:val="0"/>
                <w:sz w:val="24"/>
                <w:szCs w:val="24"/>
                <w:lang w:val="en-US" w:eastAsia="zh-CN" w:bidi="ar"/>
              </w:rPr>
              <w:t>，</w:t>
            </w:r>
            <w:r>
              <w:rPr>
                <w:rFonts w:hint="eastAsia" w:cs="Times New Roman"/>
                <w:color w:val="000000"/>
                <w:kern w:val="0"/>
                <w:sz w:val="24"/>
                <w:szCs w:val="24"/>
                <w:lang w:val="en-US" w:eastAsia="zh-CN" w:bidi="ar"/>
              </w:rPr>
              <w:t>无组织排放浓度</w:t>
            </w:r>
            <w:r>
              <w:rPr>
                <w:rFonts w:hint="default" w:ascii="Times New Roman" w:hAnsi="Times New Roman" w:eastAsia="宋体" w:cs="Times New Roman"/>
                <w:color w:val="000000"/>
                <w:kern w:val="0"/>
                <w:sz w:val="24"/>
                <w:szCs w:val="24"/>
                <w:lang w:val="en-US" w:eastAsia="zh-CN" w:bidi="ar"/>
              </w:rPr>
              <w:t>满足《水泥工业大气污染物排放标准》（GB4915-2013）</w:t>
            </w:r>
            <w:r>
              <w:rPr>
                <w:rFonts w:hint="eastAsia" w:cs="Times New Roman"/>
                <w:color w:val="000000"/>
                <w:kern w:val="0"/>
                <w:sz w:val="24"/>
                <w:szCs w:val="24"/>
                <w:lang w:val="en-US" w:eastAsia="zh-CN" w:bidi="ar"/>
              </w:rPr>
              <w:t>表3</w:t>
            </w:r>
            <w:r>
              <w:rPr>
                <w:rFonts w:hint="default" w:ascii="Times New Roman" w:hAnsi="Times New Roman" w:eastAsia="宋体" w:cs="Times New Roman"/>
                <w:color w:val="000000"/>
                <w:kern w:val="0"/>
                <w:sz w:val="24"/>
                <w:szCs w:val="24"/>
                <w:lang w:val="en-US" w:eastAsia="zh-CN" w:bidi="ar"/>
              </w:rPr>
              <w:t>中</w:t>
            </w:r>
            <w:r>
              <w:rPr>
                <w:rFonts w:hint="eastAsia" w:cs="Times New Roman"/>
                <w:color w:val="000000"/>
                <w:kern w:val="0"/>
                <w:sz w:val="24"/>
                <w:szCs w:val="24"/>
                <w:lang w:val="en-US" w:eastAsia="zh-CN" w:bidi="ar"/>
              </w:rPr>
              <w:t>0.5mg/m</w:t>
            </w:r>
            <w:r>
              <w:rPr>
                <w:rFonts w:hint="eastAsia" w:cs="Times New Roman"/>
                <w:color w:val="000000"/>
                <w:kern w:val="0"/>
                <w:sz w:val="24"/>
                <w:szCs w:val="24"/>
                <w:vertAlign w:val="superscript"/>
                <w:lang w:val="en-US" w:eastAsia="zh-CN" w:bidi="ar"/>
              </w:rPr>
              <w:t>3</w:t>
            </w:r>
            <w:r>
              <w:rPr>
                <w:rFonts w:hint="eastAsia" w:cs="Times New Roman"/>
                <w:color w:val="000000"/>
                <w:kern w:val="0"/>
                <w:sz w:val="24"/>
                <w:szCs w:val="24"/>
                <w:lang w:val="en-US" w:eastAsia="zh-CN" w:bidi="ar"/>
              </w:rPr>
              <w:t>的限值要求</w:t>
            </w:r>
            <w:r>
              <w:rPr>
                <w:rFonts w:hint="default" w:ascii="Times New Roman" w:hAnsi="Times New Roman" w:eastAsia="宋体" w:cs="Times New Roman"/>
                <w:color w:val="000000"/>
                <w:kern w:val="0"/>
                <w:sz w:val="24"/>
                <w:szCs w:val="24"/>
                <w:lang w:val="en-US" w:eastAsia="zh-CN" w:bidi="ar"/>
              </w:rPr>
              <w:t>。</w:t>
            </w:r>
            <w:r>
              <w:rPr>
                <w:rFonts w:hint="eastAsia" w:cs="Times New Roman"/>
                <w:color w:val="000000"/>
                <w:kern w:val="0"/>
                <w:sz w:val="24"/>
                <w:szCs w:val="24"/>
                <w:lang w:val="en-US" w:eastAsia="zh-CN" w:bidi="ar"/>
              </w:rPr>
              <w:t>食堂油烟满足</w:t>
            </w:r>
            <w:r>
              <w:rPr>
                <w:rFonts w:hint="default" w:ascii="Times New Roman" w:hAnsi="Times New Roman" w:eastAsia="宋体" w:cs="Times New Roman"/>
                <w:color w:val="auto"/>
                <w:sz w:val="24"/>
              </w:rPr>
              <w:t>《饮食业油烟排放标准》（试行）</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GB18483-2001</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标准2.0mg/m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要求</w:t>
            </w:r>
          </w:p>
          <w:p>
            <w:pPr>
              <w:widowControl w:val="0"/>
              <w:adjustRightInd w:val="0"/>
              <w:snapToGrid w:val="0"/>
              <w:spacing w:line="360" w:lineRule="auto"/>
              <w:ind w:left="0" w:leftChars="0" w:firstLine="0" w:firstLineChars="0"/>
              <w:jc w:val="both"/>
              <w:rPr>
                <w:rFonts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1.4</w:t>
            </w:r>
            <w:r>
              <w:rPr>
                <w:rFonts w:ascii="Times New Roman" w:hAnsi="Times New Roman" w:eastAsia="宋体" w:cs="Times New Roman"/>
                <w:b/>
                <w:bCs/>
                <w:color w:val="auto"/>
                <w:kern w:val="2"/>
                <w:sz w:val="24"/>
                <w:szCs w:val="24"/>
                <w:highlight w:val="none"/>
                <w:lang w:val="en-US" w:eastAsia="zh-CN" w:bidi="ar-SA"/>
              </w:rPr>
              <w:t>非正常排放</w:t>
            </w:r>
          </w:p>
          <w:p>
            <w:pPr>
              <w:widowControl/>
              <w:snapToGrid w:val="0"/>
              <w:spacing w:before="0" w:after="0" w:line="360" w:lineRule="auto"/>
              <w:ind w:right="0" w:firstLine="480" w:firstLineChars="200"/>
              <w:jc w:val="both"/>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本项目非常工况主要是针对除尘器故障，导致除尘系统不能正常运转，含尘气体未经完全处理即排放的情况。非正常工况下废气处理设施的处理效率按0%计算，发现故障时可以及时停机，因此非正常排放时间按0.5</w:t>
            </w:r>
            <w:r>
              <w:rPr>
                <w:rFonts w:hint="eastAsia" w:cs="Times New Roman"/>
                <w:color w:val="auto"/>
                <w:kern w:val="0"/>
                <w:sz w:val="24"/>
                <w:szCs w:val="24"/>
                <w:highlight w:val="none"/>
                <w:lang w:val="en-US" w:eastAsia="zh-CN" w:bidi="ar-SA"/>
              </w:rPr>
              <w:t>h</w:t>
            </w:r>
            <w:r>
              <w:rPr>
                <w:rFonts w:hint="default" w:ascii="Times New Roman" w:hAnsi="Times New Roman" w:eastAsia="宋体" w:cs="Times New Roman"/>
                <w:color w:val="auto"/>
                <w:kern w:val="0"/>
                <w:sz w:val="24"/>
                <w:szCs w:val="24"/>
                <w:highlight w:val="none"/>
                <w:lang w:val="en-US" w:eastAsia="zh-CN" w:bidi="ar-SA"/>
              </w:rPr>
              <w:t>计，废气处理设施异常引起的污染物非正常排放量统计详见下表4-</w:t>
            </w:r>
            <w:r>
              <w:rPr>
                <w:rFonts w:hint="eastAsia" w:cs="Times New Roman"/>
                <w:color w:val="auto"/>
                <w:kern w:val="0"/>
                <w:sz w:val="24"/>
                <w:szCs w:val="24"/>
                <w:highlight w:val="none"/>
                <w:lang w:val="en-US" w:eastAsia="zh-CN" w:bidi="ar-SA"/>
              </w:rPr>
              <w:t>6</w:t>
            </w:r>
            <w:r>
              <w:rPr>
                <w:rFonts w:hint="default" w:ascii="Times New Roman" w:hAnsi="Times New Roman" w:eastAsia="宋体" w:cs="Times New Roman"/>
                <w:color w:val="auto"/>
                <w:kern w:val="0"/>
                <w:sz w:val="24"/>
                <w:szCs w:val="24"/>
                <w:highlight w:val="none"/>
                <w:lang w:val="en-US" w:eastAsia="zh-CN" w:bidi="ar-SA"/>
              </w:rPr>
              <w:t>。</w:t>
            </w:r>
          </w:p>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eastAsia" w:cs="Times New Roman"/>
                <w:b/>
                <w:bCs/>
                <w:color w:val="auto"/>
                <w:sz w:val="21"/>
                <w:szCs w:val="21"/>
                <w:highlight w:val="none"/>
                <w:lang w:val="en-US" w:eastAsia="zh-CN"/>
              </w:rPr>
              <w:t xml:space="preserve">-6 </w:t>
            </w:r>
            <w:r>
              <w:rPr>
                <w:rFonts w:hint="default" w:ascii="Times New Roman" w:hAnsi="Times New Roman" w:eastAsia="宋体" w:cs="Times New Roman"/>
                <w:b/>
                <w:bCs/>
                <w:color w:val="auto"/>
                <w:sz w:val="21"/>
                <w:szCs w:val="21"/>
                <w:highlight w:val="none"/>
              </w:rPr>
              <w:t xml:space="preserve">  废气非正常情况排放源强</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03"/>
              <w:gridCol w:w="1170"/>
              <w:gridCol w:w="671"/>
              <w:gridCol w:w="1031"/>
              <w:gridCol w:w="1181"/>
              <w:gridCol w:w="1137"/>
              <w:gridCol w:w="975"/>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71" w:type="pct"/>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排气筒序号</w:t>
                  </w:r>
                </w:p>
              </w:tc>
              <w:tc>
                <w:tcPr>
                  <w:tcW w:w="439" w:type="pct"/>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污染源</w:t>
                  </w:r>
                </w:p>
              </w:tc>
              <w:tc>
                <w:tcPr>
                  <w:tcW w:w="640" w:type="pct"/>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原因</w:t>
                  </w:r>
                </w:p>
              </w:tc>
              <w:tc>
                <w:tcPr>
                  <w:tcW w:w="367" w:type="pct"/>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w:t>
                  </w:r>
                </w:p>
              </w:tc>
              <w:tc>
                <w:tcPr>
                  <w:tcW w:w="564" w:type="pct"/>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排放</w:t>
                  </w:r>
                </w:p>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浓度</w:t>
                  </w:r>
                </w:p>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(mg/m</w:t>
                  </w:r>
                  <w:r>
                    <w:rPr>
                      <w:rFonts w:hint="default" w:ascii="Times New Roman" w:hAnsi="Times New Roman" w:eastAsia="宋体" w:cs="Times New Roman"/>
                      <w:b/>
                      <w:bCs/>
                      <w:color w:val="auto"/>
                      <w:sz w:val="21"/>
                      <w:szCs w:val="21"/>
                      <w:highlight w:val="none"/>
                      <w:vertAlign w:val="superscript"/>
                    </w:rPr>
                    <w:t>3</w:t>
                  </w:r>
                  <w:r>
                    <w:rPr>
                      <w:rFonts w:hint="default" w:ascii="Times New Roman" w:hAnsi="Times New Roman" w:eastAsia="宋体" w:cs="Times New Roman"/>
                      <w:b/>
                      <w:bCs/>
                      <w:color w:val="auto"/>
                      <w:sz w:val="21"/>
                      <w:szCs w:val="21"/>
                      <w:highlight w:val="none"/>
                    </w:rPr>
                    <w:t>)</w:t>
                  </w:r>
                </w:p>
              </w:tc>
              <w:tc>
                <w:tcPr>
                  <w:tcW w:w="646" w:type="pct"/>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非正常排放速率</w:t>
                  </w:r>
                </w:p>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（kg/h）</w:t>
                  </w:r>
                </w:p>
              </w:tc>
              <w:tc>
                <w:tcPr>
                  <w:tcW w:w="622" w:type="pct"/>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单次持续时间/h</w:t>
                  </w:r>
                </w:p>
              </w:tc>
              <w:tc>
                <w:tcPr>
                  <w:tcW w:w="533" w:type="pct"/>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年发生频次</w:t>
                  </w:r>
                </w:p>
              </w:tc>
              <w:tc>
                <w:tcPr>
                  <w:tcW w:w="613" w:type="pct"/>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71" w:type="pct"/>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DA001</w:t>
                  </w:r>
                </w:p>
              </w:tc>
              <w:tc>
                <w:tcPr>
                  <w:tcW w:w="439" w:type="pct"/>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搅拌楼</w:t>
                  </w:r>
                </w:p>
              </w:tc>
              <w:tc>
                <w:tcPr>
                  <w:tcW w:w="640" w:type="pct"/>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布袋除尘器失效</w:t>
                  </w:r>
                </w:p>
              </w:tc>
              <w:tc>
                <w:tcPr>
                  <w:tcW w:w="367" w:type="pct"/>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564" w:type="pct"/>
                  <w:vAlign w:val="center"/>
                </w:tcPr>
                <w:p>
                  <w:pPr>
                    <w:spacing w:line="360" w:lineRule="exact"/>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5200</w:t>
                  </w:r>
                </w:p>
              </w:tc>
              <w:tc>
                <w:tcPr>
                  <w:tcW w:w="646" w:type="pct"/>
                  <w:vAlign w:val="center"/>
                </w:tcPr>
                <w:p>
                  <w:pPr>
                    <w:spacing w:line="360" w:lineRule="exact"/>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28.36</w:t>
                  </w:r>
                </w:p>
              </w:tc>
              <w:tc>
                <w:tcPr>
                  <w:tcW w:w="622" w:type="pct"/>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0.5</w:t>
                  </w:r>
                </w:p>
              </w:tc>
              <w:tc>
                <w:tcPr>
                  <w:tcW w:w="533" w:type="pct"/>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613" w:type="pct"/>
                  <w:vAlign w:val="center"/>
                </w:tcPr>
                <w:p>
                  <w:pPr>
                    <w:spacing w:line="240" w:lineRule="auto"/>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停止生产，进行检修</w:t>
                  </w:r>
                </w:p>
              </w:tc>
            </w:tr>
          </w:tbl>
          <w:p>
            <w:pPr>
              <w:widowControl/>
              <w:snapToGrid w:val="0"/>
              <w:spacing w:before="0" w:after="0" w:line="360" w:lineRule="auto"/>
              <w:ind w:right="0" w:firstLine="480" w:firstLineChars="200"/>
              <w:jc w:val="both"/>
              <w:rPr>
                <w:rFonts w:ascii="Times New Roman" w:hAnsi="Times New Roman" w:eastAsia="宋体" w:cs="Times New Roman"/>
                <w:color w:val="auto"/>
                <w:kern w:val="0"/>
                <w:sz w:val="24"/>
                <w:szCs w:val="24"/>
                <w:highlight w:val="none"/>
                <w:lang w:val="en-US" w:eastAsia="zh-CN" w:bidi="ar-SA"/>
              </w:rPr>
            </w:pPr>
            <w:r>
              <w:rPr>
                <w:rFonts w:ascii="Times New Roman" w:hAnsi="Times New Roman" w:eastAsia="宋体" w:cs="Times New Roman"/>
                <w:color w:val="auto"/>
                <w:kern w:val="0"/>
                <w:sz w:val="24"/>
                <w:szCs w:val="24"/>
                <w:highlight w:val="none"/>
                <w:lang w:val="en-US" w:eastAsia="zh-CN" w:bidi="ar-SA"/>
              </w:rPr>
              <w:t>废气处理设施发生故障时，污染物处理效率达不到设计要求或不经处理直接排放，污染源源强增大，对环境的影响会增大，但由于除尘设施不能正常工作时仅为</w:t>
            </w:r>
            <w:r>
              <w:rPr>
                <w:rFonts w:hint="eastAsia" w:ascii="Times New Roman" w:hAnsi="Times New Roman" w:eastAsia="宋体" w:cs="Times New Roman"/>
                <w:color w:val="auto"/>
                <w:kern w:val="0"/>
                <w:sz w:val="24"/>
                <w:szCs w:val="24"/>
                <w:highlight w:val="none"/>
                <w:lang w:val="en-US" w:eastAsia="zh-CN" w:bidi="ar-SA"/>
              </w:rPr>
              <w:t>短暂</w:t>
            </w:r>
            <w:r>
              <w:rPr>
                <w:rFonts w:ascii="Times New Roman" w:hAnsi="Times New Roman" w:eastAsia="宋体" w:cs="Times New Roman"/>
                <w:color w:val="auto"/>
                <w:kern w:val="0"/>
                <w:sz w:val="24"/>
                <w:szCs w:val="24"/>
                <w:highlight w:val="none"/>
                <w:lang w:val="en-US" w:eastAsia="zh-CN" w:bidi="ar-SA"/>
              </w:rPr>
              <w:t>、偶然事件，在除尘器不能正常工作时，</w:t>
            </w:r>
            <w:r>
              <w:rPr>
                <w:rFonts w:hint="eastAsia" w:cs="Times New Roman"/>
                <w:color w:val="auto"/>
                <w:kern w:val="0"/>
                <w:sz w:val="24"/>
                <w:szCs w:val="24"/>
                <w:highlight w:val="none"/>
                <w:lang w:val="en-US" w:eastAsia="zh-CN" w:bidi="ar-SA"/>
              </w:rPr>
              <w:t>维护人员</w:t>
            </w:r>
            <w:r>
              <w:rPr>
                <w:rFonts w:ascii="Times New Roman" w:hAnsi="Times New Roman" w:eastAsia="宋体" w:cs="Times New Roman"/>
                <w:color w:val="auto"/>
                <w:kern w:val="0"/>
                <w:sz w:val="24"/>
                <w:szCs w:val="24"/>
                <w:highlight w:val="none"/>
                <w:lang w:val="en-US" w:eastAsia="zh-CN" w:bidi="ar-SA"/>
              </w:rPr>
              <w:t>及时</w:t>
            </w:r>
            <w:r>
              <w:rPr>
                <w:rFonts w:hint="eastAsia" w:cs="Times New Roman"/>
                <w:color w:val="auto"/>
                <w:kern w:val="0"/>
                <w:sz w:val="24"/>
                <w:szCs w:val="24"/>
                <w:highlight w:val="none"/>
                <w:lang w:val="en-US" w:eastAsia="zh-CN" w:bidi="ar-SA"/>
              </w:rPr>
              <w:t>反映</w:t>
            </w:r>
            <w:r>
              <w:rPr>
                <w:rFonts w:ascii="Times New Roman" w:hAnsi="Times New Roman" w:eastAsia="宋体" w:cs="Times New Roman"/>
                <w:color w:val="auto"/>
                <w:kern w:val="0"/>
                <w:sz w:val="24"/>
                <w:szCs w:val="24"/>
                <w:highlight w:val="none"/>
                <w:lang w:val="en-US" w:eastAsia="zh-CN" w:bidi="ar-SA"/>
              </w:rPr>
              <w:t>，应立即停产检修，尽量缩短非正常工况的排放时间，待生产设备、环保设施恢复正常后再投入生产，非正常工况持续时间较短，对外环境影响较小。</w:t>
            </w:r>
          </w:p>
          <w:p>
            <w:pPr>
              <w:widowControl w:val="0"/>
              <w:overflowPunct w:val="0"/>
              <w:adjustRightInd w:val="0"/>
              <w:spacing w:line="360" w:lineRule="auto"/>
              <w:ind w:left="0" w:leftChars="0" w:firstLine="0" w:firstLineChars="0"/>
              <w:jc w:val="both"/>
              <w:rPr>
                <w:rFonts w:ascii="Times New Roman" w:hAnsi="Times New Roman" w:eastAsia="宋体" w:cs="Times New Roman"/>
                <w:b/>
                <w:bCs/>
                <w:color w:val="auto"/>
                <w:kern w:val="2"/>
                <w:sz w:val="24"/>
                <w:szCs w:val="24"/>
                <w:highlight w:val="none"/>
                <w:lang w:val="en-US" w:eastAsia="zh-CN" w:bidi="ar-SA"/>
              </w:rPr>
            </w:pPr>
            <w:r>
              <w:rPr>
                <w:rFonts w:ascii="Times New Roman" w:hAnsi="Times New Roman" w:eastAsia="宋体" w:cs="Times New Roman"/>
                <w:b/>
                <w:bCs/>
                <w:color w:val="auto"/>
                <w:kern w:val="2"/>
                <w:sz w:val="24"/>
                <w:szCs w:val="24"/>
                <w:highlight w:val="none"/>
                <w:lang w:val="en-US" w:eastAsia="zh-CN" w:bidi="ar-SA"/>
              </w:rPr>
              <w:t>1.</w:t>
            </w:r>
            <w:r>
              <w:rPr>
                <w:rFonts w:hint="eastAsia" w:ascii="Times New Roman" w:hAnsi="Times New Roman" w:eastAsia="宋体" w:cs="Times New Roman"/>
                <w:b/>
                <w:bCs/>
                <w:color w:val="auto"/>
                <w:kern w:val="2"/>
                <w:sz w:val="24"/>
                <w:szCs w:val="24"/>
                <w:highlight w:val="none"/>
                <w:lang w:val="en-US" w:eastAsia="zh-CN" w:bidi="ar-SA"/>
              </w:rPr>
              <w:t>5</w:t>
            </w:r>
            <w:r>
              <w:rPr>
                <w:rFonts w:ascii="Times New Roman" w:hAnsi="Times New Roman" w:eastAsia="宋体" w:cs="Times New Roman"/>
                <w:b/>
                <w:bCs/>
                <w:color w:val="auto"/>
                <w:kern w:val="2"/>
                <w:sz w:val="24"/>
                <w:szCs w:val="24"/>
                <w:highlight w:val="none"/>
                <w:lang w:val="en-US" w:eastAsia="zh-CN" w:bidi="ar-SA"/>
              </w:rPr>
              <w:t xml:space="preserve">废气排放口基本情况 </w:t>
            </w:r>
            <w:bookmarkStart w:id="8" w:name="本项目废气排放口基本情况见表4-14。"/>
            <w:bookmarkEnd w:id="8"/>
          </w:p>
          <w:p>
            <w:pPr>
              <w:widowControl/>
              <w:snapToGrid w:val="0"/>
              <w:spacing w:before="0" w:after="0" w:line="360" w:lineRule="auto"/>
              <w:ind w:right="0" w:firstLine="480" w:firstLineChars="200"/>
              <w:jc w:val="both"/>
              <w:rPr>
                <w:rFonts w:ascii="Times New Roman" w:hAnsi="Times New Roman" w:eastAsia="宋体" w:cs="Times New Roman"/>
                <w:color w:val="auto"/>
                <w:kern w:val="0"/>
                <w:sz w:val="24"/>
                <w:szCs w:val="24"/>
                <w:highlight w:val="none"/>
                <w:lang w:val="en-US" w:eastAsia="zh-CN" w:bidi="ar-SA"/>
              </w:rPr>
            </w:pPr>
            <w:r>
              <w:rPr>
                <w:rFonts w:ascii="Times New Roman" w:hAnsi="Times New Roman" w:eastAsia="宋体" w:cs="Times New Roman"/>
                <w:color w:val="auto"/>
                <w:kern w:val="0"/>
                <w:sz w:val="24"/>
                <w:szCs w:val="24"/>
                <w:highlight w:val="none"/>
                <w:lang w:val="en-US" w:eastAsia="zh-CN" w:bidi="ar-SA"/>
              </w:rPr>
              <w:t>本项目废气排放口基本情况见表4-</w:t>
            </w:r>
            <w:r>
              <w:rPr>
                <w:rFonts w:hint="eastAsia" w:cs="Times New Roman"/>
                <w:color w:val="auto"/>
                <w:kern w:val="0"/>
                <w:sz w:val="24"/>
                <w:szCs w:val="24"/>
                <w:highlight w:val="none"/>
                <w:lang w:val="en-US" w:eastAsia="zh-CN" w:bidi="ar-SA"/>
              </w:rPr>
              <w:t>7</w:t>
            </w:r>
            <w:r>
              <w:rPr>
                <w:rFonts w:ascii="Times New Roman" w:hAnsi="Times New Roman" w:eastAsia="宋体" w:cs="Times New Roman"/>
                <w:color w:val="auto"/>
                <w:kern w:val="0"/>
                <w:sz w:val="24"/>
                <w:szCs w:val="24"/>
                <w:highlight w:val="none"/>
                <w:lang w:val="en-US" w:eastAsia="zh-CN" w:bidi="ar-SA"/>
              </w:rPr>
              <w:t>。</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40" w:firstLine="0" w:firstLineChars="0"/>
              <w:jc w:val="center"/>
              <w:textAlignment w:val="auto"/>
              <w:rPr>
                <w:rFonts w:hint="default" w:ascii="Times New Roman" w:hAnsi="Times New Roman" w:cs="Times New Roman"/>
                <w:color w:val="auto"/>
                <w:lang w:val="en-US" w:eastAsia="zh-CN"/>
              </w:rPr>
            </w:pPr>
            <w:bookmarkStart w:id="9" w:name="表4-14__废气排放口基本情况表"/>
            <w:bookmarkEnd w:id="9"/>
            <w:r>
              <w:rPr>
                <w:rFonts w:hint="default" w:ascii="Times New Roman" w:hAnsi="Times New Roman" w:cs="Times New Roman"/>
                <w:b/>
                <w:bCs/>
                <w:color w:val="auto"/>
                <w:sz w:val="21"/>
                <w:szCs w:val="21"/>
                <w:lang w:val="en-US" w:eastAsia="zh-CN"/>
              </w:rPr>
              <w:t>表4-</w:t>
            </w:r>
            <w:r>
              <w:rPr>
                <w:rFonts w:hint="eastAsia" w:cs="Times New Roman"/>
                <w:b/>
                <w:bCs/>
                <w:color w:val="auto"/>
                <w:sz w:val="21"/>
                <w:szCs w:val="21"/>
                <w:lang w:val="en-US" w:eastAsia="zh-CN"/>
              </w:rPr>
              <w:t>7</w:t>
            </w:r>
            <w:r>
              <w:rPr>
                <w:rFonts w:hint="default" w:ascii="Times New Roman" w:hAnsi="Times New Roman" w:cs="Times New Roman"/>
                <w:b/>
                <w:bCs/>
                <w:color w:val="auto"/>
                <w:sz w:val="21"/>
                <w:szCs w:val="21"/>
                <w:lang w:val="en-US" w:eastAsia="zh-CN"/>
              </w:rPr>
              <w:t xml:space="preserve">   废气排放口基本情况表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378"/>
              <w:gridCol w:w="1384"/>
              <w:gridCol w:w="1132"/>
              <w:gridCol w:w="2150"/>
              <w:gridCol w:w="1062"/>
              <w:gridCol w:w="645"/>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8" w:type="pc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40" w:firstLine="0" w:firstLineChars="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序号</w:t>
                  </w:r>
                </w:p>
              </w:tc>
              <w:tc>
                <w:tcPr>
                  <w:tcW w:w="754" w:type="pc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40" w:firstLine="0" w:firstLineChars="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排放口名称</w:t>
                  </w:r>
                </w:p>
              </w:tc>
              <w:tc>
                <w:tcPr>
                  <w:tcW w:w="757" w:type="pc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40" w:firstLine="0" w:firstLineChars="0"/>
                    <w:jc w:val="center"/>
                    <w:textAlignment w:val="auto"/>
                    <w:rPr>
                      <w:rFonts w:hint="eastAsia" w:ascii="Times New Roman" w:hAnsi="Times New Roman"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排放口</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40" w:firstLine="0" w:firstLineChars="0"/>
                    <w:jc w:val="center"/>
                    <w:textAlignment w:val="auto"/>
                    <w:rPr>
                      <w:rFonts w:hint="default" w:ascii="Times New Roman" w:hAnsi="Times New Roman"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类型</w:t>
                  </w:r>
                </w:p>
              </w:tc>
              <w:tc>
                <w:tcPr>
                  <w:tcW w:w="619" w:type="pc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40" w:firstLine="0" w:firstLineChars="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污染因子</w:t>
                  </w:r>
                </w:p>
              </w:tc>
              <w:tc>
                <w:tcPr>
                  <w:tcW w:w="1176" w:type="pc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40" w:firstLine="211" w:firstLineChars="100"/>
                    <w:jc w:val="center"/>
                    <w:textAlignment w:val="auto"/>
                    <w:rPr>
                      <w:rFonts w:hint="default" w:ascii="Times New Roman" w:hAnsi="Times New Roman" w:cs="Times New Roman"/>
                      <w:b/>
                      <w:bCs/>
                      <w:color w:val="auto"/>
                      <w:sz w:val="21"/>
                      <w:szCs w:val="21"/>
                      <w:vertAlign w:val="baseline"/>
                      <w:lang w:val="en-US" w:eastAsia="zh-CN"/>
                    </w:rPr>
                  </w:pPr>
                </w:p>
              </w:tc>
              <w:tc>
                <w:tcPr>
                  <w:tcW w:w="581" w:type="pc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40" w:firstLine="0" w:firstLineChars="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排气筒高度</w:t>
                  </w:r>
                </w:p>
              </w:tc>
              <w:tc>
                <w:tcPr>
                  <w:tcW w:w="353" w:type="pc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40" w:firstLine="0" w:firstLineChars="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内径</w:t>
                  </w:r>
                </w:p>
              </w:tc>
              <w:tc>
                <w:tcPr>
                  <w:tcW w:w="419" w:type="pc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40" w:firstLine="0" w:firstLineChars="0"/>
                    <w:jc w:val="center"/>
                    <w:textAlignment w:val="auto"/>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8" w:type="pc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4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1</w:t>
                  </w:r>
                </w:p>
              </w:tc>
              <w:tc>
                <w:tcPr>
                  <w:tcW w:w="754" w:type="pct"/>
                  <w:noWrap w:val="0"/>
                  <w:vAlign w:val="center"/>
                </w:tcPr>
                <w:p>
                  <w:pPr>
                    <w:pStyle w:val="30"/>
                    <w:bidi w:val="0"/>
                    <w:ind w:left="0" w:leftChars="0" w:firstLine="0" w:firstLineChars="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搅拌楼（</w:t>
                  </w:r>
                  <w:r>
                    <w:rPr>
                      <w:rFonts w:hint="default" w:ascii="Times New Roman" w:hAnsi="Times New Roman" w:cs="Times New Roman"/>
                      <w:color w:val="auto"/>
                      <w:sz w:val="21"/>
                      <w:szCs w:val="21"/>
                      <w:lang w:val="en-US" w:eastAsia="zh-CN"/>
                    </w:rPr>
                    <w:t>DA0</w:t>
                  </w:r>
                  <w:r>
                    <w:rPr>
                      <w:rFonts w:hint="eastAsia" w:cs="Times New Roman"/>
                      <w:color w:val="auto"/>
                      <w:sz w:val="21"/>
                      <w:szCs w:val="21"/>
                      <w:lang w:val="en-US" w:eastAsia="zh-CN"/>
                    </w:rPr>
                    <w:t>01</w:t>
                  </w:r>
                  <w:r>
                    <w:rPr>
                      <w:rFonts w:hint="default" w:ascii="Times New Roman" w:hAnsi="Times New Roman" w:cs="Times New Roman"/>
                      <w:color w:val="auto"/>
                      <w:sz w:val="21"/>
                      <w:szCs w:val="21"/>
                      <w:lang w:val="en-US" w:eastAsia="zh-CN"/>
                    </w:rPr>
                    <w:t>)</w:t>
                  </w:r>
                </w:p>
              </w:tc>
              <w:tc>
                <w:tcPr>
                  <w:tcW w:w="757" w:type="pct"/>
                  <w:noWrap w:val="0"/>
                  <w:vAlign w:val="center"/>
                </w:tcPr>
                <w:p>
                  <w:pPr>
                    <w:pStyle w:val="30"/>
                    <w:bidi w:val="0"/>
                    <w:ind w:left="0" w:leftChars="0" w:firstLine="0" w:firstLineChars="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一般排放口</w:t>
                  </w:r>
                </w:p>
              </w:tc>
              <w:tc>
                <w:tcPr>
                  <w:tcW w:w="619" w:type="pc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40" w:firstLine="0" w:firstLineChars="0"/>
                    <w:jc w:val="center"/>
                    <w:textAlignment w:val="auto"/>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颗粒物</w:t>
                  </w:r>
                </w:p>
              </w:tc>
              <w:tc>
                <w:tcPr>
                  <w:tcW w:w="1176" w:type="pc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4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 xml:space="preserve"> </w:t>
                  </w:r>
                </w:p>
              </w:tc>
              <w:tc>
                <w:tcPr>
                  <w:tcW w:w="581" w:type="pc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4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15</w:t>
                  </w:r>
                  <w:r>
                    <w:rPr>
                      <w:rFonts w:hint="eastAsia" w:ascii="Times New Roman" w:hAnsi="Times New Roman" w:eastAsia="宋体" w:cs="Times New Roman"/>
                      <w:b w:val="0"/>
                      <w:bCs w:val="0"/>
                      <w:color w:val="auto"/>
                      <w:sz w:val="21"/>
                      <w:szCs w:val="21"/>
                      <w:vertAlign w:val="baseline"/>
                      <w:lang w:val="en-US" w:eastAsia="zh-CN"/>
                    </w:rPr>
                    <w:t>米</w:t>
                  </w:r>
                </w:p>
              </w:tc>
              <w:tc>
                <w:tcPr>
                  <w:tcW w:w="353" w:type="pc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4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0.</w:t>
                  </w:r>
                  <w:r>
                    <w:rPr>
                      <w:rFonts w:hint="eastAsia" w:ascii="Times New Roman" w:hAnsi="Times New Roman" w:cs="Times New Roman"/>
                      <w:b w:val="0"/>
                      <w:bCs w:val="0"/>
                      <w:color w:val="auto"/>
                      <w:sz w:val="21"/>
                      <w:szCs w:val="21"/>
                      <w:vertAlign w:val="baseline"/>
                      <w:lang w:val="en-US" w:eastAsia="zh-CN"/>
                    </w:rPr>
                    <w:t>3</w:t>
                  </w:r>
                </w:p>
              </w:tc>
              <w:tc>
                <w:tcPr>
                  <w:tcW w:w="419" w:type="pct"/>
                  <w:noWrap w:val="0"/>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40"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25℃</w:t>
                  </w:r>
                </w:p>
              </w:tc>
            </w:tr>
          </w:tbl>
          <w:p>
            <w:pPr>
              <w:bidi w:val="0"/>
              <w:ind w:left="0" w:leftChars="0" w:firstLine="0" w:firstLineChars="0"/>
              <w:rPr>
                <w:rFonts w:hint="default" w:ascii="Times New Roman" w:hAnsi="Times New Roman" w:cs="Times New Roman"/>
                <w:b/>
                <w:bCs/>
                <w:lang w:val="en-US" w:eastAsia="zh-CN"/>
              </w:rPr>
            </w:pPr>
            <w:r>
              <w:rPr>
                <w:rFonts w:hint="default" w:ascii="Times New Roman" w:hAnsi="Times New Roman" w:cs="Times New Roman"/>
                <w:b/>
                <w:bCs/>
                <w:lang w:val="en-US" w:eastAsia="zh-CN"/>
              </w:rPr>
              <w:t>1.</w:t>
            </w:r>
            <w:r>
              <w:rPr>
                <w:rFonts w:hint="eastAsia" w:cs="Times New Roman"/>
                <w:b/>
                <w:bCs/>
                <w:lang w:val="en-US" w:eastAsia="zh-CN"/>
              </w:rPr>
              <w:t>6</w:t>
            </w:r>
            <w:r>
              <w:rPr>
                <w:rFonts w:hint="default" w:ascii="Times New Roman" w:hAnsi="Times New Roman" w:cs="Times New Roman"/>
                <w:b/>
                <w:bCs/>
                <w:lang w:val="en-US" w:eastAsia="zh-CN"/>
              </w:rPr>
              <w:t>监测计划</w:t>
            </w:r>
          </w:p>
          <w:p>
            <w:pPr>
              <w:bidi w:val="0"/>
              <w:rPr>
                <w:rFonts w:hint="default" w:ascii="Times New Roman" w:hAnsi="Times New Roman" w:cs="Times New Roman"/>
                <w:lang w:val="en-US" w:eastAsia="zh-CN"/>
              </w:rPr>
            </w:pPr>
            <w:r>
              <w:rPr>
                <w:rFonts w:ascii="Times New Roman" w:hAnsi="Times New Roman" w:cs="Times New Roman" w:eastAsiaTheme="minorEastAsia"/>
                <w:color w:val="auto"/>
                <w:sz w:val="24"/>
                <w:highlight w:val="none"/>
                <w:lang w:val="en-US"/>
              </w:rPr>
              <w:t>根据《</w:t>
            </w:r>
            <w:r>
              <w:rPr>
                <w:rFonts w:hint="eastAsia" w:ascii="Times New Roman" w:hAnsi="Times New Roman" w:cs="Times New Roman" w:eastAsiaTheme="minorEastAsia"/>
                <w:color w:val="auto"/>
                <w:sz w:val="24"/>
                <w:highlight w:val="none"/>
                <w:lang w:val="en-US"/>
              </w:rPr>
              <w:t>排污单位自行监测技术指南  总则</w:t>
            </w:r>
            <w:r>
              <w:rPr>
                <w:rFonts w:ascii="Times New Roman" w:hAnsi="Times New Roman" w:cs="Times New Roman" w:eastAsiaTheme="minorEastAsia"/>
                <w:color w:val="auto"/>
                <w:sz w:val="24"/>
                <w:highlight w:val="none"/>
                <w:lang w:val="en-US"/>
              </w:rPr>
              <w:t>》（HJ</w:t>
            </w:r>
            <w:r>
              <w:rPr>
                <w:rFonts w:hint="eastAsia" w:ascii="Times New Roman" w:hAnsi="Times New Roman" w:cs="Times New Roman" w:eastAsiaTheme="minorEastAsia"/>
                <w:color w:val="auto"/>
                <w:sz w:val="24"/>
                <w:highlight w:val="none"/>
                <w:lang w:val="en-US"/>
              </w:rPr>
              <w:t>819-2017</w:t>
            </w:r>
            <w:r>
              <w:rPr>
                <w:rFonts w:ascii="Times New Roman" w:hAnsi="Times New Roman" w:cs="Times New Roman" w:eastAsiaTheme="minorEastAsia"/>
                <w:color w:val="auto"/>
                <w:sz w:val="24"/>
                <w:highlight w:val="none"/>
                <w:lang w:val="en-US"/>
              </w:rPr>
              <w:t>），项目应制定废气污染源监测</w:t>
            </w:r>
            <w:r>
              <w:rPr>
                <w:rFonts w:hint="default" w:ascii="Times New Roman" w:hAnsi="Times New Roman" w:cs="Times New Roman"/>
              </w:rPr>
              <w:t>计划见</w:t>
            </w:r>
            <w:r>
              <w:rPr>
                <w:rFonts w:hint="default" w:ascii="Times New Roman" w:hAnsi="Times New Roman" w:cs="Times New Roman"/>
                <w:lang w:eastAsia="zh-CN"/>
              </w:rPr>
              <w:t>下</w:t>
            </w:r>
            <w:r>
              <w:rPr>
                <w:rFonts w:hint="default" w:ascii="Times New Roman" w:hAnsi="Times New Roman" w:cs="Times New Roman"/>
              </w:rPr>
              <w:t>表</w:t>
            </w:r>
            <w:r>
              <w:rPr>
                <w:rFonts w:hint="default" w:ascii="Times New Roman" w:hAnsi="Times New Roman" w:cs="Times New Roman"/>
                <w:lang w:val="en-US" w:eastAsia="zh-CN"/>
              </w:rPr>
              <w:t>4-</w:t>
            </w:r>
            <w:r>
              <w:rPr>
                <w:rFonts w:hint="eastAsia" w:cs="Times New Roman"/>
                <w:lang w:val="en-US" w:eastAsia="zh-CN"/>
              </w:rPr>
              <w:t>8</w:t>
            </w:r>
            <w:r>
              <w:rPr>
                <w:rFonts w:hint="default" w:ascii="Times New Roman" w:hAnsi="Times New Roman" w:cs="Times New Roman"/>
                <w:lang w:val="en-US" w:eastAsia="zh-CN"/>
              </w:rPr>
              <w:t>。</w:t>
            </w:r>
          </w:p>
          <w:p>
            <w:pPr>
              <w:pStyle w:val="30"/>
              <w:bidi w:val="0"/>
              <w:rPr>
                <w:rFonts w:hint="default" w:ascii="Times New Roman" w:hAnsi="Times New Roman" w:cs="Times New Roman"/>
                <w:b/>
                <w:bCs/>
              </w:rPr>
            </w:pPr>
            <w:r>
              <w:rPr>
                <w:rFonts w:hint="default" w:ascii="Times New Roman" w:hAnsi="Times New Roman" w:cs="Times New Roman"/>
                <w:b/>
                <w:bCs/>
              </w:rPr>
              <w:t>表</w:t>
            </w:r>
            <w:r>
              <w:rPr>
                <w:rFonts w:hint="default" w:ascii="Times New Roman" w:hAnsi="Times New Roman" w:cs="Times New Roman"/>
                <w:b/>
                <w:bCs/>
                <w:lang w:val="en-US" w:eastAsia="zh-CN"/>
              </w:rPr>
              <w:t>4-</w:t>
            </w:r>
            <w:r>
              <w:rPr>
                <w:rFonts w:hint="eastAsia" w:cs="Times New Roman"/>
                <w:b/>
                <w:bCs/>
                <w:lang w:val="en-US" w:eastAsia="zh-CN"/>
              </w:rPr>
              <w:t>8</w:t>
            </w:r>
            <w:r>
              <w:rPr>
                <w:rFonts w:hint="default" w:ascii="Times New Roman" w:hAnsi="Times New Roman" w:cs="Times New Roman"/>
                <w:b/>
                <w:bCs/>
                <w:lang w:val="en-US" w:eastAsia="zh-CN"/>
              </w:rPr>
              <w:t xml:space="preserve">  </w:t>
            </w:r>
            <w:r>
              <w:rPr>
                <w:rFonts w:hint="default" w:ascii="Times New Roman" w:hAnsi="Times New Roman" w:cs="Times New Roman"/>
                <w:b/>
                <w:bCs/>
              </w:rPr>
              <w:t xml:space="preserve"> 运营期</w:t>
            </w:r>
            <w:r>
              <w:rPr>
                <w:rFonts w:hint="default" w:ascii="Times New Roman" w:hAnsi="Times New Roman" w:cs="Times New Roman"/>
                <w:b/>
                <w:bCs/>
                <w:lang w:val="en-US" w:eastAsia="zh-CN"/>
              </w:rPr>
              <w:t>大气</w:t>
            </w:r>
            <w:r>
              <w:rPr>
                <w:rFonts w:hint="default" w:ascii="Times New Roman" w:hAnsi="Times New Roman" w:cs="Times New Roman"/>
                <w:b/>
                <w:bCs/>
              </w:rPr>
              <w:t>污染物监测</w:t>
            </w:r>
            <w:r>
              <w:rPr>
                <w:rFonts w:hint="default" w:ascii="Times New Roman" w:hAnsi="Times New Roman" w:cs="Times New Roman"/>
                <w:b/>
                <w:bCs/>
                <w:lang w:val="en-US" w:eastAsia="zh-CN"/>
              </w:rPr>
              <w:t>计划表</w:t>
            </w:r>
          </w:p>
          <w:tbl>
            <w:tblPr>
              <w:tblStyle w:val="23"/>
              <w:tblW w:w="49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1376"/>
              <w:gridCol w:w="1669"/>
              <w:gridCol w:w="4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084" w:type="pct"/>
                  <w:noWrap w:val="0"/>
                  <w:vAlign w:val="center"/>
                </w:tcPr>
                <w:p>
                  <w:pPr>
                    <w:pageBreakBefore w:val="0"/>
                    <w:widowControl w:val="0"/>
                    <w:kinsoku/>
                    <w:wordWrap/>
                    <w:overflowPunct/>
                    <w:topLinePunct w:val="0"/>
                    <w:autoSpaceDE/>
                    <w:autoSpaceDN/>
                    <w:bidi w:val="0"/>
                    <w:snapToGrid/>
                    <w:spacing w:line="240" w:lineRule="auto"/>
                    <w:ind w:firstLine="0" w:firstLineChars="0"/>
                    <w:jc w:val="center"/>
                    <w:textAlignment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监测点位</w:t>
                  </w:r>
                </w:p>
              </w:tc>
              <w:tc>
                <w:tcPr>
                  <w:tcW w:w="755" w:type="pct"/>
                  <w:noWrap w:val="0"/>
                  <w:vAlign w:val="center"/>
                </w:tcPr>
                <w:p>
                  <w:pPr>
                    <w:pageBreakBefore w:val="0"/>
                    <w:widowControl w:val="0"/>
                    <w:kinsoku/>
                    <w:wordWrap/>
                    <w:overflowPunct/>
                    <w:topLinePunct w:val="0"/>
                    <w:autoSpaceDE/>
                    <w:autoSpaceDN/>
                    <w:bidi w:val="0"/>
                    <w:snapToGrid/>
                    <w:spacing w:line="240" w:lineRule="auto"/>
                    <w:ind w:firstLine="0" w:firstLineChars="0"/>
                    <w:jc w:val="center"/>
                    <w:textAlignment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监测指标</w:t>
                  </w:r>
                </w:p>
              </w:tc>
              <w:tc>
                <w:tcPr>
                  <w:tcW w:w="916" w:type="pct"/>
                  <w:noWrap w:val="0"/>
                  <w:vAlign w:val="center"/>
                </w:tcPr>
                <w:p>
                  <w:pPr>
                    <w:pageBreakBefore w:val="0"/>
                    <w:widowControl w:val="0"/>
                    <w:kinsoku/>
                    <w:wordWrap/>
                    <w:overflowPunct/>
                    <w:topLinePunct w:val="0"/>
                    <w:autoSpaceDE/>
                    <w:autoSpaceDN/>
                    <w:bidi w:val="0"/>
                    <w:snapToGrid/>
                    <w:spacing w:line="240" w:lineRule="auto"/>
                    <w:ind w:firstLine="0" w:firstLineChars="0"/>
                    <w:jc w:val="center"/>
                    <w:textAlignment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监测频次</w:t>
                  </w:r>
                </w:p>
              </w:tc>
              <w:tc>
                <w:tcPr>
                  <w:tcW w:w="2243" w:type="pct"/>
                  <w:noWrap w:val="0"/>
                  <w:vAlign w:val="center"/>
                </w:tcPr>
                <w:p>
                  <w:pPr>
                    <w:pageBreakBefore w:val="0"/>
                    <w:widowControl w:val="0"/>
                    <w:kinsoku/>
                    <w:wordWrap/>
                    <w:overflowPunct/>
                    <w:topLinePunct w:val="0"/>
                    <w:autoSpaceDE/>
                    <w:autoSpaceDN/>
                    <w:bidi w:val="0"/>
                    <w:snapToGrid/>
                    <w:spacing w:line="240" w:lineRule="auto"/>
                    <w:ind w:firstLine="0" w:firstLineChars="0"/>
                    <w:jc w:val="center"/>
                    <w:textAlignment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84" w:type="pct"/>
                  <w:noWrap w:val="0"/>
                  <w:vAlign w:val="center"/>
                </w:tcPr>
                <w:p>
                  <w:pPr>
                    <w:pageBreakBefore w:val="0"/>
                    <w:widowControl w:val="0"/>
                    <w:kinsoku/>
                    <w:wordWrap/>
                    <w:overflowPunct/>
                    <w:topLinePunct w:val="0"/>
                    <w:autoSpaceDE/>
                    <w:autoSpaceDN/>
                    <w:bidi w:val="0"/>
                    <w:adjustRightInd w:val="0"/>
                    <w:snapToGrid/>
                    <w:spacing w:line="240" w:lineRule="auto"/>
                    <w:ind w:firstLine="0" w:firstLineChars="0"/>
                    <w:jc w:val="center"/>
                    <w:rPr>
                      <w:rFonts w:hint="default" w:ascii="Times New Roman" w:hAnsi="Times New Roman" w:cs="Times New Roman"/>
                      <w:bCs/>
                      <w:color w:val="auto"/>
                      <w:sz w:val="21"/>
                      <w:szCs w:val="21"/>
                      <w:lang w:val="en-US" w:eastAsia="zh-CN"/>
                    </w:rPr>
                  </w:pPr>
                  <w:r>
                    <w:rPr>
                      <w:rFonts w:hint="eastAsia" w:cs="Times New Roman"/>
                      <w:bCs/>
                      <w:color w:val="auto"/>
                      <w:sz w:val="21"/>
                      <w:szCs w:val="21"/>
                      <w:lang w:val="en-US" w:eastAsia="zh-CN"/>
                    </w:rPr>
                    <w:t>DA001</w:t>
                  </w:r>
                </w:p>
              </w:tc>
              <w:tc>
                <w:tcPr>
                  <w:tcW w:w="755" w:type="pct"/>
                  <w:noWrap w:val="0"/>
                  <w:vAlign w:val="center"/>
                </w:tcPr>
                <w:p>
                  <w:pPr>
                    <w:pStyle w:val="42"/>
                    <w:pageBreakBefore w:val="0"/>
                    <w:widowControl w:val="0"/>
                    <w:kinsoku/>
                    <w:wordWrap/>
                    <w:overflowPunct/>
                    <w:topLinePunct w:val="0"/>
                    <w:autoSpaceDE/>
                    <w:autoSpaceDN/>
                    <w:bidi w:val="0"/>
                    <w:snapToGrid/>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颗粒物</w:t>
                  </w:r>
                </w:p>
              </w:tc>
              <w:tc>
                <w:tcPr>
                  <w:tcW w:w="916" w:type="pct"/>
                  <w:noWrap w:val="0"/>
                  <w:vAlign w:val="center"/>
                </w:tcPr>
                <w:p>
                  <w:pPr>
                    <w:pageBreakBefore w:val="0"/>
                    <w:widowControl w:val="0"/>
                    <w:kinsoku/>
                    <w:wordWrap/>
                    <w:overflowPunct/>
                    <w:topLinePunct w:val="0"/>
                    <w:autoSpaceDE/>
                    <w:autoSpaceDN/>
                    <w:bidi w:val="0"/>
                    <w:snapToGrid/>
                    <w:spacing w:line="240" w:lineRule="auto"/>
                    <w:ind w:firstLine="420" w:firstLineChars="200"/>
                    <w:jc w:val="both"/>
                    <w:rPr>
                      <w:rFonts w:hint="default" w:ascii="Times New Roman" w:hAnsi="Times New Roman" w:eastAsia="宋体" w:cs="Times New Roman"/>
                      <w:color w:val="auto"/>
                      <w:kern w:val="2"/>
                      <w:sz w:val="21"/>
                      <w:szCs w:val="21"/>
                      <w:lang w:val="en-US" w:eastAsia="zh-CN" w:bidi="ar-SA"/>
                    </w:rPr>
                  </w:pPr>
                  <w:r>
                    <w:rPr>
                      <w:rStyle w:val="43"/>
                      <w:rFonts w:hint="default" w:ascii="Times New Roman" w:hAnsi="Times New Roman" w:eastAsia="宋体" w:cs="Times New Roman"/>
                      <w:color w:val="auto"/>
                      <w:sz w:val="21"/>
                      <w:szCs w:val="21"/>
                    </w:rPr>
                    <w:t>1次/年</w:t>
                  </w:r>
                </w:p>
              </w:tc>
              <w:tc>
                <w:tcPr>
                  <w:tcW w:w="2243" w:type="pct"/>
                  <w:noWrap w:val="0"/>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000000"/>
                      <w:kern w:val="0"/>
                      <w:sz w:val="21"/>
                      <w:szCs w:val="21"/>
                      <w:lang w:val="en-US" w:eastAsia="zh-CN" w:bidi="ar"/>
                    </w:rPr>
                    <w:t>《水泥工业大气污染物排放标准</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（GB4915-2013）</w:t>
                  </w:r>
                  <w:r>
                    <w:rPr>
                      <w:rFonts w:hint="eastAsia" w:cs="Times New Roman"/>
                      <w:color w:val="000000"/>
                      <w:kern w:val="0"/>
                      <w:sz w:val="21"/>
                      <w:szCs w:val="21"/>
                      <w:lang w:val="en-US" w:eastAsia="zh-CN" w:bidi="ar"/>
                    </w:rPr>
                    <w:t>表1</w:t>
                  </w:r>
                  <w:r>
                    <w:rPr>
                      <w:rFonts w:hint="default" w:ascii="Times New Roman" w:hAnsi="Times New Roman" w:eastAsia="宋体" w:cs="Times New Roman"/>
                      <w:color w:val="000000"/>
                      <w:kern w:val="0"/>
                      <w:sz w:val="21"/>
                      <w:szCs w:val="21"/>
                      <w:lang w:val="en-US" w:eastAsia="zh-CN" w:bidi="ar"/>
                    </w:rPr>
                    <w:t>中</w:t>
                  </w:r>
                  <w:r>
                    <w:rPr>
                      <w:rFonts w:hint="eastAsia" w:cs="Times New Roman"/>
                      <w:color w:val="000000"/>
                      <w:kern w:val="0"/>
                      <w:sz w:val="21"/>
                      <w:szCs w:val="21"/>
                      <w:lang w:val="en-US" w:eastAsia="zh-CN" w:bidi="ar"/>
                    </w:rPr>
                    <w:t>有</w:t>
                  </w:r>
                  <w:r>
                    <w:rPr>
                      <w:rFonts w:hint="default" w:ascii="Times New Roman" w:hAnsi="Times New Roman" w:eastAsia="宋体" w:cs="Times New Roman"/>
                      <w:color w:val="000000"/>
                      <w:kern w:val="0"/>
                      <w:sz w:val="21"/>
                      <w:szCs w:val="21"/>
                      <w:lang w:val="en-US" w:eastAsia="zh-CN" w:bidi="ar"/>
                    </w:rPr>
                    <w:t>组织排放限。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084" w:type="pct"/>
                  <w:noWrap w:val="0"/>
                  <w:vAlign w:val="center"/>
                </w:tcPr>
                <w:p>
                  <w:pPr>
                    <w:pageBreakBefore w:val="0"/>
                    <w:widowControl w:val="0"/>
                    <w:kinsoku/>
                    <w:wordWrap/>
                    <w:overflowPunct/>
                    <w:topLinePunct w:val="0"/>
                    <w:autoSpaceDE/>
                    <w:autoSpaceDN/>
                    <w:bidi w:val="0"/>
                    <w:adjustRightInd w:val="0"/>
                    <w:snapToGrid/>
                    <w:spacing w:line="240" w:lineRule="auto"/>
                    <w:ind w:firstLine="0" w:firstLineChars="0"/>
                    <w:jc w:val="center"/>
                    <w:rPr>
                      <w:rFonts w:hint="default" w:ascii="Times New Roman" w:hAnsi="Times New Roman" w:cs="Times New Roman"/>
                      <w:bCs/>
                      <w:color w:val="auto"/>
                      <w:sz w:val="21"/>
                      <w:szCs w:val="21"/>
                      <w:lang w:eastAsia="zh-CN"/>
                    </w:rPr>
                  </w:pPr>
                  <w:r>
                    <w:rPr>
                      <w:rFonts w:hint="default" w:ascii="Times New Roman" w:hAnsi="Times New Roman" w:cs="Times New Roman"/>
                      <w:bCs/>
                      <w:color w:val="auto"/>
                      <w:sz w:val="21"/>
                      <w:szCs w:val="21"/>
                      <w:lang w:eastAsia="zh-CN"/>
                    </w:rPr>
                    <w:t>厂界</w:t>
                  </w:r>
                </w:p>
              </w:tc>
              <w:tc>
                <w:tcPr>
                  <w:tcW w:w="755" w:type="pct"/>
                  <w:noWrap w:val="0"/>
                  <w:vAlign w:val="center"/>
                </w:tcPr>
                <w:p>
                  <w:pPr>
                    <w:pStyle w:val="42"/>
                    <w:pageBreakBefore w:val="0"/>
                    <w:widowControl w:val="0"/>
                    <w:kinsoku/>
                    <w:wordWrap/>
                    <w:overflowPunct/>
                    <w:topLinePunct w:val="0"/>
                    <w:autoSpaceDE/>
                    <w:autoSpaceDN/>
                    <w:bidi w:val="0"/>
                    <w:snapToGrid/>
                    <w:spacing w:line="240" w:lineRule="auto"/>
                    <w:jc w:val="center"/>
                    <w:rPr>
                      <w:rStyle w:val="43"/>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lang w:val="en-US" w:eastAsia="zh-CN"/>
                    </w:rPr>
                    <w:t>颗粒物</w:t>
                  </w:r>
                </w:p>
              </w:tc>
              <w:tc>
                <w:tcPr>
                  <w:tcW w:w="916" w:type="pct"/>
                  <w:noWrap w:val="0"/>
                  <w:vAlign w:val="center"/>
                </w:tcPr>
                <w:p>
                  <w:pPr>
                    <w:pageBreakBefore w:val="0"/>
                    <w:widowControl w:val="0"/>
                    <w:kinsoku/>
                    <w:wordWrap/>
                    <w:overflowPunct/>
                    <w:topLinePunct w:val="0"/>
                    <w:autoSpaceDE/>
                    <w:autoSpaceDN/>
                    <w:bidi w:val="0"/>
                    <w:snapToGrid/>
                    <w:spacing w:line="240" w:lineRule="auto"/>
                    <w:jc w:val="both"/>
                    <w:rPr>
                      <w:rStyle w:val="43"/>
                      <w:rFonts w:hint="default" w:ascii="Times New Roman" w:hAnsi="Times New Roman" w:eastAsia="宋体" w:cs="Times New Roman"/>
                      <w:color w:val="auto"/>
                      <w:sz w:val="21"/>
                      <w:szCs w:val="21"/>
                    </w:rPr>
                  </w:pPr>
                  <w:r>
                    <w:rPr>
                      <w:rStyle w:val="43"/>
                      <w:rFonts w:hint="default" w:ascii="Times New Roman" w:hAnsi="Times New Roman" w:eastAsia="宋体" w:cs="Times New Roman"/>
                      <w:color w:val="auto"/>
                      <w:sz w:val="21"/>
                      <w:szCs w:val="21"/>
                    </w:rPr>
                    <w:t>1次/年</w:t>
                  </w:r>
                </w:p>
              </w:tc>
              <w:tc>
                <w:tcPr>
                  <w:tcW w:w="2243" w:type="pct"/>
                  <w:noWrap w:val="0"/>
                  <w:vAlign w:val="center"/>
                </w:tcPr>
                <w:p>
                  <w:pPr>
                    <w:keepNext w:val="0"/>
                    <w:keepLines w:val="0"/>
                    <w:widowControl/>
                    <w:suppressLineNumbers w:val="0"/>
                    <w:spacing w:line="240" w:lineRule="auto"/>
                    <w:ind w:left="0" w:leftChars="0" w:firstLine="0" w:firstLineChars="0"/>
                    <w:jc w:val="center"/>
                    <w:rPr>
                      <w:rStyle w:val="43"/>
                      <w:rFonts w:hint="default" w:ascii="Times New Roman" w:hAnsi="Times New Roman" w:eastAsia="宋体" w:cs="Times New Roman"/>
                      <w:color w:val="auto"/>
                      <w:sz w:val="21"/>
                      <w:szCs w:val="21"/>
                    </w:rPr>
                  </w:pPr>
                  <w:r>
                    <w:rPr>
                      <w:rFonts w:hint="default" w:ascii="Times New Roman" w:hAnsi="Times New Roman" w:eastAsia="宋体" w:cs="Times New Roman"/>
                      <w:color w:val="000000"/>
                      <w:kern w:val="0"/>
                      <w:sz w:val="21"/>
                      <w:szCs w:val="21"/>
                      <w:lang w:val="en-US" w:eastAsia="zh-CN" w:bidi="ar"/>
                    </w:rPr>
                    <w:t>《水泥工业大气污染物排放标准</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（GB4915-2013）</w:t>
                  </w:r>
                  <w:r>
                    <w:rPr>
                      <w:rFonts w:hint="eastAsia" w:cs="Times New Roman"/>
                      <w:color w:val="000000"/>
                      <w:kern w:val="0"/>
                      <w:sz w:val="21"/>
                      <w:szCs w:val="21"/>
                      <w:lang w:val="en-US" w:eastAsia="zh-CN" w:bidi="ar"/>
                    </w:rPr>
                    <w:t>表3</w:t>
                  </w:r>
                  <w:r>
                    <w:rPr>
                      <w:rFonts w:hint="default" w:ascii="Times New Roman" w:hAnsi="Times New Roman" w:eastAsia="宋体" w:cs="Times New Roman"/>
                      <w:color w:val="000000"/>
                      <w:kern w:val="0"/>
                      <w:sz w:val="21"/>
                      <w:szCs w:val="21"/>
                      <w:lang w:val="en-US" w:eastAsia="zh-CN" w:bidi="ar"/>
                    </w:rPr>
                    <w:t>中无组织排放限。</w:t>
                  </w:r>
                </w:p>
              </w:tc>
            </w:tr>
          </w:tbl>
          <w:p>
            <w:pPr>
              <w:bidi w:val="0"/>
              <w:ind w:left="0" w:leftChars="0" w:firstLine="0" w:firstLineChars="0"/>
              <w:rPr>
                <w:rFonts w:hint="default" w:ascii="Times New Roman" w:hAnsi="Times New Roman" w:cs="Times New Roman"/>
                <w:lang w:val="en-US" w:eastAsia="zh-CN"/>
              </w:rPr>
            </w:pPr>
            <w:r>
              <w:rPr>
                <w:rFonts w:hint="default" w:ascii="Times New Roman" w:hAnsi="Times New Roman" w:cs="Times New Roman"/>
                <w:b/>
                <w:bCs/>
                <w:lang w:val="en-US" w:eastAsia="zh-CN"/>
              </w:rPr>
              <w:t>2.运营期地表水环境影响及保护措施</w:t>
            </w:r>
          </w:p>
          <w:p>
            <w:pPr>
              <w:keepNext w:val="0"/>
              <w:keepLines w:val="0"/>
              <w:widowControl/>
              <w:suppressLineNumbers w:val="0"/>
              <w:ind w:left="0" w:leftChars="0" w:firstLine="0" w:firstLineChars="0"/>
              <w:jc w:val="left"/>
              <w:rPr>
                <w:rFonts w:hint="default" w:ascii="Times New Roman" w:hAnsi="Times New Roman" w:eastAsia="宋体" w:cs="Times New Roman"/>
                <w:b/>
                <w:bCs/>
                <w:color w:val="auto"/>
                <w:lang w:val="en-US" w:eastAsia="zh-CN"/>
              </w:rPr>
            </w:pPr>
            <w:r>
              <w:rPr>
                <w:rFonts w:hint="default" w:ascii="Times New Roman" w:hAnsi="Times New Roman" w:cs="Times New Roman"/>
                <w:b/>
                <w:bCs/>
                <w:color w:val="auto"/>
                <w:lang w:val="en-US" w:eastAsia="zh-CN"/>
              </w:rPr>
              <w:t>2.1废水源强分析</w:t>
            </w:r>
          </w:p>
          <w:p>
            <w:pPr>
              <w:keepNext w:val="0"/>
              <w:keepLines w:val="0"/>
              <w:widowControl/>
              <w:suppressLineNumbers w:val="0"/>
              <w:spacing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color w:val="auto"/>
              </w:rPr>
              <w:t>本项目运营期间产生的</w:t>
            </w:r>
            <w:r>
              <w:rPr>
                <w:rFonts w:hint="eastAsia" w:cs="Times New Roman"/>
                <w:color w:val="auto"/>
                <w:lang w:val="en-US" w:eastAsia="zh-CN"/>
              </w:rPr>
              <w:t>废水</w:t>
            </w:r>
            <w:r>
              <w:rPr>
                <w:rFonts w:hint="default" w:ascii="Times New Roman" w:hAnsi="Times New Roman" w:cs="Times New Roman"/>
                <w:color w:val="auto"/>
              </w:rPr>
              <w:t>主要是职工产生的生活污水</w:t>
            </w:r>
            <w:r>
              <w:rPr>
                <w:rFonts w:hint="eastAsia" w:cs="Times New Roman"/>
                <w:color w:val="auto"/>
                <w:lang w:val="en-US" w:eastAsia="zh-CN"/>
              </w:rPr>
              <w:t>及冲洗工序的废水</w:t>
            </w:r>
            <w:r>
              <w:rPr>
                <w:rFonts w:hint="default" w:ascii="Times New Roman" w:hAnsi="Times New Roman" w:cs="Times New Roman"/>
                <w:color w:val="auto"/>
              </w:rPr>
              <w:t>。</w:t>
            </w:r>
            <w:r>
              <w:rPr>
                <w:rFonts w:hint="default" w:ascii="Times New Roman" w:hAnsi="Times New Roman" w:eastAsia="宋体" w:cs="Times New Roman"/>
                <w:color w:val="000000"/>
                <w:kern w:val="0"/>
                <w:sz w:val="24"/>
                <w:szCs w:val="24"/>
                <w:lang w:val="en-US" w:eastAsia="zh-CN" w:bidi="ar"/>
              </w:rPr>
              <w:t>生产废水经沉淀池沉淀后全部回用于生产，不外排。</w:t>
            </w:r>
          </w:p>
          <w:p>
            <w:pPr>
              <w:keepNext w:val="0"/>
              <w:keepLines w:val="0"/>
              <w:widowControl/>
              <w:suppressLineNumbers w:val="0"/>
              <w:spacing w:line="360" w:lineRule="auto"/>
              <w:ind w:left="0" w:leftChars="0" w:firstLine="480" w:firstLineChars="200"/>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根据前述</w:t>
            </w:r>
            <w:r>
              <w:rPr>
                <w:rFonts w:hint="eastAsia"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给排水分析</w:t>
            </w:r>
            <w:r>
              <w:rPr>
                <w:rFonts w:hint="eastAsia"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章节相关内容可知：本项目运营后厂区职工生活污水排放量为</w:t>
            </w:r>
            <w:r>
              <w:rPr>
                <w:rFonts w:hint="eastAsia" w:cs="Times New Roman"/>
                <w:color w:val="auto"/>
                <w:highlight w:val="none"/>
                <w:lang w:val="en-US" w:eastAsia="zh-CN"/>
              </w:rPr>
              <w:t>1.92</w:t>
            </w:r>
            <w:r>
              <w:rPr>
                <w:rFonts w:hint="eastAsia" w:ascii="Times New Roman" w:hAnsi="Times New Roman" w:eastAsia="宋体" w:cs="Times New Roman"/>
                <w:color w:val="auto"/>
                <w:highlight w:val="none"/>
                <w:lang w:val="en-US" w:eastAsia="zh-CN"/>
              </w:rPr>
              <w:t>m</w:t>
            </w:r>
            <w:r>
              <w:rPr>
                <w:rFonts w:hint="eastAsia" w:ascii="Times New Roman" w:hAnsi="Times New Roman" w:eastAsia="宋体" w:cs="Times New Roman"/>
                <w:color w:val="auto"/>
                <w:highlight w:val="none"/>
                <w:vertAlign w:val="superscript"/>
                <w:lang w:val="en-US" w:eastAsia="zh-CN"/>
              </w:rPr>
              <w:t>3</w:t>
            </w:r>
            <w:r>
              <w:rPr>
                <w:rFonts w:hint="eastAsia" w:ascii="Times New Roman" w:hAnsi="Times New Roman" w:eastAsia="宋体" w:cs="Times New Roman"/>
                <w:color w:val="auto"/>
                <w:highlight w:val="none"/>
                <w:lang w:val="en-US" w:eastAsia="zh-CN"/>
              </w:rPr>
              <w:t>/d（</w:t>
            </w:r>
            <w:r>
              <w:rPr>
                <w:rFonts w:hint="eastAsia" w:cs="Times New Roman"/>
                <w:color w:val="auto"/>
                <w:highlight w:val="none"/>
                <w:lang w:val="en-US" w:eastAsia="zh-CN"/>
              </w:rPr>
              <w:t>528</w:t>
            </w:r>
            <w:r>
              <w:rPr>
                <w:rFonts w:hint="eastAsia" w:ascii="Times New Roman" w:hAnsi="Times New Roman" w:eastAsia="宋体" w:cs="Times New Roman"/>
                <w:color w:val="auto"/>
                <w:highlight w:val="none"/>
                <w:lang w:val="en-US" w:eastAsia="zh-CN"/>
              </w:rPr>
              <w:t>m</w:t>
            </w:r>
            <w:r>
              <w:rPr>
                <w:rFonts w:hint="eastAsia" w:ascii="Times New Roman" w:hAnsi="Times New Roman" w:eastAsia="宋体" w:cs="Times New Roman"/>
                <w:color w:val="auto"/>
                <w:highlight w:val="none"/>
                <w:vertAlign w:val="superscript"/>
                <w:lang w:val="en-US" w:eastAsia="zh-CN"/>
              </w:rPr>
              <w:t>3</w:t>
            </w:r>
            <w:r>
              <w:rPr>
                <w:rFonts w:hint="eastAsia" w:ascii="Times New Roman" w:hAnsi="Times New Roman" w:eastAsia="宋体" w:cs="Times New Roman"/>
                <w:color w:val="auto"/>
                <w:highlight w:val="none"/>
                <w:lang w:val="en-US" w:eastAsia="zh-CN"/>
              </w:rPr>
              <w:t>/a）</w:t>
            </w:r>
            <w:r>
              <w:rPr>
                <w:rFonts w:hint="default" w:ascii="Times New Roman" w:hAnsi="Times New Roman" w:eastAsia="宋体" w:cs="Times New Roman"/>
                <w:color w:val="000000"/>
                <w:kern w:val="0"/>
                <w:sz w:val="24"/>
                <w:szCs w:val="24"/>
                <w:lang w:val="en-US" w:eastAsia="zh-CN" w:bidi="ar"/>
              </w:rPr>
              <w:t>。生活污水经化粪池初步处理后，经吸污车拉运至</w:t>
            </w:r>
            <w:r>
              <w:rPr>
                <w:rFonts w:hint="eastAsia" w:cs="Times New Roman"/>
                <w:color w:val="000000"/>
                <w:kern w:val="0"/>
                <w:sz w:val="24"/>
                <w:szCs w:val="24"/>
                <w:lang w:val="en-US" w:eastAsia="zh-CN" w:bidi="ar"/>
              </w:rPr>
              <w:t>伊拉湖镇污水处理厂</w:t>
            </w:r>
            <w:r>
              <w:rPr>
                <w:rFonts w:hint="default" w:ascii="Times New Roman" w:hAnsi="Times New Roman" w:eastAsia="宋体" w:cs="Times New Roman"/>
                <w:color w:val="000000"/>
                <w:kern w:val="0"/>
                <w:sz w:val="24"/>
                <w:szCs w:val="24"/>
                <w:lang w:val="en-US" w:eastAsia="zh-CN" w:bidi="ar"/>
              </w:rPr>
              <w:t>处理，项目生活污水</w:t>
            </w:r>
            <w:r>
              <w:rPr>
                <w:rFonts w:hint="eastAsia" w:cs="Times New Roman"/>
                <w:color w:val="000000"/>
                <w:kern w:val="0"/>
                <w:sz w:val="24"/>
                <w:szCs w:val="24"/>
                <w:lang w:val="en-US" w:eastAsia="zh-CN" w:bidi="ar"/>
              </w:rPr>
              <w:t>污染物</w:t>
            </w:r>
            <w:r>
              <w:rPr>
                <w:rFonts w:hint="default" w:ascii="Times New Roman" w:hAnsi="Times New Roman" w:eastAsia="宋体" w:cs="Times New Roman"/>
                <w:color w:val="000000"/>
                <w:kern w:val="0"/>
                <w:sz w:val="24"/>
                <w:szCs w:val="24"/>
                <w:lang w:val="en-US" w:eastAsia="zh-CN" w:bidi="ar"/>
              </w:rPr>
              <w:t>的产</w:t>
            </w:r>
            <w:r>
              <w:rPr>
                <w:rFonts w:hint="eastAsia" w:cs="Times New Roman"/>
                <w:color w:val="000000"/>
                <w:kern w:val="0"/>
                <w:sz w:val="24"/>
                <w:szCs w:val="24"/>
                <w:lang w:val="en-US" w:eastAsia="zh-CN" w:bidi="ar"/>
              </w:rPr>
              <w:t>生</w:t>
            </w:r>
            <w:r>
              <w:rPr>
                <w:rFonts w:hint="default" w:ascii="Times New Roman" w:hAnsi="Times New Roman" w:eastAsia="宋体" w:cs="Times New Roman"/>
                <w:color w:val="000000"/>
                <w:kern w:val="0"/>
                <w:sz w:val="24"/>
                <w:szCs w:val="24"/>
                <w:lang w:val="en-US" w:eastAsia="zh-CN" w:bidi="ar"/>
              </w:rPr>
              <w:t>情况详见下表4-</w:t>
            </w:r>
            <w:r>
              <w:rPr>
                <w:rFonts w:hint="eastAsia"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w:t>
            </w:r>
          </w:p>
          <w:p>
            <w:pPr>
              <w:pStyle w:val="30"/>
              <w:keepNext w:val="0"/>
              <w:keepLines w:val="0"/>
              <w:suppressLineNumbers w:val="0"/>
              <w:bidi w:val="0"/>
              <w:spacing w:before="0" w:beforeAutospacing="0" w:after="0" w:afterAutospacing="0"/>
              <w:ind w:right="0"/>
              <w:jc w:val="center"/>
              <w:rPr>
                <w:rFonts w:hint="default" w:ascii="Times New Roman" w:hAnsi="Times New Roman" w:cs="Times New Roman"/>
                <w:b/>
                <w:bCs/>
                <w:color w:val="auto"/>
              </w:rPr>
            </w:pPr>
            <w:r>
              <w:rPr>
                <w:rFonts w:hint="default" w:ascii="Times New Roman" w:hAnsi="Times New Roman" w:cs="Times New Roman"/>
                <w:b/>
                <w:bCs/>
                <w:color w:val="auto"/>
              </w:rPr>
              <w:t>表4-</w:t>
            </w:r>
            <w:r>
              <w:rPr>
                <w:rFonts w:hint="eastAsia" w:cs="Times New Roman"/>
                <w:b/>
                <w:bCs/>
                <w:color w:val="auto"/>
                <w:lang w:val="en-US" w:eastAsia="zh-CN"/>
              </w:rPr>
              <w:t>9</w:t>
            </w:r>
            <w:r>
              <w:rPr>
                <w:rFonts w:hint="default" w:ascii="Times New Roman" w:hAnsi="Times New Roman" w:cs="Times New Roman"/>
                <w:b/>
                <w:bCs/>
                <w:color w:val="auto"/>
              </w:rPr>
              <w:t xml:space="preserve">   生活污水主要污染物及排放情况</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8"/>
              <w:gridCol w:w="1601"/>
              <w:gridCol w:w="1097"/>
              <w:gridCol w:w="879"/>
              <w:gridCol w:w="1206"/>
              <w:gridCol w:w="1122"/>
              <w:gridCol w:w="1069"/>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1296" w:type="pct"/>
                  <w:gridSpan w:val="2"/>
                  <w:vAlign w:val="center"/>
                </w:tcPr>
                <w:p>
                  <w:pPr>
                    <w:pStyle w:val="30"/>
                    <w:keepNext w:val="0"/>
                    <w:keepLines w:val="0"/>
                    <w:suppressLineNumbers w:val="0"/>
                    <w:spacing w:before="0" w:beforeAutospacing="0" w:after="0" w:afterAutospacing="0" w:line="240" w:lineRule="exact"/>
                    <w:ind w:right="0"/>
                    <w:rPr>
                      <w:rFonts w:hint="default" w:ascii="Times New Roman" w:hAnsi="Times New Roman" w:cs="Times New Roman"/>
                      <w:b/>
                      <w:bCs/>
                      <w:color w:val="auto"/>
                    </w:rPr>
                  </w:pPr>
                  <w:r>
                    <w:rPr>
                      <w:rFonts w:hint="default" w:ascii="Times New Roman" w:hAnsi="Times New Roman" w:cs="Times New Roman"/>
                      <w:b/>
                      <w:bCs/>
                      <w:color w:val="auto"/>
                    </w:rPr>
                    <w:t>主要污染物</w:t>
                  </w:r>
                </w:p>
              </w:tc>
              <w:tc>
                <w:tcPr>
                  <w:tcW w:w="600" w:type="pct"/>
                  <w:vAlign w:val="center"/>
                </w:tcPr>
                <w:p>
                  <w:pPr>
                    <w:pStyle w:val="30"/>
                    <w:keepNext w:val="0"/>
                    <w:keepLines w:val="0"/>
                    <w:suppressLineNumbers w:val="0"/>
                    <w:spacing w:before="0" w:beforeAutospacing="0" w:after="0" w:afterAutospacing="0" w:line="240" w:lineRule="exact"/>
                    <w:ind w:right="0"/>
                    <w:rPr>
                      <w:rFonts w:hint="default" w:ascii="Times New Roman" w:hAnsi="Times New Roman" w:cs="Times New Roman"/>
                      <w:b/>
                      <w:bCs/>
                      <w:color w:val="auto"/>
                    </w:rPr>
                  </w:pPr>
                  <w:r>
                    <w:rPr>
                      <w:rFonts w:hint="default" w:ascii="Times New Roman" w:hAnsi="Times New Roman" w:cs="Times New Roman"/>
                      <w:b/>
                      <w:bCs/>
                      <w:color w:val="auto"/>
                    </w:rPr>
                    <w:t>水量</w:t>
                  </w:r>
                </w:p>
              </w:tc>
              <w:tc>
                <w:tcPr>
                  <w:tcW w:w="481" w:type="pct"/>
                  <w:vAlign w:val="center"/>
                </w:tcPr>
                <w:p>
                  <w:pPr>
                    <w:pStyle w:val="30"/>
                    <w:keepNext w:val="0"/>
                    <w:keepLines w:val="0"/>
                    <w:suppressLineNumbers w:val="0"/>
                    <w:spacing w:before="0" w:beforeAutospacing="0" w:after="0" w:afterAutospacing="0" w:line="240" w:lineRule="exact"/>
                    <w:ind w:right="0"/>
                    <w:rPr>
                      <w:rFonts w:hint="default" w:ascii="Times New Roman" w:hAnsi="Times New Roman" w:cs="Times New Roman"/>
                      <w:b/>
                      <w:bCs/>
                      <w:color w:val="auto"/>
                    </w:rPr>
                  </w:pPr>
                  <w:r>
                    <w:rPr>
                      <w:rFonts w:hint="default" w:ascii="Times New Roman" w:hAnsi="Times New Roman" w:cs="Times New Roman"/>
                      <w:b/>
                      <w:bCs/>
                      <w:color w:val="auto"/>
                    </w:rPr>
                    <w:t>COD</w:t>
                  </w:r>
                  <w:r>
                    <w:rPr>
                      <w:rFonts w:hint="default" w:ascii="Times New Roman" w:hAnsi="Times New Roman" w:cs="Times New Roman"/>
                      <w:b/>
                      <w:bCs/>
                      <w:color w:val="auto"/>
                      <w:vertAlign w:val="subscript"/>
                    </w:rPr>
                    <w:t>Cr</w:t>
                  </w:r>
                </w:p>
              </w:tc>
              <w:tc>
                <w:tcPr>
                  <w:tcW w:w="660" w:type="pct"/>
                  <w:vAlign w:val="center"/>
                </w:tcPr>
                <w:p>
                  <w:pPr>
                    <w:pStyle w:val="30"/>
                    <w:keepNext w:val="0"/>
                    <w:keepLines w:val="0"/>
                    <w:suppressLineNumbers w:val="0"/>
                    <w:spacing w:before="0" w:beforeAutospacing="0" w:after="0" w:afterAutospacing="0" w:line="240" w:lineRule="exact"/>
                    <w:ind w:right="0"/>
                    <w:rPr>
                      <w:rFonts w:hint="default" w:ascii="Times New Roman" w:hAnsi="Times New Roman" w:cs="Times New Roman"/>
                      <w:b/>
                      <w:bCs/>
                      <w:color w:val="auto"/>
                    </w:rPr>
                  </w:pPr>
                  <w:r>
                    <w:rPr>
                      <w:rFonts w:hint="default" w:ascii="Times New Roman" w:hAnsi="Times New Roman" w:cs="Times New Roman"/>
                      <w:b/>
                      <w:bCs/>
                      <w:color w:val="auto"/>
                    </w:rPr>
                    <w:t>BOD</w:t>
                  </w:r>
                  <w:r>
                    <w:rPr>
                      <w:rFonts w:hint="default" w:ascii="Times New Roman" w:hAnsi="Times New Roman" w:cs="Times New Roman"/>
                      <w:b/>
                      <w:bCs/>
                      <w:color w:val="auto"/>
                      <w:vertAlign w:val="subscript"/>
                    </w:rPr>
                    <w:t>5</w:t>
                  </w:r>
                </w:p>
              </w:tc>
              <w:tc>
                <w:tcPr>
                  <w:tcW w:w="614" w:type="pct"/>
                  <w:vAlign w:val="center"/>
                </w:tcPr>
                <w:p>
                  <w:pPr>
                    <w:pStyle w:val="30"/>
                    <w:keepNext w:val="0"/>
                    <w:keepLines w:val="0"/>
                    <w:suppressLineNumbers w:val="0"/>
                    <w:spacing w:before="0" w:beforeAutospacing="0" w:after="0" w:afterAutospacing="0" w:line="240" w:lineRule="exact"/>
                    <w:ind w:right="0"/>
                    <w:rPr>
                      <w:rFonts w:hint="default" w:ascii="Times New Roman" w:hAnsi="Times New Roman" w:cs="Times New Roman"/>
                      <w:b/>
                      <w:bCs/>
                      <w:color w:val="auto"/>
                    </w:rPr>
                  </w:pPr>
                  <w:r>
                    <w:rPr>
                      <w:rFonts w:hint="default" w:ascii="Times New Roman" w:hAnsi="Times New Roman" w:cs="Times New Roman"/>
                      <w:b/>
                      <w:bCs/>
                      <w:color w:val="auto"/>
                    </w:rPr>
                    <w:t>SS</w:t>
                  </w:r>
                </w:p>
              </w:tc>
              <w:tc>
                <w:tcPr>
                  <w:tcW w:w="585" w:type="pct"/>
                  <w:vAlign w:val="center"/>
                </w:tcPr>
                <w:p>
                  <w:pPr>
                    <w:pStyle w:val="30"/>
                    <w:keepNext w:val="0"/>
                    <w:keepLines w:val="0"/>
                    <w:suppressLineNumbers w:val="0"/>
                    <w:spacing w:before="0" w:beforeAutospacing="0" w:after="0" w:afterAutospacing="0" w:line="240" w:lineRule="exact"/>
                    <w:ind w:right="0"/>
                    <w:rPr>
                      <w:rFonts w:hint="default" w:ascii="Times New Roman" w:hAnsi="Times New Roman" w:cs="Times New Roman"/>
                      <w:b/>
                      <w:bCs/>
                      <w:color w:val="auto"/>
                    </w:rPr>
                  </w:pPr>
                  <w:r>
                    <w:rPr>
                      <w:rFonts w:hint="default" w:ascii="Times New Roman" w:hAnsi="Times New Roman" w:cs="Times New Roman"/>
                      <w:b/>
                      <w:bCs/>
                      <w:color w:val="auto"/>
                    </w:rPr>
                    <w:t>NH</w:t>
                  </w:r>
                  <w:r>
                    <w:rPr>
                      <w:rFonts w:hint="default" w:ascii="Times New Roman" w:hAnsi="Times New Roman" w:cs="Times New Roman"/>
                      <w:b/>
                      <w:bCs/>
                      <w:color w:val="auto"/>
                      <w:vertAlign w:val="subscript"/>
                    </w:rPr>
                    <w:t>3</w:t>
                  </w:r>
                  <w:r>
                    <w:rPr>
                      <w:rFonts w:hint="default" w:ascii="Times New Roman" w:hAnsi="Times New Roman" w:cs="Times New Roman"/>
                      <w:b/>
                      <w:bCs/>
                      <w:color w:val="auto"/>
                    </w:rPr>
                    <w:t>-N</w:t>
                  </w:r>
                </w:p>
              </w:tc>
              <w:tc>
                <w:tcPr>
                  <w:tcW w:w="761" w:type="pct"/>
                  <w:vAlign w:val="center"/>
                </w:tcPr>
                <w:p>
                  <w:pPr>
                    <w:pStyle w:val="30"/>
                    <w:keepNext w:val="0"/>
                    <w:keepLines w:val="0"/>
                    <w:suppressLineNumbers w:val="0"/>
                    <w:spacing w:before="0" w:beforeAutospacing="0" w:after="0" w:afterAutospacing="0" w:line="240" w:lineRule="exact"/>
                    <w:ind w:right="0"/>
                    <w:rPr>
                      <w:rFonts w:hint="default" w:ascii="Times New Roman" w:hAnsi="Times New Roman" w:cs="Times New Roman"/>
                      <w:b/>
                      <w:bCs/>
                      <w:color w:val="auto"/>
                    </w:rPr>
                  </w:pPr>
                  <w:r>
                    <w:rPr>
                      <w:rFonts w:hint="default" w:ascii="Times New Roman" w:hAnsi="Times New Roman" w:cs="Times New Roman"/>
                      <w:b/>
                      <w:bCs/>
                      <w:color w:val="auto"/>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20" w:type="pct"/>
                  <w:vMerge w:val="restart"/>
                  <w:vAlign w:val="center"/>
                </w:tcPr>
                <w:p>
                  <w:pPr>
                    <w:pStyle w:val="30"/>
                    <w:keepNext w:val="0"/>
                    <w:keepLines w:val="0"/>
                    <w:suppressLineNumbers w:val="0"/>
                    <w:spacing w:before="0" w:beforeAutospacing="0" w:after="0" w:afterAutospacing="0" w:line="240" w:lineRule="exact"/>
                    <w:ind w:right="0"/>
                    <w:jc w:val="center"/>
                    <w:rPr>
                      <w:rFonts w:hint="default" w:ascii="Times New Roman" w:hAnsi="Times New Roman" w:cs="Times New Roman"/>
                      <w:color w:val="auto"/>
                    </w:rPr>
                  </w:pPr>
                  <w:r>
                    <w:rPr>
                      <w:rFonts w:hint="default" w:ascii="Times New Roman" w:hAnsi="Times New Roman" w:cs="Times New Roman"/>
                      <w:color w:val="auto"/>
                    </w:rPr>
                    <w:t>产生</w:t>
                  </w:r>
                </w:p>
              </w:tc>
              <w:tc>
                <w:tcPr>
                  <w:tcW w:w="876" w:type="pct"/>
                  <w:vAlign w:val="center"/>
                </w:tcPr>
                <w:p>
                  <w:pPr>
                    <w:pStyle w:val="30"/>
                    <w:keepNext w:val="0"/>
                    <w:keepLines w:val="0"/>
                    <w:suppressLineNumbers w:val="0"/>
                    <w:spacing w:before="0" w:beforeAutospacing="0" w:after="0" w:afterAutospacing="0" w:line="240" w:lineRule="exact"/>
                    <w:ind w:right="0"/>
                    <w:jc w:val="center"/>
                    <w:rPr>
                      <w:rFonts w:hint="default" w:ascii="Times New Roman" w:hAnsi="Times New Roman" w:cs="Times New Roman"/>
                      <w:color w:val="auto"/>
                    </w:rPr>
                  </w:pPr>
                  <w:r>
                    <w:rPr>
                      <w:rFonts w:hint="default" w:ascii="Times New Roman" w:hAnsi="Times New Roman" w:cs="Times New Roman"/>
                      <w:color w:val="auto"/>
                    </w:rPr>
                    <w:t>浓度（mg/L）</w:t>
                  </w:r>
                </w:p>
              </w:tc>
              <w:tc>
                <w:tcPr>
                  <w:tcW w:w="600" w:type="pct"/>
                  <w:vMerge w:val="restart"/>
                  <w:vAlign w:val="center"/>
                </w:tcPr>
                <w:p>
                  <w:pPr>
                    <w:pStyle w:val="30"/>
                    <w:keepNext w:val="0"/>
                    <w:keepLines w:val="0"/>
                    <w:suppressLineNumbers w:val="0"/>
                    <w:spacing w:before="0" w:beforeAutospacing="0" w:after="0" w:afterAutospacing="0" w:line="240" w:lineRule="exact"/>
                    <w:ind w:right="0"/>
                    <w:jc w:val="center"/>
                    <w:rPr>
                      <w:rFonts w:hint="default" w:ascii="Times New Roman" w:hAnsi="Times New Roman" w:cs="Times New Roman"/>
                      <w:color w:val="auto"/>
                    </w:rPr>
                  </w:pPr>
                  <w:r>
                    <w:rPr>
                      <w:rFonts w:hint="eastAsia" w:cs="Times New Roman"/>
                      <w:color w:val="auto"/>
                      <w:lang w:val="en-US" w:eastAsia="zh-CN"/>
                    </w:rPr>
                    <w:t>528</w:t>
                  </w:r>
                  <w:r>
                    <w:rPr>
                      <w:rFonts w:hint="default" w:ascii="Times New Roman" w:hAnsi="Times New Roman" w:cs="Times New Roman"/>
                      <w:color w:val="auto"/>
                      <w:lang w:eastAsia="zh-CN"/>
                    </w:rPr>
                    <w:t>m³</w:t>
                  </w:r>
                  <w:r>
                    <w:rPr>
                      <w:rFonts w:hint="default" w:ascii="Times New Roman" w:hAnsi="Times New Roman" w:cs="Times New Roman"/>
                      <w:color w:val="auto"/>
                    </w:rPr>
                    <w:t>/a</w:t>
                  </w:r>
                </w:p>
              </w:tc>
              <w:tc>
                <w:tcPr>
                  <w:tcW w:w="481" w:type="pct"/>
                  <w:vAlign w:val="center"/>
                </w:tcPr>
                <w:p>
                  <w:pPr>
                    <w:pStyle w:val="30"/>
                    <w:keepNext w:val="0"/>
                    <w:keepLines w:val="0"/>
                    <w:suppressLineNumbers w:val="0"/>
                    <w:spacing w:before="0" w:beforeAutospacing="0" w:after="0" w:afterAutospacing="0" w:line="240" w:lineRule="exact"/>
                    <w:ind w:right="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350</w:t>
                  </w:r>
                </w:p>
              </w:tc>
              <w:tc>
                <w:tcPr>
                  <w:tcW w:w="660" w:type="pct"/>
                  <w:vAlign w:val="center"/>
                </w:tcPr>
                <w:p>
                  <w:pPr>
                    <w:pStyle w:val="30"/>
                    <w:keepNext w:val="0"/>
                    <w:keepLines w:val="0"/>
                    <w:suppressLineNumbers w:val="0"/>
                    <w:spacing w:before="0" w:beforeAutospacing="0" w:after="0" w:afterAutospacing="0" w:line="240" w:lineRule="exact"/>
                    <w:ind w:right="0"/>
                    <w:jc w:val="center"/>
                    <w:rPr>
                      <w:rFonts w:hint="default" w:ascii="Times New Roman" w:hAnsi="Times New Roman" w:cs="Times New Roman"/>
                      <w:color w:val="auto"/>
                    </w:rPr>
                  </w:pPr>
                  <w:r>
                    <w:rPr>
                      <w:rFonts w:hint="default" w:ascii="Times New Roman" w:hAnsi="Times New Roman" w:cs="Times New Roman"/>
                      <w:color w:val="auto"/>
                    </w:rPr>
                    <w:t>200</w:t>
                  </w:r>
                </w:p>
              </w:tc>
              <w:tc>
                <w:tcPr>
                  <w:tcW w:w="614" w:type="pct"/>
                  <w:vAlign w:val="center"/>
                </w:tcPr>
                <w:p>
                  <w:pPr>
                    <w:pStyle w:val="30"/>
                    <w:keepNext w:val="0"/>
                    <w:keepLines w:val="0"/>
                    <w:suppressLineNumbers w:val="0"/>
                    <w:spacing w:before="0" w:beforeAutospacing="0" w:after="0" w:afterAutospacing="0" w:line="240" w:lineRule="exact"/>
                    <w:ind w:right="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250</w:t>
                  </w:r>
                </w:p>
              </w:tc>
              <w:tc>
                <w:tcPr>
                  <w:tcW w:w="585" w:type="pct"/>
                  <w:vAlign w:val="center"/>
                </w:tcPr>
                <w:p>
                  <w:pPr>
                    <w:pStyle w:val="30"/>
                    <w:keepNext w:val="0"/>
                    <w:keepLines w:val="0"/>
                    <w:suppressLineNumbers w:val="0"/>
                    <w:spacing w:before="0" w:beforeAutospacing="0" w:after="0" w:afterAutospacing="0" w:line="240" w:lineRule="exact"/>
                    <w:ind w:right="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30</w:t>
                  </w:r>
                </w:p>
              </w:tc>
              <w:tc>
                <w:tcPr>
                  <w:tcW w:w="761" w:type="pct"/>
                  <w:vAlign w:val="center"/>
                </w:tcPr>
                <w:p>
                  <w:pPr>
                    <w:pStyle w:val="30"/>
                    <w:keepNext w:val="0"/>
                    <w:keepLines w:val="0"/>
                    <w:suppressLineNumbers w:val="0"/>
                    <w:spacing w:before="0" w:beforeAutospacing="0" w:after="0" w:afterAutospacing="0" w:line="240" w:lineRule="exact"/>
                    <w:ind w:right="0"/>
                    <w:jc w:val="center"/>
                    <w:rPr>
                      <w:rFonts w:hint="default" w:ascii="Times New Roman" w:hAnsi="Times New Roman" w:cs="Times New Roman"/>
                      <w:color w:val="auto"/>
                    </w:rPr>
                  </w:pPr>
                  <w:r>
                    <w:rPr>
                      <w:rFonts w:hint="default" w:ascii="Times New Roman" w:hAnsi="Times New Roman" w:cs="Times New Roman"/>
                      <w:color w:val="auto"/>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20" w:type="pct"/>
                  <w:vMerge w:val="continue"/>
                  <w:vAlign w:val="center"/>
                </w:tcPr>
                <w:p>
                  <w:pPr>
                    <w:pStyle w:val="30"/>
                    <w:keepNext w:val="0"/>
                    <w:keepLines w:val="0"/>
                    <w:suppressLineNumbers w:val="0"/>
                    <w:spacing w:before="0" w:beforeAutospacing="0" w:after="0" w:afterAutospacing="0" w:line="240" w:lineRule="exact"/>
                    <w:ind w:right="0"/>
                    <w:jc w:val="center"/>
                    <w:rPr>
                      <w:rFonts w:hint="default" w:ascii="Times New Roman" w:hAnsi="Times New Roman" w:cs="Times New Roman"/>
                      <w:color w:val="auto"/>
                    </w:rPr>
                  </w:pPr>
                </w:p>
              </w:tc>
              <w:tc>
                <w:tcPr>
                  <w:tcW w:w="876" w:type="pct"/>
                  <w:vAlign w:val="center"/>
                </w:tcPr>
                <w:p>
                  <w:pPr>
                    <w:pStyle w:val="30"/>
                    <w:keepNext w:val="0"/>
                    <w:keepLines w:val="0"/>
                    <w:suppressLineNumbers w:val="0"/>
                    <w:spacing w:before="0" w:beforeAutospacing="0" w:after="0" w:afterAutospacing="0" w:line="240" w:lineRule="exact"/>
                    <w:ind w:right="0"/>
                    <w:jc w:val="center"/>
                    <w:rPr>
                      <w:rFonts w:hint="default" w:ascii="Times New Roman" w:hAnsi="Times New Roman" w:cs="Times New Roman"/>
                      <w:color w:val="auto"/>
                    </w:rPr>
                  </w:pPr>
                  <w:r>
                    <w:rPr>
                      <w:rFonts w:hint="default" w:ascii="Times New Roman" w:hAnsi="Times New Roman" w:cs="Times New Roman"/>
                      <w:color w:val="auto"/>
                    </w:rPr>
                    <w:t>产生量（t/a）</w:t>
                  </w:r>
                </w:p>
              </w:tc>
              <w:tc>
                <w:tcPr>
                  <w:tcW w:w="600" w:type="pct"/>
                  <w:vMerge w:val="continue"/>
                  <w:vAlign w:val="center"/>
                </w:tcPr>
                <w:p>
                  <w:pPr>
                    <w:pStyle w:val="30"/>
                    <w:keepNext w:val="0"/>
                    <w:keepLines w:val="0"/>
                    <w:suppressLineNumbers w:val="0"/>
                    <w:spacing w:before="0" w:beforeAutospacing="0" w:after="0" w:afterAutospacing="0" w:line="240" w:lineRule="exact"/>
                    <w:ind w:right="0"/>
                    <w:jc w:val="center"/>
                    <w:rPr>
                      <w:rFonts w:hint="default" w:ascii="Times New Roman" w:hAnsi="Times New Roman" w:cs="Times New Roman"/>
                      <w:color w:val="auto"/>
                    </w:rPr>
                  </w:pPr>
                </w:p>
              </w:tc>
              <w:tc>
                <w:tcPr>
                  <w:tcW w:w="845" w:type="dxa"/>
                  <w:vAlign w:val="center"/>
                </w:tcPr>
                <w:p>
                  <w:pPr>
                    <w:pStyle w:val="30"/>
                    <w:keepNext w:val="0"/>
                    <w:keepLines w:val="0"/>
                    <w:suppressLineNumbers w:val="0"/>
                    <w:spacing w:before="0" w:beforeAutospacing="0" w:after="0" w:afterAutospacing="0" w:line="240" w:lineRule="exact"/>
                    <w:ind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 xml:space="preserve">0.185 </w:t>
                  </w:r>
                </w:p>
              </w:tc>
              <w:tc>
                <w:tcPr>
                  <w:tcW w:w="1160" w:type="dxa"/>
                  <w:vAlign w:val="center"/>
                </w:tcPr>
                <w:p>
                  <w:pPr>
                    <w:pStyle w:val="30"/>
                    <w:keepNext w:val="0"/>
                    <w:keepLines w:val="0"/>
                    <w:suppressLineNumbers w:val="0"/>
                    <w:spacing w:before="0" w:beforeAutospacing="0" w:after="0" w:afterAutospacing="0" w:line="240" w:lineRule="exact"/>
                    <w:ind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 xml:space="preserve">0.106 </w:t>
                  </w:r>
                </w:p>
              </w:tc>
              <w:tc>
                <w:tcPr>
                  <w:tcW w:w="1079" w:type="dxa"/>
                  <w:vAlign w:val="center"/>
                </w:tcPr>
                <w:p>
                  <w:pPr>
                    <w:pStyle w:val="30"/>
                    <w:keepNext w:val="0"/>
                    <w:keepLines w:val="0"/>
                    <w:suppressLineNumbers w:val="0"/>
                    <w:spacing w:before="0" w:beforeAutospacing="0" w:after="0" w:afterAutospacing="0" w:line="240" w:lineRule="exact"/>
                    <w:ind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 xml:space="preserve">0.132 </w:t>
                  </w:r>
                </w:p>
              </w:tc>
              <w:tc>
                <w:tcPr>
                  <w:tcW w:w="1029" w:type="dxa"/>
                  <w:vAlign w:val="center"/>
                </w:tcPr>
                <w:p>
                  <w:pPr>
                    <w:pStyle w:val="30"/>
                    <w:keepNext w:val="0"/>
                    <w:keepLines w:val="0"/>
                    <w:suppressLineNumbers w:val="0"/>
                    <w:spacing w:before="0" w:beforeAutospacing="0" w:after="0" w:afterAutospacing="0" w:line="240" w:lineRule="exact"/>
                    <w:ind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 xml:space="preserve">0.016 </w:t>
                  </w:r>
                </w:p>
              </w:tc>
              <w:tc>
                <w:tcPr>
                  <w:tcW w:w="1392" w:type="dxa"/>
                  <w:vAlign w:val="center"/>
                </w:tcPr>
                <w:p>
                  <w:pPr>
                    <w:pStyle w:val="30"/>
                    <w:keepNext w:val="0"/>
                    <w:keepLines w:val="0"/>
                    <w:suppressLineNumbers w:val="0"/>
                    <w:spacing w:before="0" w:beforeAutospacing="0" w:after="0" w:afterAutospacing="0" w:line="240" w:lineRule="exact"/>
                    <w:ind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 xml:space="preserve">0.026 </w:t>
                  </w:r>
                </w:p>
              </w:tc>
            </w:tr>
          </w:tbl>
          <w:p>
            <w:pPr>
              <w:keepNext w:val="0"/>
              <w:keepLines w:val="0"/>
              <w:suppressLineNumbers w:val="0"/>
              <w:spacing w:before="0" w:beforeAutospacing="0" w:after="0" w:afterAutospacing="0"/>
              <w:ind w:left="0" w:leftChars="0" w:right="0" w:firstLine="0" w:firstLineChars="0"/>
              <w:rPr>
                <w:rFonts w:hint="default" w:ascii="Times New Roman" w:hAnsi="Times New Roman" w:cs="Times New Roman"/>
                <w:b/>
                <w:bCs/>
                <w:color w:val="auto"/>
                <w:lang w:val="en-US"/>
              </w:rPr>
            </w:pPr>
            <w:r>
              <w:rPr>
                <w:rFonts w:hint="default" w:ascii="Times New Roman" w:hAnsi="Times New Roman" w:cs="Times New Roman"/>
                <w:b/>
                <w:bCs/>
                <w:color w:val="auto"/>
              </w:rPr>
              <w:t>2.</w:t>
            </w:r>
            <w:r>
              <w:rPr>
                <w:rFonts w:hint="default" w:ascii="Times New Roman" w:hAnsi="Times New Roman" w:cs="Times New Roman"/>
                <w:b/>
                <w:bCs/>
                <w:color w:val="auto"/>
                <w:lang w:val="en-US" w:eastAsia="zh-CN"/>
              </w:rPr>
              <w:t>2</w:t>
            </w:r>
            <w:r>
              <w:rPr>
                <w:rFonts w:hint="eastAsia" w:cs="Times New Roman"/>
                <w:b/>
                <w:bCs/>
                <w:color w:val="auto"/>
                <w:lang w:val="en-US" w:eastAsia="zh-CN"/>
              </w:rPr>
              <w:t>废水排放口基本情况</w:t>
            </w:r>
          </w:p>
          <w:p>
            <w:pPr>
              <w:widowControl/>
              <w:tabs>
                <w:tab w:val="left" w:pos="3757"/>
              </w:tabs>
              <w:kinsoku w:val="0"/>
              <w:overflowPunct w:val="0"/>
              <w:snapToGrid w:val="0"/>
              <w:spacing w:before="0" w:after="0" w:line="360" w:lineRule="auto"/>
              <w:ind w:right="0" w:firstLine="480" w:firstLineChars="200"/>
              <w:jc w:val="both"/>
              <w:rPr>
                <w:rFonts w:ascii="Times New Roman" w:hAnsi="Times New Roman" w:eastAsia="宋体" w:cs="Times New Roman"/>
                <w:b/>
                <w:bCs/>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废水类别、污染物及污染治理设施信息见表4-</w:t>
            </w:r>
            <w:r>
              <w:rPr>
                <w:rFonts w:hint="eastAsia" w:cs="Times New Roman"/>
                <w:color w:val="auto"/>
                <w:kern w:val="0"/>
                <w:sz w:val="24"/>
                <w:szCs w:val="24"/>
                <w:lang w:val="en-US" w:eastAsia="zh-CN" w:bidi="ar-SA"/>
              </w:rPr>
              <w:t>10</w:t>
            </w:r>
            <w:r>
              <w:rPr>
                <w:rFonts w:ascii="Times New Roman" w:hAnsi="Times New Roman" w:eastAsia="宋体" w:cs="Times New Roman"/>
                <w:color w:val="auto"/>
                <w:kern w:val="0"/>
                <w:sz w:val="24"/>
                <w:szCs w:val="24"/>
                <w:lang w:val="en-US" w:eastAsia="zh-CN" w:bidi="ar-SA"/>
              </w:rPr>
              <w:t>。</w:t>
            </w:r>
          </w:p>
          <w:p>
            <w:pPr>
              <w:widowControl/>
              <w:tabs>
                <w:tab w:val="left" w:pos="3757"/>
              </w:tabs>
              <w:kinsoku w:val="0"/>
              <w:overflowPunct w:val="0"/>
              <w:snapToGrid w:val="0"/>
              <w:spacing w:before="0" w:after="0" w:line="240" w:lineRule="auto"/>
              <w:ind w:right="0"/>
              <w:jc w:val="center"/>
              <w:rPr>
                <w:rFonts w:ascii="Times New Roman" w:hAnsi="Times New Roman" w:eastAsia="宋体" w:cs="Times New Roman"/>
                <w:b/>
                <w:bCs/>
                <w:color w:val="auto"/>
                <w:kern w:val="0"/>
                <w:sz w:val="21"/>
                <w:szCs w:val="21"/>
                <w:lang w:val="en-US" w:eastAsia="zh-CN" w:bidi="ar-SA"/>
              </w:rPr>
            </w:pPr>
            <w:r>
              <w:rPr>
                <w:rFonts w:ascii="Times New Roman" w:hAnsi="Times New Roman" w:eastAsia="宋体" w:cs="Times New Roman"/>
                <w:b/>
                <w:bCs/>
                <w:color w:val="auto"/>
                <w:kern w:val="0"/>
                <w:sz w:val="21"/>
                <w:szCs w:val="21"/>
                <w:lang w:val="en-US" w:eastAsia="zh-CN" w:bidi="ar-SA"/>
              </w:rPr>
              <w:t>表4-</w:t>
            </w:r>
            <w:r>
              <w:rPr>
                <w:rFonts w:hint="eastAsia" w:cs="Times New Roman"/>
                <w:b/>
                <w:bCs/>
                <w:color w:val="auto"/>
                <w:kern w:val="0"/>
                <w:sz w:val="21"/>
                <w:szCs w:val="21"/>
                <w:lang w:val="en-US" w:eastAsia="zh-CN" w:bidi="ar-SA"/>
              </w:rPr>
              <w:t>10</w:t>
            </w:r>
            <w:r>
              <w:rPr>
                <w:rFonts w:ascii="Times New Roman" w:hAnsi="Times New Roman" w:eastAsia="宋体" w:cs="Times New Roman"/>
                <w:b/>
                <w:bCs/>
                <w:color w:val="auto"/>
                <w:kern w:val="0"/>
                <w:sz w:val="21"/>
                <w:szCs w:val="21"/>
                <w:lang w:val="en-US" w:eastAsia="zh-CN" w:bidi="ar-SA"/>
              </w:rPr>
              <w:t xml:space="preserve">  </w:t>
            </w:r>
            <w:r>
              <w:rPr>
                <w:rFonts w:hint="eastAsia" w:cs="Times New Roman"/>
                <w:b/>
                <w:bCs/>
                <w:color w:val="auto"/>
                <w:kern w:val="0"/>
                <w:sz w:val="21"/>
                <w:szCs w:val="21"/>
                <w:lang w:val="en-US" w:eastAsia="zh-CN" w:bidi="ar-SA"/>
              </w:rPr>
              <w:t xml:space="preserve"> </w:t>
            </w:r>
            <w:r>
              <w:rPr>
                <w:rFonts w:ascii="Times New Roman" w:hAnsi="Times New Roman" w:eastAsia="宋体" w:cs="Times New Roman"/>
                <w:b/>
                <w:bCs/>
                <w:color w:val="auto"/>
                <w:kern w:val="0"/>
                <w:sz w:val="21"/>
                <w:szCs w:val="21"/>
                <w:lang w:val="en-US" w:eastAsia="zh-CN" w:bidi="ar-SA"/>
              </w:rPr>
              <w:t>废水类别、污染物及污染治理设施信息表</w:t>
            </w:r>
          </w:p>
          <w:tbl>
            <w:tblPr>
              <w:tblStyle w:val="23"/>
              <w:tblW w:w="4996"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758"/>
              <w:gridCol w:w="1316"/>
              <w:gridCol w:w="828"/>
              <w:gridCol w:w="926"/>
              <w:gridCol w:w="808"/>
              <w:gridCol w:w="802"/>
              <w:gridCol w:w="895"/>
              <w:gridCol w:w="850"/>
              <w:gridCol w:w="903"/>
              <w:gridCol w:w="1046"/>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415" w:type="pct"/>
                  <w:vMerge w:val="restart"/>
                  <w:vAlign w:val="center"/>
                </w:tcPr>
                <w:p>
                  <w:pPr>
                    <w:widowControl w:val="0"/>
                    <w:wordWrap w:val="0"/>
                    <w:topLinePunct/>
                    <w:spacing w:line="240" w:lineRule="auto"/>
                    <w:ind w:left="0" w:leftChars="0" w:firstLine="0" w:firstLineChars="0"/>
                    <w:jc w:val="center"/>
                    <w:rPr>
                      <w:rFonts w:ascii="Times New Roman" w:hAnsi="Times New Roman" w:eastAsia="宋体" w:cs="Times New Roman"/>
                      <w:b/>
                      <w:bCs/>
                      <w:color w:val="auto"/>
                      <w:kern w:val="2"/>
                      <w:sz w:val="21"/>
                      <w:szCs w:val="21"/>
                      <w:lang w:val="zh-CN" w:eastAsia="zh-CN" w:bidi="zh-CN"/>
                    </w:rPr>
                  </w:pPr>
                  <w:r>
                    <w:rPr>
                      <w:rFonts w:ascii="Times New Roman" w:hAnsi="Times New Roman" w:eastAsia="宋体" w:cs="Times New Roman"/>
                      <w:b/>
                      <w:bCs/>
                      <w:color w:val="auto"/>
                      <w:kern w:val="2"/>
                      <w:sz w:val="21"/>
                      <w:szCs w:val="21"/>
                      <w:lang w:val="zh-CN" w:eastAsia="zh-CN" w:bidi="zh-CN"/>
                    </w:rPr>
                    <w:t>废水</w:t>
                  </w:r>
                </w:p>
                <w:p>
                  <w:pPr>
                    <w:widowControl w:val="0"/>
                    <w:wordWrap w:val="0"/>
                    <w:topLinePunct/>
                    <w:spacing w:line="240" w:lineRule="auto"/>
                    <w:ind w:left="0" w:leftChars="0" w:firstLine="0" w:firstLineChars="0"/>
                    <w:jc w:val="center"/>
                    <w:rPr>
                      <w:rFonts w:ascii="Times New Roman" w:hAnsi="Times New Roman" w:eastAsia="宋体" w:cs="Times New Roman"/>
                      <w:b/>
                      <w:bCs/>
                      <w:color w:val="auto"/>
                      <w:kern w:val="2"/>
                      <w:sz w:val="21"/>
                      <w:szCs w:val="21"/>
                      <w:lang w:val="zh-CN" w:eastAsia="zh-CN" w:bidi="zh-CN"/>
                    </w:rPr>
                  </w:pPr>
                  <w:r>
                    <w:rPr>
                      <w:rFonts w:ascii="Times New Roman" w:hAnsi="Times New Roman" w:eastAsia="宋体" w:cs="Times New Roman"/>
                      <w:b/>
                      <w:bCs/>
                      <w:color w:val="auto"/>
                      <w:kern w:val="2"/>
                      <w:sz w:val="21"/>
                      <w:szCs w:val="21"/>
                      <w:lang w:val="zh-CN" w:eastAsia="zh-CN" w:bidi="zh-CN"/>
                    </w:rPr>
                    <w:t>类别</w:t>
                  </w:r>
                </w:p>
              </w:tc>
              <w:tc>
                <w:tcPr>
                  <w:tcW w:w="720" w:type="pct"/>
                  <w:vMerge w:val="restart"/>
                  <w:vAlign w:val="center"/>
                </w:tcPr>
                <w:p>
                  <w:pPr>
                    <w:widowControl w:val="0"/>
                    <w:wordWrap w:val="0"/>
                    <w:topLinePunct/>
                    <w:spacing w:line="240" w:lineRule="auto"/>
                    <w:ind w:left="0" w:leftChars="0" w:firstLine="0" w:firstLineChars="0"/>
                    <w:jc w:val="center"/>
                    <w:rPr>
                      <w:rFonts w:ascii="Times New Roman" w:hAnsi="Times New Roman" w:eastAsia="宋体" w:cs="Times New Roman"/>
                      <w:b/>
                      <w:bCs/>
                      <w:color w:val="auto"/>
                      <w:kern w:val="2"/>
                      <w:sz w:val="21"/>
                      <w:szCs w:val="21"/>
                      <w:lang w:val="zh-CN" w:eastAsia="zh-CN" w:bidi="zh-CN"/>
                    </w:rPr>
                  </w:pPr>
                  <w:r>
                    <w:rPr>
                      <w:rFonts w:ascii="Times New Roman" w:hAnsi="Times New Roman" w:eastAsia="宋体" w:cs="Times New Roman"/>
                      <w:b/>
                      <w:bCs/>
                      <w:color w:val="auto"/>
                      <w:kern w:val="2"/>
                      <w:sz w:val="21"/>
                      <w:szCs w:val="21"/>
                      <w:lang w:val="zh-CN" w:eastAsia="zh-CN" w:bidi="zh-CN"/>
                    </w:rPr>
                    <w:t>污染物种类</w:t>
                  </w:r>
                </w:p>
              </w:tc>
              <w:tc>
                <w:tcPr>
                  <w:tcW w:w="453" w:type="pct"/>
                  <w:vMerge w:val="restart"/>
                  <w:vAlign w:val="center"/>
                </w:tcPr>
                <w:p>
                  <w:pPr>
                    <w:widowControl w:val="0"/>
                    <w:wordWrap w:val="0"/>
                    <w:topLinePunct/>
                    <w:spacing w:line="240" w:lineRule="auto"/>
                    <w:ind w:left="0" w:leftChars="0" w:firstLine="0" w:firstLineChars="0"/>
                    <w:jc w:val="center"/>
                    <w:rPr>
                      <w:rFonts w:ascii="Times New Roman" w:hAnsi="Times New Roman" w:eastAsia="宋体" w:cs="Times New Roman"/>
                      <w:b/>
                      <w:bCs/>
                      <w:color w:val="auto"/>
                      <w:kern w:val="2"/>
                      <w:sz w:val="21"/>
                      <w:szCs w:val="21"/>
                      <w:lang w:val="zh-CN" w:eastAsia="zh-CN" w:bidi="zh-CN"/>
                    </w:rPr>
                  </w:pPr>
                  <w:r>
                    <w:rPr>
                      <w:rFonts w:ascii="Times New Roman" w:hAnsi="Times New Roman" w:eastAsia="宋体" w:cs="Times New Roman"/>
                      <w:b/>
                      <w:bCs/>
                      <w:color w:val="auto"/>
                      <w:kern w:val="2"/>
                      <w:sz w:val="21"/>
                      <w:szCs w:val="21"/>
                      <w:lang w:val="zh-CN" w:eastAsia="zh-CN" w:bidi="zh-CN"/>
                    </w:rPr>
                    <w:t>排放去向</w:t>
                  </w:r>
                </w:p>
              </w:tc>
              <w:tc>
                <w:tcPr>
                  <w:tcW w:w="507" w:type="pct"/>
                  <w:vMerge w:val="restart"/>
                  <w:vAlign w:val="center"/>
                </w:tcPr>
                <w:p>
                  <w:pPr>
                    <w:widowControl w:val="0"/>
                    <w:wordWrap w:val="0"/>
                    <w:topLinePunct/>
                    <w:spacing w:line="240" w:lineRule="auto"/>
                    <w:ind w:left="0" w:leftChars="0" w:firstLine="0" w:firstLineChars="0"/>
                    <w:jc w:val="center"/>
                    <w:rPr>
                      <w:rFonts w:ascii="Times New Roman" w:hAnsi="Times New Roman" w:eastAsia="宋体" w:cs="Times New Roman"/>
                      <w:b/>
                      <w:bCs/>
                      <w:color w:val="auto"/>
                      <w:kern w:val="2"/>
                      <w:sz w:val="21"/>
                      <w:szCs w:val="21"/>
                      <w:lang w:val="zh-CN" w:eastAsia="zh-CN" w:bidi="zh-CN"/>
                    </w:rPr>
                  </w:pPr>
                  <w:r>
                    <w:rPr>
                      <w:rFonts w:ascii="Times New Roman" w:hAnsi="Times New Roman" w:eastAsia="宋体" w:cs="Times New Roman"/>
                      <w:b/>
                      <w:bCs/>
                      <w:color w:val="auto"/>
                      <w:kern w:val="2"/>
                      <w:sz w:val="21"/>
                      <w:szCs w:val="21"/>
                      <w:lang w:val="zh-CN" w:eastAsia="zh-CN" w:bidi="zh-CN"/>
                    </w:rPr>
                    <w:t>排放</w:t>
                  </w:r>
                </w:p>
                <w:p>
                  <w:pPr>
                    <w:widowControl w:val="0"/>
                    <w:wordWrap w:val="0"/>
                    <w:topLinePunct/>
                    <w:spacing w:line="240" w:lineRule="auto"/>
                    <w:ind w:left="0" w:leftChars="0" w:firstLine="0" w:firstLineChars="0"/>
                    <w:jc w:val="center"/>
                    <w:rPr>
                      <w:rFonts w:ascii="Times New Roman" w:hAnsi="Times New Roman" w:eastAsia="宋体" w:cs="Times New Roman"/>
                      <w:b/>
                      <w:bCs/>
                      <w:color w:val="auto"/>
                      <w:kern w:val="2"/>
                      <w:sz w:val="21"/>
                      <w:szCs w:val="21"/>
                      <w:lang w:val="zh-CN" w:eastAsia="zh-CN" w:bidi="zh-CN"/>
                    </w:rPr>
                  </w:pPr>
                  <w:r>
                    <w:rPr>
                      <w:rFonts w:ascii="Times New Roman" w:hAnsi="Times New Roman" w:eastAsia="宋体" w:cs="Times New Roman"/>
                      <w:b/>
                      <w:bCs/>
                      <w:color w:val="auto"/>
                      <w:kern w:val="2"/>
                      <w:sz w:val="21"/>
                      <w:szCs w:val="21"/>
                      <w:lang w:val="zh-CN" w:eastAsia="zh-CN" w:bidi="zh-CN"/>
                    </w:rPr>
                    <w:t>规律</w:t>
                  </w:r>
                </w:p>
              </w:tc>
              <w:tc>
                <w:tcPr>
                  <w:tcW w:w="1371" w:type="pct"/>
                  <w:gridSpan w:val="3"/>
                  <w:vAlign w:val="center"/>
                </w:tcPr>
                <w:p>
                  <w:pPr>
                    <w:widowControl w:val="0"/>
                    <w:wordWrap w:val="0"/>
                    <w:topLinePunct/>
                    <w:spacing w:line="240" w:lineRule="auto"/>
                    <w:jc w:val="center"/>
                    <w:rPr>
                      <w:rFonts w:ascii="Times New Roman" w:hAnsi="Times New Roman" w:eastAsia="宋体" w:cs="Times New Roman"/>
                      <w:b/>
                      <w:bCs/>
                      <w:color w:val="auto"/>
                      <w:kern w:val="2"/>
                      <w:sz w:val="21"/>
                      <w:szCs w:val="21"/>
                      <w:lang w:val="zh-CN" w:eastAsia="zh-CN" w:bidi="zh-CN"/>
                    </w:rPr>
                  </w:pPr>
                  <w:r>
                    <w:rPr>
                      <w:rFonts w:ascii="Times New Roman" w:hAnsi="Times New Roman" w:eastAsia="宋体" w:cs="Times New Roman"/>
                      <w:b/>
                      <w:bCs/>
                      <w:color w:val="auto"/>
                      <w:kern w:val="2"/>
                      <w:sz w:val="21"/>
                      <w:szCs w:val="21"/>
                      <w:lang w:val="zh-CN" w:eastAsia="zh-CN" w:bidi="zh-CN"/>
                    </w:rPr>
                    <w:t>污染治理设施</w:t>
                  </w:r>
                </w:p>
              </w:tc>
              <w:tc>
                <w:tcPr>
                  <w:tcW w:w="465" w:type="pct"/>
                  <w:vMerge w:val="restart"/>
                  <w:vAlign w:val="center"/>
                </w:tcPr>
                <w:p>
                  <w:pPr>
                    <w:widowControl w:val="0"/>
                    <w:wordWrap w:val="0"/>
                    <w:topLinePunct/>
                    <w:spacing w:line="240" w:lineRule="auto"/>
                    <w:ind w:left="0" w:leftChars="0" w:firstLine="0" w:firstLineChars="0"/>
                    <w:jc w:val="center"/>
                    <w:rPr>
                      <w:rFonts w:ascii="Times New Roman" w:hAnsi="Times New Roman" w:eastAsia="宋体" w:cs="Times New Roman"/>
                      <w:b/>
                      <w:bCs/>
                      <w:color w:val="auto"/>
                      <w:kern w:val="2"/>
                      <w:sz w:val="21"/>
                      <w:szCs w:val="21"/>
                      <w:lang w:val="zh-CN" w:eastAsia="zh-CN" w:bidi="zh-CN"/>
                    </w:rPr>
                  </w:pPr>
                  <w:r>
                    <w:rPr>
                      <w:rFonts w:ascii="Times New Roman" w:hAnsi="Times New Roman" w:eastAsia="宋体" w:cs="Times New Roman"/>
                      <w:b/>
                      <w:bCs/>
                      <w:color w:val="auto"/>
                      <w:kern w:val="2"/>
                      <w:sz w:val="21"/>
                      <w:szCs w:val="21"/>
                      <w:lang w:val="zh-CN" w:eastAsia="zh-CN" w:bidi="zh-CN"/>
                    </w:rPr>
                    <w:t>排放口编号</w:t>
                  </w:r>
                </w:p>
              </w:tc>
              <w:tc>
                <w:tcPr>
                  <w:tcW w:w="494" w:type="pct"/>
                  <w:vMerge w:val="restart"/>
                  <w:vAlign w:val="center"/>
                </w:tcPr>
                <w:p>
                  <w:pPr>
                    <w:widowControl w:val="0"/>
                    <w:wordWrap w:val="0"/>
                    <w:topLinePunct/>
                    <w:spacing w:line="240" w:lineRule="auto"/>
                    <w:ind w:left="0" w:leftChars="0" w:firstLine="0" w:firstLineChars="0"/>
                    <w:jc w:val="center"/>
                    <w:rPr>
                      <w:rFonts w:ascii="Times New Roman" w:hAnsi="Times New Roman" w:eastAsia="宋体" w:cs="Times New Roman"/>
                      <w:b/>
                      <w:bCs/>
                      <w:color w:val="auto"/>
                      <w:kern w:val="2"/>
                      <w:sz w:val="21"/>
                      <w:szCs w:val="21"/>
                      <w:lang w:val="zh-CN" w:eastAsia="zh-CN" w:bidi="zh-CN"/>
                    </w:rPr>
                  </w:pPr>
                  <w:r>
                    <w:rPr>
                      <w:rFonts w:ascii="Times New Roman" w:hAnsi="Times New Roman" w:eastAsia="宋体" w:cs="Times New Roman"/>
                      <w:b/>
                      <w:bCs/>
                      <w:color w:val="auto"/>
                      <w:kern w:val="2"/>
                      <w:sz w:val="21"/>
                      <w:szCs w:val="21"/>
                      <w:lang w:val="zh-CN" w:eastAsia="zh-CN" w:bidi="zh-CN"/>
                    </w:rPr>
                    <w:t>排放口设置是否符合要求</w:t>
                  </w:r>
                </w:p>
              </w:tc>
              <w:tc>
                <w:tcPr>
                  <w:tcW w:w="572" w:type="pct"/>
                  <w:vMerge w:val="restart"/>
                  <w:vAlign w:val="center"/>
                </w:tcPr>
                <w:p>
                  <w:pPr>
                    <w:widowControl w:val="0"/>
                    <w:wordWrap w:val="0"/>
                    <w:topLinePunct/>
                    <w:spacing w:line="240" w:lineRule="auto"/>
                    <w:ind w:left="0" w:leftChars="0" w:firstLine="0" w:firstLineChars="0"/>
                    <w:jc w:val="center"/>
                    <w:rPr>
                      <w:rFonts w:ascii="Times New Roman" w:hAnsi="Times New Roman" w:eastAsia="宋体" w:cs="Times New Roman"/>
                      <w:b/>
                      <w:bCs/>
                      <w:color w:val="auto"/>
                      <w:kern w:val="2"/>
                      <w:sz w:val="21"/>
                      <w:szCs w:val="21"/>
                      <w:lang w:val="zh-CN" w:eastAsia="zh-CN" w:bidi="zh-CN"/>
                    </w:rPr>
                  </w:pPr>
                  <w:r>
                    <w:rPr>
                      <w:rFonts w:ascii="Times New Roman" w:hAnsi="Times New Roman" w:eastAsia="宋体" w:cs="Times New Roman"/>
                      <w:b/>
                      <w:bCs/>
                      <w:color w:val="auto"/>
                      <w:kern w:val="2"/>
                      <w:sz w:val="21"/>
                      <w:szCs w:val="21"/>
                      <w:lang w:val="zh-CN" w:eastAsia="zh-CN" w:bidi="zh-CN"/>
                    </w:rPr>
                    <w:t>排放口类型</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415" w:type="pct"/>
                  <w:vMerge w:val="continue"/>
                  <w:vAlign w:val="center"/>
                </w:tcPr>
                <w:p>
                  <w:pPr>
                    <w:spacing w:line="240" w:lineRule="auto"/>
                    <w:ind w:firstLine="0" w:firstLineChars="0"/>
                    <w:jc w:val="center"/>
                    <w:rPr>
                      <w:rFonts w:eastAsia="宋体"/>
                      <w:color w:val="auto"/>
                      <w:sz w:val="21"/>
                      <w:szCs w:val="21"/>
                    </w:rPr>
                  </w:pPr>
                </w:p>
              </w:tc>
              <w:tc>
                <w:tcPr>
                  <w:tcW w:w="720" w:type="pct"/>
                  <w:vMerge w:val="continue"/>
                  <w:vAlign w:val="center"/>
                </w:tcPr>
                <w:p>
                  <w:pPr>
                    <w:spacing w:line="240" w:lineRule="auto"/>
                    <w:ind w:firstLine="0" w:firstLineChars="0"/>
                    <w:jc w:val="center"/>
                    <w:rPr>
                      <w:rFonts w:eastAsia="宋体"/>
                      <w:color w:val="auto"/>
                      <w:sz w:val="21"/>
                      <w:szCs w:val="21"/>
                    </w:rPr>
                  </w:pPr>
                </w:p>
              </w:tc>
              <w:tc>
                <w:tcPr>
                  <w:tcW w:w="453" w:type="pct"/>
                  <w:vMerge w:val="continue"/>
                  <w:vAlign w:val="center"/>
                </w:tcPr>
                <w:p>
                  <w:pPr>
                    <w:spacing w:line="240" w:lineRule="auto"/>
                    <w:ind w:firstLine="0" w:firstLineChars="0"/>
                    <w:rPr>
                      <w:rFonts w:eastAsia="宋体"/>
                      <w:color w:val="auto"/>
                      <w:sz w:val="21"/>
                      <w:szCs w:val="21"/>
                    </w:rPr>
                  </w:pPr>
                </w:p>
              </w:tc>
              <w:tc>
                <w:tcPr>
                  <w:tcW w:w="507" w:type="pct"/>
                  <w:vMerge w:val="continue"/>
                  <w:vAlign w:val="center"/>
                </w:tcPr>
                <w:p>
                  <w:pPr>
                    <w:spacing w:line="240" w:lineRule="auto"/>
                    <w:ind w:firstLine="0" w:firstLineChars="0"/>
                    <w:jc w:val="center"/>
                    <w:rPr>
                      <w:rFonts w:eastAsia="宋体"/>
                      <w:color w:val="auto"/>
                      <w:sz w:val="21"/>
                      <w:szCs w:val="21"/>
                    </w:rPr>
                  </w:pPr>
                </w:p>
              </w:tc>
              <w:tc>
                <w:tcPr>
                  <w:tcW w:w="442" w:type="pct"/>
                  <w:vAlign w:val="center"/>
                </w:tcPr>
                <w:p>
                  <w:pPr>
                    <w:widowControl w:val="0"/>
                    <w:wordWrap w:val="0"/>
                    <w:topLinePunct/>
                    <w:spacing w:line="240" w:lineRule="auto"/>
                    <w:ind w:left="0" w:leftChars="0" w:firstLine="0" w:firstLineChars="0"/>
                    <w:jc w:val="center"/>
                    <w:rPr>
                      <w:rFonts w:ascii="Times New Roman" w:hAnsi="Times New Roman" w:eastAsia="宋体" w:cs="Times New Roman"/>
                      <w:b/>
                      <w:bCs/>
                      <w:color w:val="auto"/>
                      <w:kern w:val="2"/>
                      <w:sz w:val="21"/>
                      <w:szCs w:val="21"/>
                      <w:lang w:val="zh-CN" w:eastAsia="zh-CN" w:bidi="zh-CN"/>
                    </w:rPr>
                  </w:pPr>
                  <w:r>
                    <w:rPr>
                      <w:rFonts w:ascii="Times New Roman" w:hAnsi="Times New Roman" w:eastAsia="宋体" w:cs="Times New Roman"/>
                      <w:b/>
                      <w:bCs/>
                      <w:color w:val="auto"/>
                      <w:kern w:val="2"/>
                      <w:sz w:val="21"/>
                      <w:szCs w:val="21"/>
                      <w:lang w:val="zh-CN" w:eastAsia="zh-CN" w:bidi="zh-CN"/>
                    </w:rPr>
                    <w:t>污染治理设施编号</w:t>
                  </w:r>
                </w:p>
              </w:tc>
              <w:tc>
                <w:tcPr>
                  <w:tcW w:w="439" w:type="pct"/>
                  <w:vAlign w:val="center"/>
                </w:tcPr>
                <w:p>
                  <w:pPr>
                    <w:widowControl w:val="0"/>
                    <w:wordWrap w:val="0"/>
                    <w:topLinePunct/>
                    <w:spacing w:line="240" w:lineRule="auto"/>
                    <w:ind w:left="0" w:leftChars="0" w:firstLine="0" w:firstLineChars="0"/>
                    <w:jc w:val="center"/>
                    <w:rPr>
                      <w:rFonts w:ascii="Times New Roman" w:hAnsi="Times New Roman" w:eastAsia="宋体" w:cs="Times New Roman"/>
                      <w:b/>
                      <w:bCs/>
                      <w:color w:val="auto"/>
                      <w:kern w:val="2"/>
                      <w:sz w:val="21"/>
                      <w:szCs w:val="21"/>
                      <w:lang w:val="zh-CN" w:eastAsia="zh-CN" w:bidi="zh-CN"/>
                    </w:rPr>
                  </w:pPr>
                  <w:r>
                    <w:rPr>
                      <w:rFonts w:ascii="Times New Roman" w:hAnsi="Times New Roman" w:eastAsia="宋体" w:cs="Times New Roman"/>
                      <w:b/>
                      <w:bCs/>
                      <w:color w:val="auto"/>
                      <w:kern w:val="2"/>
                      <w:sz w:val="21"/>
                      <w:szCs w:val="21"/>
                      <w:lang w:val="zh-CN" w:eastAsia="zh-CN" w:bidi="zh-CN"/>
                    </w:rPr>
                    <w:t>污染治理设施名称</w:t>
                  </w:r>
                </w:p>
              </w:tc>
              <w:tc>
                <w:tcPr>
                  <w:tcW w:w="489" w:type="pct"/>
                  <w:vAlign w:val="center"/>
                </w:tcPr>
                <w:p>
                  <w:pPr>
                    <w:widowControl w:val="0"/>
                    <w:wordWrap w:val="0"/>
                    <w:topLinePunct/>
                    <w:spacing w:line="240" w:lineRule="auto"/>
                    <w:ind w:left="0" w:leftChars="0" w:firstLine="0" w:firstLineChars="0"/>
                    <w:jc w:val="center"/>
                    <w:rPr>
                      <w:rFonts w:ascii="Times New Roman" w:hAnsi="Times New Roman" w:eastAsia="宋体" w:cs="Times New Roman"/>
                      <w:b/>
                      <w:bCs/>
                      <w:color w:val="auto"/>
                      <w:kern w:val="2"/>
                      <w:sz w:val="21"/>
                      <w:szCs w:val="21"/>
                      <w:lang w:val="zh-CN" w:eastAsia="zh-CN" w:bidi="zh-CN"/>
                    </w:rPr>
                  </w:pPr>
                  <w:r>
                    <w:rPr>
                      <w:rFonts w:ascii="Times New Roman" w:hAnsi="Times New Roman" w:eastAsia="宋体" w:cs="Times New Roman"/>
                      <w:b/>
                      <w:bCs/>
                      <w:color w:val="auto"/>
                      <w:kern w:val="2"/>
                      <w:sz w:val="21"/>
                      <w:szCs w:val="21"/>
                      <w:lang w:val="zh-CN" w:eastAsia="zh-CN" w:bidi="zh-CN"/>
                    </w:rPr>
                    <w:t>污染治理设施工艺</w:t>
                  </w:r>
                </w:p>
              </w:tc>
              <w:tc>
                <w:tcPr>
                  <w:tcW w:w="465" w:type="pct"/>
                  <w:vMerge w:val="continue"/>
                  <w:vAlign w:val="center"/>
                </w:tcPr>
                <w:p>
                  <w:pPr>
                    <w:spacing w:line="240" w:lineRule="auto"/>
                    <w:ind w:firstLine="0" w:firstLineChars="0"/>
                    <w:rPr>
                      <w:rFonts w:eastAsia="宋体"/>
                      <w:color w:val="auto"/>
                      <w:sz w:val="21"/>
                      <w:szCs w:val="21"/>
                    </w:rPr>
                  </w:pPr>
                </w:p>
              </w:tc>
              <w:tc>
                <w:tcPr>
                  <w:tcW w:w="494" w:type="pct"/>
                  <w:vMerge w:val="continue"/>
                  <w:vAlign w:val="center"/>
                </w:tcPr>
                <w:p>
                  <w:pPr>
                    <w:spacing w:line="240" w:lineRule="auto"/>
                    <w:ind w:firstLine="0" w:firstLineChars="0"/>
                    <w:rPr>
                      <w:rFonts w:eastAsia="宋体"/>
                      <w:color w:val="auto"/>
                      <w:sz w:val="21"/>
                      <w:szCs w:val="21"/>
                    </w:rPr>
                  </w:pPr>
                </w:p>
              </w:tc>
              <w:tc>
                <w:tcPr>
                  <w:tcW w:w="572" w:type="pct"/>
                  <w:vMerge w:val="continue"/>
                  <w:vAlign w:val="center"/>
                </w:tcPr>
                <w:p>
                  <w:pPr>
                    <w:spacing w:line="240" w:lineRule="auto"/>
                    <w:ind w:firstLine="0" w:firstLineChars="0"/>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415" w:type="pct"/>
                  <w:vMerge w:val="restart"/>
                  <w:vAlign w:val="center"/>
                </w:tcPr>
                <w:p>
                  <w:pPr>
                    <w:widowControl w:val="0"/>
                    <w:kinsoku w:val="0"/>
                    <w:overflowPunct w:val="0"/>
                    <w:spacing w:line="240" w:lineRule="auto"/>
                    <w:ind w:left="0" w:leftChars="0" w:firstLine="0" w:firstLineChars="0"/>
                    <w:jc w:val="center"/>
                    <w:rPr>
                      <w:rFonts w:ascii="Times New Roman" w:hAnsi="Times New Roman" w:eastAsia="宋体" w:cs="Times New Roman"/>
                      <w:color w:val="auto"/>
                      <w:kern w:val="2"/>
                      <w:sz w:val="21"/>
                      <w:szCs w:val="21"/>
                      <w:lang w:val="zh-CN" w:eastAsia="zh-CN" w:bidi="zh-CN"/>
                    </w:rPr>
                  </w:pPr>
                  <w:r>
                    <w:rPr>
                      <w:rFonts w:ascii="Times New Roman" w:hAnsi="Times New Roman" w:eastAsia="宋体" w:cs="Times New Roman"/>
                      <w:color w:val="auto"/>
                      <w:kern w:val="2"/>
                      <w:sz w:val="21"/>
                      <w:szCs w:val="21"/>
                      <w:lang w:val="zh-CN" w:eastAsia="zh-CN" w:bidi="zh-CN"/>
                    </w:rPr>
                    <w:t>生活污水</w:t>
                  </w:r>
                </w:p>
              </w:tc>
              <w:tc>
                <w:tcPr>
                  <w:tcW w:w="720" w:type="pct"/>
                  <w:vAlign w:val="center"/>
                </w:tcPr>
                <w:p>
                  <w:pPr>
                    <w:widowControl w:val="0"/>
                    <w:kinsoku w:val="0"/>
                    <w:overflowPunct w:val="0"/>
                    <w:spacing w:line="240" w:lineRule="auto"/>
                    <w:ind w:left="0" w:leftChars="0" w:firstLine="0" w:firstLineChars="0"/>
                    <w:jc w:val="center"/>
                    <w:rPr>
                      <w:rFonts w:ascii="Times New Roman" w:hAnsi="Times New Roman" w:eastAsia="宋体" w:cs="Times New Roman"/>
                      <w:color w:val="auto"/>
                      <w:kern w:val="2"/>
                      <w:sz w:val="21"/>
                      <w:szCs w:val="21"/>
                      <w:lang w:val="zh-CN" w:eastAsia="zh-CN" w:bidi="zh-CN"/>
                    </w:rPr>
                  </w:pPr>
                  <w:r>
                    <w:rPr>
                      <w:rFonts w:ascii="Times New Roman" w:hAnsi="Times New Roman" w:eastAsia="宋体" w:cs="Times New Roman"/>
                      <w:color w:val="auto"/>
                      <w:kern w:val="2"/>
                      <w:sz w:val="21"/>
                      <w:szCs w:val="21"/>
                      <w:lang w:val="zh-CN" w:eastAsia="zh-CN" w:bidi="zh-CN"/>
                    </w:rPr>
                    <w:t>pH</w:t>
                  </w:r>
                </w:p>
                <w:p>
                  <w:pPr>
                    <w:widowControl w:val="0"/>
                    <w:kinsoku w:val="0"/>
                    <w:overflowPunct w:val="0"/>
                    <w:spacing w:line="240" w:lineRule="auto"/>
                    <w:ind w:left="0" w:leftChars="0" w:firstLine="0" w:firstLineChars="0"/>
                    <w:jc w:val="center"/>
                    <w:rPr>
                      <w:rFonts w:ascii="Times New Roman" w:hAnsi="Times New Roman" w:eastAsia="宋体" w:cs="Times New Roman"/>
                      <w:color w:val="auto"/>
                      <w:kern w:val="2"/>
                      <w:sz w:val="21"/>
                      <w:szCs w:val="21"/>
                      <w:lang w:val="zh-CN" w:eastAsia="zh-CN" w:bidi="zh-CN"/>
                    </w:rPr>
                  </w:pPr>
                  <w:r>
                    <w:rPr>
                      <w:rFonts w:ascii="Times New Roman" w:hAnsi="Times New Roman" w:eastAsia="宋体" w:cs="Times New Roman"/>
                      <w:color w:val="auto"/>
                      <w:kern w:val="2"/>
                      <w:sz w:val="21"/>
                      <w:szCs w:val="21"/>
                      <w:lang w:val="zh-CN" w:eastAsia="zh-CN" w:bidi="zh-CN"/>
                    </w:rPr>
                    <w:t>（无量纲）</w:t>
                  </w:r>
                </w:p>
              </w:tc>
              <w:tc>
                <w:tcPr>
                  <w:tcW w:w="453" w:type="pct"/>
                  <w:vMerge w:val="restart"/>
                  <w:vAlign w:val="center"/>
                </w:tcPr>
                <w:p>
                  <w:pPr>
                    <w:widowControl w:val="0"/>
                    <w:kinsoku w:val="0"/>
                    <w:overflowPunct w:val="0"/>
                    <w:spacing w:line="240" w:lineRule="auto"/>
                    <w:ind w:left="0" w:leftChars="0" w:firstLine="0" w:firstLineChars="0"/>
                    <w:jc w:val="both"/>
                    <w:rPr>
                      <w:rFonts w:ascii="Times New Roman" w:hAnsi="Times New Roman" w:eastAsia="宋体" w:cs="Times New Roman"/>
                      <w:color w:val="auto"/>
                      <w:kern w:val="2"/>
                      <w:sz w:val="21"/>
                      <w:szCs w:val="21"/>
                      <w:lang w:val="zh-CN" w:eastAsia="zh-CN" w:bidi="zh-CN"/>
                    </w:rPr>
                  </w:pPr>
                  <w:r>
                    <w:rPr>
                      <w:rFonts w:ascii="Times New Roman" w:hAnsi="Times New Roman" w:eastAsia="宋体" w:cs="Times New Roman"/>
                      <w:color w:val="auto"/>
                      <w:kern w:val="2"/>
                      <w:sz w:val="21"/>
                      <w:szCs w:val="21"/>
                      <w:lang w:val="zh-CN" w:eastAsia="zh-CN" w:bidi="zh-CN"/>
                    </w:rPr>
                    <w:t>污水处理厂</w:t>
                  </w:r>
                </w:p>
              </w:tc>
              <w:tc>
                <w:tcPr>
                  <w:tcW w:w="507" w:type="pct"/>
                  <w:vMerge w:val="restart"/>
                  <w:vAlign w:val="center"/>
                </w:tcPr>
                <w:p>
                  <w:pPr>
                    <w:widowControl w:val="0"/>
                    <w:wordWrap w:val="0"/>
                    <w:topLinePunct/>
                    <w:spacing w:line="240" w:lineRule="auto"/>
                    <w:ind w:left="0" w:leftChars="0" w:firstLine="0" w:firstLineChars="0"/>
                    <w:jc w:val="both"/>
                    <w:rPr>
                      <w:rFonts w:ascii="Times New Roman" w:hAnsi="Times New Roman" w:eastAsia="宋体" w:cs="Times New Roman"/>
                      <w:color w:val="auto"/>
                      <w:kern w:val="2"/>
                      <w:sz w:val="21"/>
                      <w:szCs w:val="21"/>
                      <w:lang w:val="zh-CN" w:eastAsia="zh-CN" w:bidi="zh-CN"/>
                    </w:rPr>
                  </w:pPr>
                  <w:r>
                    <w:rPr>
                      <w:rFonts w:ascii="Times New Roman" w:hAnsi="Times New Roman" w:eastAsia="宋体" w:cs="Times New Roman"/>
                      <w:color w:val="auto"/>
                      <w:kern w:val="2"/>
                      <w:sz w:val="21"/>
                      <w:szCs w:val="21"/>
                      <w:lang w:val="zh-CN" w:eastAsia="zh-CN" w:bidi="zh-CN"/>
                    </w:rPr>
                    <w:t>间断排放，排放期间流量不稳定且无规律，但不属于冲击型排放</w:t>
                  </w:r>
                </w:p>
              </w:tc>
              <w:tc>
                <w:tcPr>
                  <w:tcW w:w="442" w:type="pct"/>
                  <w:vMerge w:val="restart"/>
                  <w:vAlign w:val="center"/>
                </w:tcPr>
                <w:p>
                  <w:pPr>
                    <w:widowControl w:val="0"/>
                    <w:wordWrap w:val="0"/>
                    <w:topLinePunct/>
                    <w:spacing w:line="240" w:lineRule="auto"/>
                    <w:jc w:val="both"/>
                    <w:rPr>
                      <w:rFonts w:ascii="Times New Roman" w:hAnsi="Times New Roman" w:eastAsia="宋体" w:cs="Times New Roman"/>
                      <w:color w:val="auto"/>
                      <w:kern w:val="2"/>
                      <w:sz w:val="21"/>
                      <w:szCs w:val="21"/>
                      <w:lang w:val="en-US" w:eastAsia="zh-CN" w:bidi="zh-CN"/>
                    </w:rPr>
                  </w:pPr>
                  <w:r>
                    <w:rPr>
                      <w:rFonts w:hint="eastAsia" w:ascii="Times New Roman" w:hAnsi="Times New Roman" w:eastAsia="宋体" w:cs="Times New Roman"/>
                      <w:color w:val="auto"/>
                      <w:kern w:val="2"/>
                      <w:sz w:val="21"/>
                      <w:szCs w:val="21"/>
                      <w:lang w:val="en-US" w:eastAsia="zh-CN" w:bidi="zh-CN"/>
                    </w:rPr>
                    <w:t>/</w:t>
                  </w:r>
                </w:p>
              </w:tc>
              <w:tc>
                <w:tcPr>
                  <w:tcW w:w="439" w:type="pct"/>
                  <w:vMerge w:val="restart"/>
                  <w:vAlign w:val="center"/>
                </w:tcPr>
                <w:p>
                  <w:pPr>
                    <w:widowControl w:val="0"/>
                    <w:kinsoku w:val="0"/>
                    <w:overflowPunct w:val="0"/>
                    <w:spacing w:line="240" w:lineRule="auto"/>
                    <w:ind w:left="0" w:leftChars="0" w:firstLine="0" w:firstLineChars="0"/>
                    <w:jc w:val="both"/>
                    <w:rPr>
                      <w:rFonts w:ascii="Times New Roman" w:hAnsi="Times New Roman" w:eastAsia="宋体" w:cs="Times New Roman"/>
                      <w:color w:val="auto"/>
                      <w:kern w:val="2"/>
                      <w:sz w:val="21"/>
                      <w:szCs w:val="21"/>
                      <w:lang w:val="zh-CN" w:eastAsia="zh-CN" w:bidi="zh-CN"/>
                    </w:rPr>
                  </w:pPr>
                  <w:r>
                    <w:rPr>
                      <w:rFonts w:hint="eastAsia" w:ascii="Times New Roman" w:hAnsi="Times New Roman" w:eastAsia="宋体" w:cs="Times New Roman"/>
                      <w:color w:val="auto"/>
                      <w:kern w:val="2"/>
                      <w:sz w:val="21"/>
                      <w:szCs w:val="21"/>
                      <w:lang w:val="zh-CN" w:eastAsia="zh-CN" w:bidi="zh-CN"/>
                    </w:rPr>
                    <w:t>化粪池</w:t>
                  </w:r>
                </w:p>
              </w:tc>
              <w:tc>
                <w:tcPr>
                  <w:tcW w:w="489" w:type="pct"/>
                  <w:vMerge w:val="restart"/>
                  <w:vAlign w:val="center"/>
                </w:tcPr>
                <w:p>
                  <w:pPr>
                    <w:widowControl w:val="0"/>
                    <w:kinsoku w:val="0"/>
                    <w:overflowPunct w:val="0"/>
                    <w:spacing w:line="240" w:lineRule="auto"/>
                    <w:ind w:left="0" w:leftChars="0" w:firstLine="0" w:firstLineChars="0"/>
                    <w:jc w:val="center"/>
                    <w:rPr>
                      <w:rFonts w:ascii="Times New Roman" w:hAnsi="Times New Roman" w:eastAsia="宋体" w:cs="Times New Roman"/>
                      <w:color w:val="auto"/>
                      <w:kern w:val="2"/>
                      <w:sz w:val="21"/>
                      <w:szCs w:val="21"/>
                      <w:lang w:val="zh-CN" w:eastAsia="zh-CN" w:bidi="zh-CN"/>
                    </w:rPr>
                  </w:pPr>
                  <w:r>
                    <w:rPr>
                      <w:rFonts w:hint="eastAsia" w:ascii="Times New Roman" w:hAnsi="Times New Roman" w:eastAsia="宋体" w:cs="Times New Roman"/>
                      <w:color w:val="auto"/>
                      <w:kern w:val="2"/>
                      <w:sz w:val="21"/>
                      <w:szCs w:val="21"/>
                      <w:lang w:val="zh-CN" w:eastAsia="zh-CN" w:bidi="zh-CN"/>
                    </w:rPr>
                    <w:t>物理沉淀</w:t>
                  </w:r>
                </w:p>
              </w:tc>
              <w:tc>
                <w:tcPr>
                  <w:tcW w:w="465" w:type="pct"/>
                  <w:vMerge w:val="restart"/>
                  <w:vAlign w:val="center"/>
                </w:tcPr>
                <w:p>
                  <w:pPr>
                    <w:widowControl w:val="0"/>
                    <w:wordWrap w:val="0"/>
                    <w:topLinePunct/>
                    <w:spacing w:line="240" w:lineRule="auto"/>
                    <w:ind w:left="0" w:leftChars="0" w:firstLine="0" w:firstLineChars="0"/>
                    <w:jc w:val="both"/>
                    <w:rPr>
                      <w:rFonts w:ascii="Times New Roman" w:hAnsi="Times New Roman" w:eastAsia="宋体" w:cs="Times New Roman"/>
                      <w:color w:val="auto"/>
                      <w:kern w:val="2"/>
                      <w:sz w:val="21"/>
                      <w:szCs w:val="21"/>
                      <w:lang w:val="zh-CN" w:eastAsia="zh-CN" w:bidi="zh-CN"/>
                    </w:rPr>
                  </w:pPr>
                  <w:r>
                    <w:rPr>
                      <w:rFonts w:ascii="Times New Roman" w:hAnsi="Times New Roman" w:eastAsia="宋体" w:cs="Times New Roman"/>
                      <w:color w:val="auto"/>
                      <w:kern w:val="2"/>
                      <w:sz w:val="21"/>
                      <w:szCs w:val="21"/>
                      <w:lang w:val="zh-CN" w:eastAsia="zh-CN" w:bidi="zh-CN"/>
                    </w:rPr>
                    <w:t>DW001</w:t>
                  </w:r>
                </w:p>
              </w:tc>
              <w:tc>
                <w:tcPr>
                  <w:tcW w:w="494" w:type="pct"/>
                  <w:vMerge w:val="restart"/>
                  <w:vAlign w:val="center"/>
                </w:tcPr>
                <w:p>
                  <w:pPr>
                    <w:widowControl w:val="0"/>
                    <w:wordWrap w:val="0"/>
                    <w:topLinePunct/>
                    <w:spacing w:line="240" w:lineRule="auto"/>
                    <w:ind w:left="0" w:leftChars="0" w:firstLine="210" w:firstLineChars="100"/>
                    <w:jc w:val="both"/>
                    <w:rPr>
                      <w:rFonts w:ascii="Times New Roman" w:hAnsi="Times New Roman" w:eastAsia="宋体" w:cs="Times New Roman"/>
                      <w:color w:val="auto"/>
                      <w:kern w:val="2"/>
                      <w:sz w:val="21"/>
                      <w:szCs w:val="21"/>
                      <w:lang w:val="zh-CN" w:eastAsia="zh-CN" w:bidi="zh-CN"/>
                    </w:rPr>
                  </w:pPr>
                  <w:r>
                    <w:rPr>
                      <w:rFonts w:ascii="Times New Roman" w:hAnsi="Times New Roman" w:eastAsia="宋体" w:cs="Times New Roman"/>
                      <w:color w:val="auto"/>
                      <w:kern w:val="2"/>
                      <w:sz w:val="21"/>
                      <w:szCs w:val="21"/>
                      <w:lang w:val="zh-CN" w:eastAsia="zh-CN" w:bidi="zh-CN"/>
                    </w:rPr>
                    <w:t>是</w:t>
                  </w:r>
                </w:p>
                <w:p>
                  <w:pPr>
                    <w:widowControl w:val="0"/>
                    <w:kinsoku w:val="0"/>
                    <w:overflowPunct w:val="0"/>
                    <w:spacing w:line="240" w:lineRule="auto"/>
                    <w:jc w:val="both"/>
                    <w:rPr>
                      <w:rFonts w:ascii="Times New Roman" w:hAnsi="Times New Roman" w:eastAsia="宋体" w:cs="Times New Roman"/>
                      <w:color w:val="auto"/>
                      <w:kern w:val="2"/>
                      <w:sz w:val="21"/>
                      <w:szCs w:val="21"/>
                      <w:lang w:val="zh-CN" w:eastAsia="zh-CN" w:bidi="zh-CN"/>
                    </w:rPr>
                  </w:pPr>
                </w:p>
              </w:tc>
              <w:tc>
                <w:tcPr>
                  <w:tcW w:w="572" w:type="pct"/>
                  <w:vMerge w:val="restart"/>
                  <w:vAlign w:val="center"/>
                </w:tcPr>
                <w:p>
                  <w:pPr>
                    <w:widowControl w:val="0"/>
                    <w:wordWrap w:val="0"/>
                    <w:topLinePunct/>
                    <w:spacing w:line="240" w:lineRule="auto"/>
                    <w:ind w:left="0" w:leftChars="0" w:firstLine="0" w:firstLineChars="0"/>
                    <w:jc w:val="both"/>
                    <w:rPr>
                      <w:rFonts w:ascii="Times New Roman" w:hAnsi="Times New Roman" w:eastAsia="宋体" w:cs="Times New Roman"/>
                      <w:color w:val="auto"/>
                      <w:kern w:val="2"/>
                      <w:sz w:val="21"/>
                      <w:szCs w:val="21"/>
                      <w:lang w:val="zh-CN" w:eastAsia="zh-CN" w:bidi="zh-CN"/>
                    </w:rPr>
                  </w:pPr>
                  <w:r>
                    <w:rPr>
                      <w:rFonts w:ascii="Times New Roman" w:hAnsi="Times New Roman" w:eastAsia="宋体" w:cs="Times New Roman"/>
                      <w:color w:val="auto"/>
                      <w:kern w:val="2"/>
                      <w:sz w:val="21"/>
                      <w:szCs w:val="21"/>
                      <w:lang w:val="zh-CN" w:eastAsia="zh-CN" w:bidi="zh-CN"/>
                    </w:rPr>
                    <w:sym w:font="Wingdings 2" w:char="0052"/>
                  </w:r>
                  <w:r>
                    <w:rPr>
                      <w:rFonts w:ascii="Times New Roman" w:hAnsi="Times New Roman" w:eastAsia="宋体" w:cs="Times New Roman"/>
                      <w:color w:val="auto"/>
                      <w:kern w:val="2"/>
                      <w:sz w:val="21"/>
                      <w:szCs w:val="21"/>
                      <w:lang w:val="zh-CN" w:eastAsia="zh-CN" w:bidi="zh-CN"/>
                    </w:rPr>
                    <w:t>企业总排</w:t>
                  </w:r>
                </w:p>
                <w:p>
                  <w:pPr>
                    <w:widowControl w:val="0"/>
                    <w:wordWrap w:val="0"/>
                    <w:topLinePunct/>
                    <w:spacing w:line="240" w:lineRule="auto"/>
                    <w:ind w:left="0" w:leftChars="0" w:firstLine="0" w:firstLineChars="0"/>
                    <w:jc w:val="both"/>
                    <w:rPr>
                      <w:rFonts w:ascii="Times New Roman" w:hAnsi="Times New Roman" w:eastAsia="宋体" w:cs="Times New Roman"/>
                      <w:color w:val="auto"/>
                      <w:kern w:val="2"/>
                      <w:sz w:val="21"/>
                      <w:szCs w:val="21"/>
                      <w:lang w:val="zh-CN" w:eastAsia="zh-CN" w:bidi="zh-CN"/>
                    </w:rPr>
                  </w:pPr>
                  <w:r>
                    <w:rPr>
                      <w:rFonts w:ascii="Times New Roman" w:hAnsi="Times New Roman" w:eastAsia="宋体" w:cs="Times New Roman"/>
                      <w:color w:val="auto"/>
                      <w:kern w:val="2"/>
                      <w:sz w:val="21"/>
                      <w:szCs w:val="21"/>
                      <w:lang w:val="zh-CN" w:eastAsia="zh-CN" w:bidi="zh-CN"/>
                    </w:rPr>
                    <w:sym w:font="Wingdings 2" w:char="00A3"/>
                  </w:r>
                  <w:r>
                    <w:rPr>
                      <w:rFonts w:ascii="Times New Roman" w:hAnsi="Times New Roman" w:eastAsia="宋体" w:cs="Times New Roman"/>
                      <w:color w:val="auto"/>
                      <w:kern w:val="2"/>
                      <w:sz w:val="21"/>
                      <w:szCs w:val="21"/>
                      <w:lang w:val="zh-CN" w:eastAsia="zh-CN" w:bidi="zh-CN"/>
                    </w:rPr>
                    <w:t>雨水排放</w:t>
                  </w:r>
                </w:p>
                <w:p>
                  <w:pPr>
                    <w:widowControl w:val="0"/>
                    <w:wordWrap w:val="0"/>
                    <w:topLinePunct/>
                    <w:spacing w:line="240" w:lineRule="auto"/>
                    <w:ind w:left="0" w:leftChars="0" w:firstLine="0" w:firstLineChars="0"/>
                    <w:jc w:val="both"/>
                    <w:rPr>
                      <w:rFonts w:ascii="Times New Roman" w:hAnsi="Times New Roman" w:eastAsia="宋体" w:cs="Times New Roman"/>
                      <w:color w:val="auto"/>
                      <w:kern w:val="2"/>
                      <w:sz w:val="21"/>
                      <w:szCs w:val="21"/>
                      <w:lang w:val="zh-CN" w:eastAsia="zh-CN" w:bidi="zh-CN"/>
                    </w:rPr>
                  </w:pPr>
                  <w:r>
                    <w:rPr>
                      <w:rFonts w:ascii="Times New Roman" w:hAnsi="Times New Roman" w:eastAsia="宋体" w:cs="Times New Roman"/>
                      <w:color w:val="auto"/>
                      <w:kern w:val="2"/>
                      <w:sz w:val="21"/>
                      <w:szCs w:val="21"/>
                      <w:lang w:val="zh-CN" w:eastAsia="zh-CN" w:bidi="zh-CN"/>
                    </w:rPr>
                    <w:sym w:font="Wingdings 2" w:char="00A3"/>
                  </w:r>
                  <w:r>
                    <w:rPr>
                      <w:rFonts w:ascii="Times New Roman" w:hAnsi="Times New Roman" w:eastAsia="宋体" w:cs="Times New Roman"/>
                      <w:color w:val="auto"/>
                      <w:kern w:val="2"/>
                      <w:sz w:val="21"/>
                      <w:szCs w:val="21"/>
                      <w:lang w:val="zh-CN" w:eastAsia="zh-CN" w:bidi="zh-CN"/>
                    </w:rPr>
                    <w:t>清净下水排放</w:t>
                  </w:r>
                </w:p>
                <w:p>
                  <w:pPr>
                    <w:widowControl w:val="0"/>
                    <w:wordWrap w:val="0"/>
                    <w:topLinePunct/>
                    <w:spacing w:line="240" w:lineRule="auto"/>
                    <w:ind w:left="0" w:leftChars="0" w:firstLine="0" w:firstLineChars="0"/>
                    <w:jc w:val="both"/>
                    <w:rPr>
                      <w:rFonts w:ascii="Times New Roman" w:hAnsi="Times New Roman" w:eastAsia="宋体" w:cs="Times New Roman"/>
                      <w:color w:val="auto"/>
                      <w:kern w:val="2"/>
                      <w:sz w:val="21"/>
                      <w:szCs w:val="21"/>
                      <w:lang w:val="zh-CN" w:eastAsia="zh-CN" w:bidi="zh-CN"/>
                    </w:rPr>
                  </w:pPr>
                  <w:r>
                    <w:rPr>
                      <w:rFonts w:ascii="Times New Roman" w:hAnsi="Times New Roman" w:eastAsia="宋体" w:cs="Times New Roman"/>
                      <w:color w:val="auto"/>
                      <w:kern w:val="2"/>
                      <w:sz w:val="21"/>
                      <w:szCs w:val="21"/>
                      <w:lang w:val="zh-CN" w:eastAsia="zh-CN" w:bidi="zh-CN"/>
                    </w:rPr>
                    <w:sym w:font="Wingdings 2" w:char="00A3"/>
                  </w:r>
                  <w:r>
                    <w:rPr>
                      <w:rFonts w:ascii="Times New Roman" w:hAnsi="Times New Roman" w:eastAsia="宋体" w:cs="Times New Roman"/>
                      <w:color w:val="auto"/>
                      <w:kern w:val="2"/>
                      <w:sz w:val="21"/>
                      <w:szCs w:val="21"/>
                      <w:lang w:val="zh-CN" w:eastAsia="zh-CN" w:bidi="zh-CN"/>
                    </w:rPr>
                    <w:t>温排水排放</w:t>
                  </w:r>
                  <w:r>
                    <w:rPr>
                      <w:rFonts w:ascii="Times New Roman" w:hAnsi="Times New Roman" w:eastAsia="宋体" w:cs="Times New Roman"/>
                      <w:color w:val="auto"/>
                      <w:kern w:val="2"/>
                      <w:sz w:val="21"/>
                      <w:szCs w:val="21"/>
                      <w:lang w:val="zh-CN" w:eastAsia="zh-CN" w:bidi="zh-CN"/>
                    </w:rPr>
                    <w:sym w:font="Wingdings 2" w:char="00A3"/>
                  </w:r>
                  <w:r>
                    <w:rPr>
                      <w:rFonts w:ascii="Times New Roman" w:hAnsi="Times New Roman" w:eastAsia="宋体" w:cs="Times New Roman"/>
                      <w:color w:val="auto"/>
                      <w:kern w:val="2"/>
                      <w:sz w:val="21"/>
                      <w:szCs w:val="21"/>
                      <w:lang w:val="zh-CN" w:eastAsia="zh-CN" w:bidi="zh-CN"/>
                    </w:rPr>
                    <w:t>车间或车间处理设施排放口</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415" w:type="pct"/>
                  <w:vMerge w:val="continue"/>
                  <w:vAlign w:val="center"/>
                </w:tcPr>
                <w:p>
                  <w:pPr>
                    <w:spacing w:line="240" w:lineRule="auto"/>
                    <w:ind w:firstLine="0" w:firstLineChars="0"/>
                    <w:jc w:val="center"/>
                    <w:rPr>
                      <w:rFonts w:eastAsia="宋体"/>
                      <w:color w:val="auto"/>
                      <w:sz w:val="21"/>
                      <w:szCs w:val="21"/>
                    </w:rPr>
                  </w:pPr>
                </w:p>
              </w:tc>
              <w:tc>
                <w:tcPr>
                  <w:tcW w:w="720" w:type="pct"/>
                  <w:vAlign w:val="center"/>
                </w:tcPr>
                <w:p>
                  <w:pPr>
                    <w:widowControl w:val="0"/>
                    <w:kinsoku w:val="0"/>
                    <w:overflowPunct w:val="0"/>
                    <w:spacing w:line="265" w:lineRule="exact"/>
                    <w:ind w:left="0" w:leftChars="0" w:firstLine="0" w:firstLineChars="0"/>
                    <w:jc w:val="center"/>
                    <w:rPr>
                      <w:rFonts w:ascii="Times New Roman" w:hAnsi="Times New Roman" w:eastAsia="宋体" w:cs="Times New Roman"/>
                      <w:color w:val="auto"/>
                      <w:kern w:val="2"/>
                      <w:sz w:val="21"/>
                      <w:szCs w:val="21"/>
                      <w:lang w:val="zh-CN" w:eastAsia="zh-CN" w:bidi="zh-CN"/>
                    </w:rPr>
                  </w:pPr>
                  <w:r>
                    <w:rPr>
                      <w:rFonts w:ascii="Times New Roman" w:hAnsi="Times New Roman" w:eastAsia="宋体" w:cs="Times New Roman"/>
                      <w:color w:val="auto"/>
                      <w:kern w:val="2"/>
                      <w:sz w:val="21"/>
                      <w:szCs w:val="21"/>
                      <w:lang w:val="zh-CN" w:eastAsia="zh-CN" w:bidi="zh-CN"/>
                    </w:rPr>
                    <w:t>COD</w:t>
                  </w:r>
                </w:p>
              </w:tc>
              <w:tc>
                <w:tcPr>
                  <w:tcW w:w="453" w:type="pct"/>
                  <w:vMerge w:val="continue"/>
                  <w:vAlign w:val="center"/>
                </w:tcPr>
                <w:p>
                  <w:pPr>
                    <w:spacing w:line="240" w:lineRule="auto"/>
                    <w:ind w:firstLine="0" w:firstLineChars="0"/>
                    <w:rPr>
                      <w:rFonts w:eastAsia="宋体"/>
                      <w:color w:val="auto"/>
                      <w:sz w:val="21"/>
                      <w:szCs w:val="21"/>
                    </w:rPr>
                  </w:pPr>
                </w:p>
              </w:tc>
              <w:tc>
                <w:tcPr>
                  <w:tcW w:w="507" w:type="pct"/>
                  <w:vMerge w:val="continue"/>
                  <w:vAlign w:val="center"/>
                </w:tcPr>
                <w:p>
                  <w:pPr>
                    <w:spacing w:line="240" w:lineRule="auto"/>
                    <w:ind w:firstLine="0" w:firstLineChars="0"/>
                    <w:rPr>
                      <w:rFonts w:eastAsia="宋体"/>
                      <w:color w:val="auto"/>
                      <w:sz w:val="21"/>
                      <w:szCs w:val="21"/>
                    </w:rPr>
                  </w:pPr>
                </w:p>
              </w:tc>
              <w:tc>
                <w:tcPr>
                  <w:tcW w:w="442" w:type="pct"/>
                  <w:vMerge w:val="continue"/>
                  <w:vAlign w:val="center"/>
                </w:tcPr>
                <w:p>
                  <w:pPr>
                    <w:spacing w:line="240" w:lineRule="auto"/>
                    <w:ind w:firstLine="0" w:firstLineChars="0"/>
                    <w:rPr>
                      <w:rFonts w:eastAsia="宋体"/>
                      <w:color w:val="auto"/>
                      <w:sz w:val="21"/>
                      <w:szCs w:val="21"/>
                    </w:rPr>
                  </w:pPr>
                </w:p>
              </w:tc>
              <w:tc>
                <w:tcPr>
                  <w:tcW w:w="439" w:type="pct"/>
                  <w:vMerge w:val="continue"/>
                  <w:vAlign w:val="center"/>
                </w:tcPr>
                <w:p>
                  <w:pPr>
                    <w:spacing w:line="240" w:lineRule="auto"/>
                    <w:ind w:firstLine="0" w:firstLineChars="0"/>
                    <w:rPr>
                      <w:rFonts w:eastAsia="宋体"/>
                      <w:color w:val="auto"/>
                      <w:sz w:val="21"/>
                      <w:szCs w:val="21"/>
                    </w:rPr>
                  </w:pPr>
                </w:p>
              </w:tc>
              <w:tc>
                <w:tcPr>
                  <w:tcW w:w="489" w:type="pct"/>
                  <w:vMerge w:val="continue"/>
                  <w:vAlign w:val="center"/>
                </w:tcPr>
                <w:p>
                  <w:pPr>
                    <w:spacing w:line="240" w:lineRule="auto"/>
                    <w:ind w:firstLine="0" w:firstLineChars="0"/>
                    <w:rPr>
                      <w:rFonts w:eastAsia="宋体"/>
                      <w:color w:val="auto"/>
                      <w:sz w:val="21"/>
                      <w:szCs w:val="21"/>
                    </w:rPr>
                  </w:pPr>
                </w:p>
              </w:tc>
              <w:tc>
                <w:tcPr>
                  <w:tcW w:w="465" w:type="pct"/>
                  <w:vMerge w:val="continue"/>
                  <w:vAlign w:val="center"/>
                </w:tcPr>
                <w:p>
                  <w:pPr>
                    <w:spacing w:line="240" w:lineRule="auto"/>
                    <w:ind w:firstLine="0" w:firstLineChars="0"/>
                    <w:rPr>
                      <w:rFonts w:eastAsia="宋体"/>
                      <w:color w:val="auto"/>
                      <w:sz w:val="21"/>
                      <w:szCs w:val="21"/>
                    </w:rPr>
                  </w:pPr>
                </w:p>
              </w:tc>
              <w:tc>
                <w:tcPr>
                  <w:tcW w:w="494" w:type="pct"/>
                  <w:vMerge w:val="continue"/>
                  <w:vAlign w:val="center"/>
                </w:tcPr>
                <w:p>
                  <w:pPr>
                    <w:spacing w:line="240" w:lineRule="auto"/>
                    <w:ind w:firstLine="0" w:firstLineChars="0"/>
                    <w:rPr>
                      <w:rFonts w:eastAsia="宋体"/>
                      <w:color w:val="auto"/>
                      <w:sz w:val="21"/>
                      <w:szCs w:val="21"/>
                    </w:rPr>
                  </w:pPr>
                </w:p>
              </w:tc>
              <w:tc>
                <w:tcPr>
                  <w:tcW w:w="572" w:type="pct"/>
                  <w:vMerge w:val="continue"/>
                  <w:vAlign w:val="center"/>
                </w:tcPr>
                <w:p>
                  <w:pPr>
                    <w:spacing w:line="240" w:lineRule="auto"/>
                    <w:ind w:firstLine="0" w:firstLineChars="0"/>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415" w:type="pct"/>
                  <w:vMerge w:val="continue"/>
                  <w:vAlign w:val="center"/>
                </w:tcPr>
                <w:p>
                  <w:pPr>
                    <w:spacing w:line="240" w:lineRule="auto"/>
                    <w:ind w:firstLine="0" w:firstLineChars="0"/>
                    <w:jc w:val="center"/>
                    <w:rPr>
                      <w:rFonts w:eastAsia="宋体"/>
                      <w:color w:val="auto"/>
                      <w:sz w:val="21"/>
                      <w:szCs w:val="21"/>
                    </w:rPr>
                  </w:pPr>
                </w:p>
              </w:tc>
              <w:tc>
                <w:tcPr>
                  <w:tcW w:w="720" w:type="pct"/>
                  <w:vAlign w:val="center"/>
                </w:tcPr>
                <w:p>
                  <w:pPr>
                    <w:widowControl w:val="0"/>
                    <w:kinsoku w:val="0"/>
                    <w:overflowPunct w:val="0"/>
                    <w:spacing w:line="265" w:lineRule="exact"/>
                    <w:ind w:left="0" w:leftChars="0" w:firstLine="0" w:firstLineChars="0"/>
                    <w:jc w:val="center"/>
                    <w:rPr>
                      <w:rFonts w:ascii="Times New Roman" w:hAnsi="Times New Roman" w:eastAsia="宋体" w:cs="Times New Roman"/>
                      <w:color w:val="auto"/>
                      <w:kern w:val="2"/>
                      <w:sz w:val="21"/>
                      <w:szCs w:val="21"/>
                      <w:lang w:val="zh-CN" w:eastAsia="zh-CN" w:bidi="zh-CN"/>
                    </w:rPr>
                  </w:pPr>
                  <w:r>
                    <w:rPr>
                      <w:rFonts w:ascii="Times New Roman" w:hAnsi="Times New Roman" w:eastAsia="宋体" w:cs="Times New Roman"/>
                      <w:color w:val="auto"/>
                      <w:kern w:val="2"/>
                      <w:sz w:val="21"/>
                      <w:szCs w:val="21"/>
                      <w:lang w:val="zh-CN" w:eastAsia="zh-CN" w:bidi="zh-CN"/>
                    </w:rPr>
                    <w:t>BOD</w:t>
                  </w:r>
                  <w:r>
                    <w:rPr>
                      <w:rFonts w:ascii="Times New Roman" w:hAnsi="Times New Roman" w:eastAsia="宋体" w:cs="Times New Roman"/>
                      <w:color w:val="auto"/>
                      <w:kern w:val="2"/>
                      <w:sz w:val="21"/>
                      <w:szCs w:val="21"/>
                      <w:vertAlign w:val="subscript"/>
                      <w:lang w:val="zh-CN" w:eastAsia="zh-CN" w:bidi="zh-CN"/>
                    </w:rPr>
                    <w:t>5</w:t>
                  </w:r>
                </w:p>
              </w:tc>
              <w:tc>
                <w:tcPr>
                  <w:tcW w:w="453" w:type="pct"/>
                  <w:vMerge w:val="continue"/>
                  <w:vAlign w:val="center"/>
                </w:tcPr>
                <w:p>
                  <w:pPr>
                    <w:spacing w:line="240" w:lineRule="auto"/>
                    <w:ind w:firstLine="0" w:firstLineChars="0"/>
                    <w:rPr>
                      <w:rFonts w:eastAsia="宋体"/>
                      <w:color w:val="auto"/>
                      <w:sz w:val="21"/>
                      <w:szCs w:val="21"/>
                    </w:rPr>
                  </w:pPr>
                </w:p>
              </w:tc>
              <w:tc>
                <w:tcPr>
                  <w:tcW w:w="507" w:type="pct"/>
                  <w:vMerge w:val="continue"/>
                  <w:vAlign w:val="center"/>
                </w:tcPr>
                <w:p>
                  <w:pPr>
                    <w:spacing w:line="240" w:lineRule="auto"/>
                    <w:ind w:firstLine="0" w:firstLineChars="0"/>
                    <w:rPr>
                      <w:rFonts w:eastAsia="宋体"/>
                      <w:color w:val="auto"/>
                      <w:sz w:val="21"/>
                      <w:szCs w:val="21"/>
                    </w:rPr>
                  </w:pPr>
                </w:p>
              </w:tc>
              <w:tc>
                <w:tcPr>
                  <w:tcW w:w="442" w:type="pct"/>
                  <w:vMerge w:val="continue"/>
                  <w:vAlign w:val="center"/>
                </w:tcPr>
                <w:p>
                  <w:pPr>
                    <w:spacing w:line="240" w:lineRule="auto"/>
                    <w:ind w:firstLine="0" w:firstLineChars="0"/>
                    <w:rPr>
                      <w:rFonts w:eastAsia="宋体"/>
                      <w:color w:val="auto"/>
                      <w:sz w:val="21"/>
                      <w:szCs w:val="21"/>
                    </w:rPr>
                  </w:pPr>
                </w:p>
              </w:tc>
              <w:tc>
                <w:tcPr>
                  <w:tcW w:w="439" w:type="pct"/>
                  <w:vMerge w:val="continue"/>
                  <w:vAlign w:val="center"/>
                </w:tcPr>
                <w:p>
                  <w:pPr>
                    <w:spacing w:line="240" w:lineRule="auto"/>
                    <w:ind w:firstLine="0" w:firstLineChars="0"/>
                    <w:rPr>
                      <w:rFonts w:eastAsia="宋体"/>
                      <w:color w:val="auto"/>
                      <w:sz w:val="21"/>
                      <w:szCs w:val="21"/>
                    </w:rPr>
                  </w:pPr>
                </w:p>
              </w:tc>
              <w:tc>
                <w:tcPr>
                  <w:tcW w:w="489" w:type="pct"/>
                  <w:vMerge w:val="continue"/>
                  <w:vAlign w:val="center"/>
                </w:tcPr>
                <w:p>
                  <w:pPr>
                    <w:spacing w:line="240" w:lineRule="auto"/>
                    <w:ind w:firstLine="0" w:firstLineChars="0"/>
                    <w:rPr>
                      <w:rFonts w:eastAsia="宋体"/>
                      <w:color w:val="auto"/>
                      <w:sz w:val="21"/>
                      <w:szCs w:val="21"/>
                    </w:rPr>
                  </w:pPr>
                </w:p>
              </w:tc>
              <w:tc>
                <w:tcPr>
                  <w:tcW w:w="465" w:type="pct"/>
                  <w:vMerge w:val="continue"/>
                  <w:vAlign w:val="center"/>
                </w:tcPr>
                <w:p>
                  <w:pPr>
                    <w:spacing w:line="240" w:lineRule="auto"/>
                    <w:ind w:firstLine="0" w:firstLineChars="0"/>
                    <w:rPr>
                      <w:rFonts w:eastAsia="宋体"/>
                      <w:color w:val="auto"/>
                      <w:sz w:val="21"/>
                      <w:szCs w:val="21"/>
                    </w:rPr>
                  </w:pPr>
                </w:p>
              </w:tc>
              <w:tc>
                <w:tcPr>
                  <w:tcW w:w="494" w:type="pct"/>
                  <w:vMerge w:val="continue"/>
                  <w:vAlign w:val="center"/>
                </w:tcPr>
                <w:p>
                  <w:pPr>
                    <w:spacing w:line="240" w:lineRule="auto"/>
                    <w:ind w:firstLine="0" w:firstLineChars="0"/>
                    <w:rPr>
                      <w:rFonts w:eastAsia="宋体"/>
                      <w:color w:val="auto"/>
                      <w:sz w:val="21"/>
                      <w:szCs w:val="21"/>
                    </w:rPr>
                  </w:pPr>
                </w:p>
              </w:tc>
              <w:tc>
                <w:tcPr>
                  <w:tcW w:w="572" w:type="pct"/>
                  <w:vMerge w:val="continue"/>
                  <w:vAlign w:val="center"/>
                </w:tcPr>
                <w:p>
                  <w:pPr>
                    <w:spacing w:line="240" w:lineRule="auto"/>
                    <w:ind w:firstLine="0" w:firstLineChars="0"/>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415" w:type="pct"/>
                  <w:vMerge w:val="continue"/>
                  <w:vAlign w:val="center"/>
                </w:tcPr>
                <w:p>
                  <w:pPr>
                    <w:spacing w:line="240" w:lineRule="auto"/>
                    <w:ind w:firstLine="0" w:firstLineChars="0"/>
                    <w:jc w:val="center"/>
                    <w:rPr>
                      <w:rFonts w:eastAsia="宋体"/>
                      <w:color w:val="auto"/>
                      <w:sz w:val="21"/>
                      <w:szCs w:val="21"/>
                    </w:rPr>
                  </w:pPr>
                </w:p>
              </w:tc>
              <w:tc>
                <w:tcPr>
                  <w:tcW w:w="720" w:type="pct"/>
                  <w:vAlign w:val="center"/>
                </w:tcPr>
                <w:p>
                  <w:pPr>
                    <w:widowControl w:val="0"/>
                    <w:kinsoku w:val="0"/>
                    <w:overflowPunct w:val="0"/>
                    <w:spacing w:line="265" w:lineRule="exact"/>
                    <w:ind w:left="0" w:leftChars="0" w:firstLine="0" w:firstLineChars="0"/>
                    <w:jc w:val="center"/>
                    <w:rPr>
                      <w:rFonts w:ascii="Times New Roman" w:hAnsi="Times New Roman" w:eastAsia="宋体" w:cs="Times New Roman"/>
                      <w:color w:val="auto"/>
                      <w:kern w:val="2"/>
                      <w:sz w:val="21"/>
                      <w:szCs w:val="21"/>
                      <w:lang w:val="zh-CN" w:eastAsia="zh-CN" w:bidi="zh-CN"/>
                    </w:rPr>
                  </w:pPr>
                  <w:r>
                    <w:rPr>
                      <w:rFonts w:ascii="Times New Roman" w:hAnsi="Times New Roman" w:eastAsia="宋体" w:cs="Times New Roman"/>
                      <w:color w:val="auto"/>
                      <w:kern w:val="2"/>
                      <w:sz w:val="21"/>
                      <w:szCs w:val="21"/>
                      <w:lang w:val="zh-CN" w:eastAsia="zh-CN" w:bidi="zh-CN"/>
                    </w:rPr>
                    <w:t>SS</w:t>
                  </w:r>
                </w:p>
              </w:tc>
              <w:tc>
                <w:tcPr>
                  <w:tcW w:w="453" w:type="pct"/>
                  <w:vMerge w:val="continue"/>
                  <w:vAlign w:val="center"/>
                </w:tcPr>
                <w:p>
                  <w:pPr>
                    <w:spacing w:line="240" w:lineRule="auto"/>
                    <w:ind w:firstLine="0" w:firstLineChars="0"/>
                    <w:rPr>
                      <w:rFonts w:eastAsia="宋体"/>
                      <w:color w:val="auto"/>
                      <w:sz w:val="21"/>
                      <w:szCs w:val="21"/>
                    </w:rPr>
                  </w:pPr>
                </w:p>
              </w:tc>
              <w:tc>
                <w:tcPr>
                  <w:tcW w:w="507" w:type="pct"/>
                  <w:vMerge w:val="continue"/>
                  <w:vAlign w:val="center"/>
                </w:tcPr>
                <w:p>
                  <w:pPr>
                    <w:spacing w:line="240" w:lineRule="auto"/>
                    <w:ind w:firstLine="0" w:firstLineChars="0"/>
                    <w:rPr>
                      <w:rFonts w:eastAsia="宋体"/>
                      <w:color w:val="auto"/>
                      <w:sz w:val="21"/>
                      <w:szCs w:val="21"/>
                    </w:rPr>
                  </w:pPr>
                </w:p>
              </w:tc>
              <w:tc>
                <w:tcPr>
                  <w:tcW w:w="442" w:type="pct"/>
                  <w:vMerge w:val="continue"/>
                  <w:vAlign w:val="center"/>
                </w:tcPr>
                <w:p>
                  <w:pPr>
                    <w:spacing w:line="240" w:lineRule="auto"/>
                    <w:ind w:firstLine="0" w:firstLineChars="0"/>
                    <w:rPr>
                      <w:rFonts w:eastAsia="宋体"/>
                      <w:color w:val="auto"/>
                      <w:sz w:val="21"/>
                      <w:szCs w:val="21"/>
                    </w:rPr>
                  </w:pPr>
                </w:p>
              </w:tc>
              <w:tc>
                <w:tcPr>
                  <w:tcW w:w="439" w:type="pct"/>
                  <w:vMerge w:val="continue"/>
                  <w:vAlign w:val="center"/>
                </w:tcPr>
                <w:p>
                  <w:pPr>
                    <w:spacing w:line="240" w:lineRule="auto"/>
                    <w:ind w:firstLine="0" w:firstLineChars="0"/>
                    <w:rPr>
                      <w:rFonts w:eastAsia="宋体"/>
                      <w:color w:val="auto"/>
                      <w:sz w:val="21"/>
                      <w:szCs w:val="21"/>
                    </w:rPr>
                  </w:pPr>
                </w:p>
              </w:tc>
              <w:tc>
                <w:tcPr>
                  <w:tcW w:w="489" w:type="pct"/>
                  <w:vMerge w:val="continue"/>
                  <w:vAlign w:val="center"/>
                </w:tcPr>
                <w:p>
                  <w:pPr>
                    <w:spacing w:line="240" w:lineRule="auto"/>
                    <w:ind w:firstLine="0" w:firstLineChars="0"/>
                    <w:rPr>
                      <w:rFonts w:eastAsia="宋体"/>
                      <w:color w:val="auto"/>
                      <w:sz w:val="21"/>
                      <w:szCs w:val="21"/>
                    </w:rPr>
                  </w:pPr>
                </w:p>
              </w:tc>
              <w:tc>
                <w:tcPr>
                  <w:tcW w:w="465" w:type="pct"/>
                  <w:vMerge w:val="continue"/>
                  <w:vAlign w:val="center"/>
                </w:tcPr>
                <w:p>
                  <w:pPr>
                    <w:spacing w:line="240" w:lineRule="auto"/>
                    <w:ind w:firstLine="0" w:firstLineChars="0"/>
                    <w:rPr>
                      <w:rFonts w:eastAsia="宋体"/>
                      <w:color w:val="auto"/>
                      <w:sz w:val="21"/>
                      <w:szCs w:val="21"/>
                    </w:rPr>
                  </w:pPr>
                </w:p>
              </w:tc>
              <w:tc>
                <w:tcPr>
                  <w:tcW w:w="494" w:type="pct"/>
                  <w:vMerge w:val="continue"/>
                  <w:vAlign w:val="center"/>
                </w:tcPr>
                <w:p>
                  <w:pPr>
                    <w:spacing w:line="240" w:lineRule="auto"/>
                    <w:ind w:firstLine="0" w:firstLineChars="0"/>
                    <w:rPr>
                      <w:rFonts w:eastAsia="宋体"/>
                      <w:color w:val="auto"/>
                      <w:sz w:val="21"/>
                      <w:szCs w:val="21"/>
                    </w:rPr>
                  </w:pPr>
                </w:p>
              </w:tc>
              <w:tc>
                <w:tcPr>
                  <w:tcW w:w="572" w:type="pct"/>
                  <w:vMerge w:val="continue"/>
                  <w:vAlign w:val="center"/>
                </w:tcPr>
                <w:p>
                  <w:pPr>
                    <w:spacing w:line="240" w:lineRule="auto"/>
                    <w:ind w:firstLine="0" w:firstLineChars="0"/>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415" w:type="pct"/>
                  <w:vMerge w:val="continue"/>
                  <w:vAlign w:val="center"/>
                </w:tcPr>
                <w:p>
                  <w:pPr>
                    <w:spacing w:line="240" w:lineRule="auto"/>
                    <w:ind w:firstLine="0" w:firstLineChars="0"/>
                    <w:jc w:val="center"/>
                    <w:rPr>
                      <w:rFonts w:eastAsia="宋体"/>
                      <w:color w:val="auto"/>
                      <w:sz w:val="21"/>
                      <w:szCs w:val="21"/>
                    </w:rPr>
                  </w:pPr>
                </w:p>
              </w:tc>
              <w:tc>
                <w:tcPr>
                  <w:tcW w:w="720" w:type="pct"/>
                  <w:vAlign w:val="center"/>
                </w:tcPr>
                <w:p>
                  <w:pPr>
                    <w:widowControl w:val="0"/>
                    <w:kinsoku w:val="0"/>
                    <w:overflowPunct w:val="0"/>
                    <w:spacing w:line="265" w:lineRule="exact"/>
                    <w:ind w:left="0" w:leftChars="0" w:firstLine="0" w:firstLineChars="0"/>
                    <w:jc w:val="center"/>
                    <w:rPr>
                      <w:rFonts w:ascii="Times New Roman" w:hAnsi="Times New Roman" w:eastAsia="宋体" w:cs="Times New Roman"/>
                      <w:color w:val="auto"/>
                      <w:kern w:val="2"/>
                      <w:sz w:val="21"/>
                      <w:szCs w:val="21"/>
                      <w:lang w:val="zh-CN" w:eastAsia="zh-CN" w:bidi="zh-CN"/>
                    </w:rPr>
                  </w:pPr>
                  <w:r>
                    <w:rPr>
                      <w:rFonts w:ascii="Times New Roman" w:hAnsi="Times New Roman" w:eastAsia="宋体" w:cs="Times New Roman"/>
                      <w:color w:val="auto"/>
                      <w:kern w:val="2"/>
                      <w:sz w:val="21"/>
                      <w:szCs w:val="21"/>
                      <w:lang w:val="zh-CN" w:eastAsia="zh-CN" w:bidi="zh-CN"/>
                    </w:rPr>
                    <w:t>氨氮</w:t>
                  </w:r>
                </w:p>
              </w:tc>
              <w:tc>
                <w:tcPr>
                  <w:tcW w:w="453" w:type="pct"/>
                  <w:vMerge w:val="continue"/>
                  <w:vAlign w:val="center"/>
                </w:tcPr>
                <w:p>
                  <w:pPr>
                    <w:spacing w:line="240" w:lineRule="auto"/>
                    <w:ind w:firstLine="0" w:firstLineChars="0"/>
                    <w:rPr>
                      <w:rFonts w:eastAsia="宋体"/>
                      <w:color w:val="auto"/>
                      <w:sz w:val="21"/>
                      <w:szCs w:val="21"/>
                    </w:rPr>
                  </w:pPr>
                </w:p>
              </w:tc>
              <w:tc>
                <w:tcPr>
                  <w:tcW w:w="507" w:type="pct"/>
                  <w:vMerge w:val="continue"/>
                  <w:vAlign w:val="center"/>
                </w:tcPr>
                <w:p>
                  <w:pPr>
                    <w:spacing w:line="240" w:lineRule="auto"/>
                    <w:ind w:firstLine="0" w:firstLineChars="0"/>
                    <w:rPr>
                      <w:rFonts w:eastAsia="宋体"/>
                      <w:color w:val="auto"/>
                      <w:sz w:val="21"/>
                      <w:szCs w:val="21"/>
                    </w:rPr>
                  </w:pPr>
                </w:p>
              </w:tc>
              <w:tc>
                <w:tcPr>
                  <w:tcW w:w="442" w:type="pct"/>
                  <w:vMerge w:val="continue"/>
                  <w:vAlign w:val="center"/>
                </w:tcPr>
                <w:p>
                  <w:pPr>
                    <w:spacing w:line="240" w:lineRule="auto"/>
                    <w:ind w:firstLine="0" w:firstLineChars="0"/>
                    <w:rPr>
                      <w:rFonts w:eastAsia="宋体"/>
                      <w:color w:val="auto"/>
                      <w:sz w:val="21"/>
                      <w:szCs w:val="21"/>
                    </w:rPr>
                  </w:pPr>
                </w:p>
              </w:tc>
              <w:tc>
                <w:tcPr>
                  <w:tcW w:w="439" w:type="pct"/>
                  <w:vMerge w:val="continue"/>
                  <w:vAlign w:val="center"/>
                </w:tcPr>
                <w:p>
                  <w:pPr>
                    <w:spacing w:line="240" w:lineRule="auto"/>
                    <w:ind w:firstLine="0" w:firstLineChars="0"/>
                    <w:rPr>
                      <w:rFonts w:eastAsia="宋体"/>
                      <w:color w:val="auto"/>
                      <w:sz w:val="21"/>
                      <w:szCs w:val="21"/>
                    </w:rPr>
                  </w:pPr>
                </w:p>
              </w:tc>
              <w:tc>
                <w:tcPr>
                  <w:tcW w:w="489" w:type="pct"/>
                  <w:vMerge w:val="continue"/>
                  <w:vAlign w:val="center"/>
                </w:tcPr>
                <w:p>
                  <w:pPr>
                    <w:spacing w:line="240" w:lineRule="auto"/>
                    <w:ind w:firstLine="0" w:firstLineChars="0"/>
                    <w:rPr>
                      <w:rFonts w:eastAsia="宋体"/>
                      <w:color w:val="auto"/>
                      <w:sz w:val="21"/>
                      <w:szCs w:val="21"/>
                    </w:rPr>
                  </w:pPr>
                </w:p>
              </w:tc>
              <w:tc>
                <w:tcPr>
                  <w:tcW w:w="465" w:type="pct"/>
                  <w:vMerge w:val="continue"/>
                  <w:vAlign w:val="center"/>
                </w:tcPr>
                <w:p>
                  <w:pPr>
                    <w:spacing w:line="240" w:lineRule="auto"/>
                    <w:ind w:firstLine="0" w:firstLineChars="0"/>
                    <w:rPr>
                      <w:rFonts w:eastAsia="宋体"/>
                      <w:color w:val="auto"/>
                      <w:sz w:val="21"/>
                      <w:szCs w:val="21"/>
                    </w:rPr>
                  </w:pPr>
                </w:p>
              </w:tc>
              <w:tc>
                <w:tcPr>
                  <w:tcW w:w="494" w:type="pct"/>
                  <w:vMerge w:val="continue"/>
                  <w:vAlign w:val="center"/>
                </w:tcPr>
                <w:p>
                  <w:pPr>
                    <w:spacing w:line="240" w:lineRule="auto"/>
                    <w:ind w:firstLine="0" w:firstLineChars="0"/>
                    <w:rPr>
                      <w:rFonts w:eastAsia="宋体"/>
                      <w:color w:val="auto"/>
                      <w:sz w:val="21"/>
                      <w:szCs w:val="21"/>
                    </w:rPr>
                  </w:pPr>
                </w:p>
              </w:tc>
              <w:tc>
                <w:tcPr>
                  <w:tcW w:w="572" w:type="pct"/>
                  <w:vMerge w:val="continue"/>
                  <w:vAlign w:val="center"/>
                </w:tcPr>
                <w:p>
                  <w:pPr>
                    <w:spacing w:line="240" w:lineRule="auto"/>
                    <w:ind w:firstLine="0" w:firstLineChars="0"/>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415" w:type="pct"/>
                  <w:vMerge w:val="continue"/>
                  <w:vAlign w:val="center"/>
                </w:tcPr>
                <w:p>
                  <w:pPr>
                    <w:spacing w:line="240" w:lineRule="auto"/>
                    <w:ind w:firstLine="0" w:firstLineChars="0"/>
                    <w:jc w:val="center"/>
                    <w:rPr>
                      <w:rFonts w:eastAsia="宋体"/>
                      <w:color w:val="auto"/>
                      <w:sz w:val="21"/>
                      <w:szCs w:val="21"/>
                    </w:rPr>
                  </w:pPr>
                </w:p>
              </w:tc>
              <w:tc>
                <w:tcPr>
                  <w:tcW w:w="720" w:type="pct"/>
                  <w:vAlign w:val="center"/>
                </w:tcPr>
                <w:p>
                  <w:pPr>
                    <w:widowControl w:val="0"/>
                    <w:kinsoku w:val="0"/>
                    <w:overflowPunct w:val="0"/>
                    <w:spacing w:line="265" w:lineRule="exact"/>
                    <w:ind w:left="0" w:leftChars="0" w:firstLine="0" w:firstLineChars="0"/>
                    <w:jc w:val="center"/>
                    <w:rPr>
                      <w:rFonts w:hint="default" w:ascii="Times New Roman" w:hAnsi="Times New Roman" w:eastAsia="宋体" w:cs="Times New Roman"/>
                      <w:color w:val="auto"/>
                      <w:kern w:val="2"/>
                      <w:sz w:val="21"/>
                      <w:szCs w:val="21"/>
                      <w:lang w:val="en-US" w:eastAsia="zh-CN" w:bidi="zh-CN"/>
                    </w:rPr>
                  </w:pPr>
                  <w:r>
                    <w:rPr>
                      <w:rFonts w:hint="eastAsia" w:ascii="Times New Roman" w:hAnsi="Times New Roman" w:eastAsia="宋体" w:cs="Times New Roman"/>
                      <w:color w:val="auto"/>
                      <w:kern w:val="2"/>
                      <w:sz w:val="21"/>
                      <w:szCs w:val="21"/>
                      <w:lang w:val="en-US" w:eastAsia="zh-CN" w:bidi="zh-CN"/>
                    </w:rPr>
                    <w:t>动植物油</w:t>
                  </w:r>
                </w:p>
              </w:tc>
              <w:tc>
                <w:tcPr>
                  <w:tcW w:w="453" w:type="pct"/>
                  <w:vMerge w:val="continue"/>
                  <w:vAlign w:val="center"/>
                </w:tcPr>
                <w:p>
                  <w:pPr>
                    <w:spacing w:line="240" w:lineRule="auto"/>
                    <w:ind w:firstLine="0" w:firstLineChars="0"/>
                    <w:rPr>
                      <w:rFonts w:eastAsia="宋体"/>
                      <w:color w:val="auto"/>
                      <w:sz w:val="21"/>
                      <w:szCs w:val="21"/>
                    </w:rPr>
                  </w:pPr>
                </w:p>
              </w:tc>
              <w:tc>
                <w:tcPr>
                  <w:tcW w:w="507" w:type="pct"/>
                  <w:vMerge w:val="continue"/>
                  <w:vAlign w:val="center"/>
                </w:tcPr>
                <w:p>
                  <w:pPr>
                    <w:spacing w:line="240" w:lineRule="auto"/>
                    <w:ind w:firstLine="0" w:firstLineChars="0"/>
                    <w:rPr>
                      <w:rFonts w:eastAsia="宋体"/>
                      <w:color w:val="auto"/>
                      <w:sz w:val="21"/>
                      <w:szCs w:val="21"/>
                    </w:rPr>
                  </w:pPr>
                </w:p>
              </w:tc>
              <w:tc>
                <w:tcPr>
                  <w:tcW w:w="442" w:type="pct"/>
                  <w:vMerge w:val="continue"/>
                  <w:vAlign w:val="center"/>
                </w:tcPr>
                <w:p>
                  <w:pPr>
                    <w:spacing w:line="240" w:lineRule="auto"/>
                    <w:ind w:firstLine="0" w:firstLineChars="0"/>
                    <w:rPr>
                      <w:rFonts w:eastAsia="宋体"/>
                      <w:color w:val="auto"/>
                      <w:sz w:val="21"/>
                      <w:szCs w:val="21"/>
                    </w:rPr>
                  </w:pPr>
                </w:p>
              </w:tc>
              <w:tc>
                <w:tcPr>
                  <w:tcW w:w="439" w:type="pct"/>
                  <w:vMerge w:val="continue"/>
                  <w:vAlign w:val="center"/>
                </w:tcPr>
                <w:p>
                  <w:pPr>
                    <w:spacing w:line="240" w:lineRule="auto"/>
                    <w:ind w:firstLine="0" w:firstLineChars="0"/>
                    <w:rPr>
                      <w:rFonts w:eastAsia="宋体"/>
                      <w:color w:val="auto"/>
                      <w:sz w:val="21"/>
                      <w:szCs w:val="21"/>
                    </w:rPr>
                  </w:pPr>
                </w:p>
              </w:tc>
              <w:tc>
                <w:tcPr>
                  <w:tcW w:w="489" w:type="pct"/>
                  <w:vMerge w:val="continue"/>
                  <w:vAlign w:val="center"/>
                </w:tcPr>
                <w:p>
                  <w:pPr>
                    <w:spacing w:line="240" w:lineRule="auto"/>
                    <w:ind w:firstLine="0" w:firstLineChars="0"/>
                    <w:rPr>
                      <w:rFonts w:eastAsia="宋体"/>
                      <w:color w:val="auto"/>
                      <w:sz w:val="21"/>
                      <w:szCs w:val="21"/>
                    </w:rPr>
                  </w:pPr>
                </w:p>
              </w:tc>
              <w:tc>
                <w:tcPr>
                  <w:tcW w:w="465" w:type="pct"/>
                  <w:vMerge w:val="continue"/>
                  <w:vAlign w:val="center"/>
                </w:tcPr>
                <w:p>
                  <w:pPr>
                    <w:spacing w:line="240" w:lineRule="auto"/>
                    <w:ind w:firstLine="0" w:firstLineChars="0"/>
                    <w:rPr>
                      <w:rFonts w:eastAsia="宋体"/>
                      <w:color w:val="auto"/>
                      <w:sz w:val="21"/>
                      <w:szCs w:val="21"/>
                    </w:rPr>
                  </w:pPr>
                </w:p>
              </w:tc>
              <w:tc>
                <w:tcPr>
                  <w:tcW w:w="494" w:type="pct"/>
                  <w:vMerge w:val="continue"/>
                  <w:vAlign w:val="center"/>
                </w:tcPr>
                <w:p>
                  <w:pPr>
                    <w:spacing w:line="240" w:lineRule="auto"/>
                    <w:ind w:firstLine="0" w:firstLineChars="0"/>
                    <w:rPr>
                      <w:rFonts w:eastAsia="宋体"/>
                      <w:color w:val="auto"/>
                      <w:sz w:val="21"/>
                      <w:szCs w:val="21"/>
                    </w:rPr>
                  </w:pPr>
                </w:p>
              </w:tc>
              <w:tc>
                <w:tcPr>
                  <w:tcW w:w="572" w:type="pct"/>
                  <w:vMerge w:val="continue"/>
                  <w:vAlign w:val="center"/>
                </w:tcPr>
                <w:p>
                  <w:pPr>
                    <w:spacing w:line="240" w:lineRule="auto"/>
                    <w:ind w:firstLine="0" w:firstLineChars="0"/>
                    <w:rPr>
                      <w:rFonts w:eastAsia="宋体"/>
                      <w:color w:val="auto"/>
                      <w:sz w:val="21"/>
                      <w:szCs w:val="21"/>
                    </w:rPr>
                  </w:pPr>
                </w:p>
              </w:tc>
            </w:tr>
          </w:tbl>
          <w:p>
            <w:pPr>
              <w:widowControl w:val="0"/>
              <w:overflowPunct w:val="0"/>
              <w:adjustRightInd w:val="0"/>
              <w:spacing w:line="360" w:lineRule="auto"/>
              <w:ind w:firstLine="0" w:firstLineChars="0"/>
              <w:jc w:val="both"/>
              <w:rPr>
                <w:rFonts w:ascii="Times New Roman" w:hAnsi="Times New Roman" w:eastAsia="宋体" w:cs="Times New Roman"/>
                <w:b/>
                <w:bCs/>
                <w:color w:val="auto"/>
                <w:kern w:val="2"/>
                <w:sz w:val="24"/>
                <w:szCs w:val="24"/>
                <w:lang w:val="en-US" w:eastAsia="zh-CN" w:bidi="ar-SA"/>
              </w:rPr>
            </w:pPr>
            <w:r>
              <w:rPr>
                <w:rFonts w:ascii="Times New Roman" w:hAnsi="Times New Roman" w:eastAsia="宋体" w:cs="Times New Roman"/>
                <w:b/>
                <w:bCs/>
                <w:color w:val="auto"/>
                <w:kern w:val="2"/>
                <w:sz w:val="24"/>
                <w:szCs w:val="24"/>
                <w:lang w:val="en-US" w:eastAsia="zh-CN" w:bidi="ar-SA"/>
              </w:rPr>
              <w:t>2.</w:t>
            </w:r>
            <w:r>
              <w:rPr>
                <w:rFonts w:hint="eastAsia" w:ascii="Times New Roman" w:hAnsi="Times New Roman" w:eastAsia="宋体" w:cs="Times New Roman"/>
                <w:b/>
                <w:bCs/>
                <w:color w:val="auto"/>
                <w:kern w:val="2"/>
                <w:sz w:val="24"/>
                <w:szCs w:val="24"/>
                <w:lang w:val="en-US" w:eastAsia="zh-CN" w:bidi="ar-SA"/>
              </w:rPr>
              <w:t>3</w:t>
            </w:r>
            <w:r>
              <w:rPr>
                <w:rFonts w:ascii="Times New Roman" w:hAnsi="Times New Roman" w:eastAsia="宋体" w:cs="Times New Roman"/>
                <w:b/>
                <w:bCs/>
                <w:color w:val="auto"/>
                <w:kern w:val="2"/>
                <w:sz w:val="24"/>
                <w:szCs w:val="24"/>
                <w:lang w:val="en-US" w:eastAsia="zh-CN" w:bidi="ar-SA"/>
              </w:rPr>
              <w:t xml:space="preserve"> 废水监测计划</w:t>
            </w:r>
          </w:p>
          <w:p>
            <w:pPr>
              <w:widowControl w:val="0"/>
              <w:tabs>
                <w:tab w:val="left" w:pos="3570"/>
              </w:tabs>
              <w:wordWrap w:val="0"/>
              <w:spacing w:line="360" w:lineRule="auto"/>
              <w:ind w:firstLine="480" w:firstLineChars="200"/>
              <w:jc w:val="left"/>
              <w:rPr>
                <w:rFonts w:ascii="宋体" w:hAnsi="宋体" w:eastAsia="宋体" w:cs="宋体"/>
                <w:color w:val="auto"/>
                <w:kern w:val="2"/>
                <w:sz w:val="21"/>
                <w:szCs w:val="24"/>
                <w:lang w:val="zh-CN" w:eastAsia="zh-CN" w:bidi="zh-CN"/>
              </w:rPr>
            </w:pPr>
            <w:r>
              <w:rPr>
                <w:rFonts w:ascii="Times New Roman" w:hAnsi="Times New Roman" w:eastAsia="宋体" w:cs="Times New Roman"/>
                <w:color w:val="auto"/>
                <w:kern w:val="2"/>
                <w:sz w:val="24"/>
                <w:szCs w:val="24"/>
                <w:lang w:val="en-US" w:eastAsia="zh-CN" w:bidi="zh-CN"/>
              </w:rPr>
              <w:t>根据《</w:t>
            </w:r>
            <w:r>
              <w:rPr>
                <w:rFonts w:hint="eastAsia" w:ascii="Times New Roman" w:hAnsi="Times New Roman" w:eastAsia="宋体" w:cs="Times New Roman"/>
                <w:color w:val="auto"/>
                <w:kern w:val="2"/>
                <w:sz w:val="24"/>
                <w:szCs w:val="24"/>
                <w:lang w:val="en-US" w:eastAsia="zh-CN" w:bidi="zh-CN"/>
              </w:rPr>
              <w:t>排污单位自行监测技术指南  总则</w:t>
            </w:r>
            <w:r>
              <w:rPr>
                <w:rFonts w:ascii="Times New Roman" w:hAnsi="Times New Roman" w:eastAsia="宋体" w:cs="Times New Roman"/>
                <w:color w:val="auto"/>
                <w:kern w:val="2"/>
                <w:sz w:val="24"/>
                <w:szCs w:val="24"/>
                <w:lang w:val="en-US" w:eastAsia="zh-CN" w:bidi="zh-CN"/>
              </w:rPr>
              <w:t>》（HJ</w:t>
            </w:r>
            <w:r>
              <w:rPr>
                <w:rFonts w:hint="eastAsia" w:ascii="Times New Roman" w:hAnsi="Times New Roman" w:eastAsia="宋体" w:cs="Times New Roman"/>
                <w:color w:val="auto"/>
                <w:kern w:val="2"/>
                <w:sz w:val="24"/>
                <w:szCs w:val="24"/>
                <w:lang w:val="en-US" w:eastAsia="zh-CN" w:bidi="zh-CN"/>
              </w:rPr>
              <w:t>819-2017</w:t>
            </w:r>
            <w:r>
              <w:rPr>
                <w:rFonts w:ascii="Times New Roman" w:hAnsi="Times New Roman" w:eastAsia="宋体" w:cs="Times New Roman"/>
                <w:color w:val="auto"/>
                <w:kern w:val="2"/>
                <w:sz w:val="24"/>
                <w:szCs w:val="24"/>
                <w:lang w:val="en-US" w:eastAsia="zh-CN" w:bidi="zh-CN"/>
              </w:rPr>
              <w:t>），项目应制定废</w:t>
            </w:r>
            <w:r>
              <w:rPr>
                <w:rFonts w:hint="eastAsia" w:ascii="Times New Roman" w:hAnsi="Times New Roman" w:eastAsia="宋体" w:cs="Times New Roman"/>
                <w:color w:val="auto"/>
                <w:kern w:val="2"/>
                <w:sz w:val="24"/>
                <w:szCs w:val="24"/>
                <w:lang w:val="en-US" w:eastAsia="zh-CN" w:bidi="zh-CN"/>
              </w:rPr>
              <w:t>水</w:t>
            </w:r>
            <w:r>
              <w:rPr>
                <w:rFonts w:ascii="Times New Roman" w:hAnsi="Times New Roman" w:eastAsia="宋体" w:cs="Times New Roman"/>
                <w:color w:val="auto"/>
                <w:kern w:val="2"/>
                <w:sz w:val="24"/>
                <w:szCs w:val="24"/>
                <w:lang w:val="en-US" w:eastAsia="zh-CN" w:bidi="zh-CN"/>
              </w:rPr>
              <w:t>污染源监测计划，详见表4-</w:t>
            </w:r>
            <w:r>
              <w:rPr>
                <w:rFonts w:hint="eastAsia" w:cs="Times New Roman"/>
                <w:color w:val="auto"/>
                <w:kern w:val="2"/>
                <w:sz w:val="24"/>
                <w:szCs w:val="24"/>
                <w:lang w:val="en-US" w:eastAsia="zh-CN" w:bidi="zh-CN"/>
              </w:rPr>
              <w:t>11</w:t>
            </w:r>
            <w:r>
              <w:rPr>
                <w:rFonts w:ascii="Times New Roman" w:hAnsi="Times New Roman" w:eastAsia="宋体" w:cs="Times New Roman"/>
                <w:color w:val="auto"/>
                <w:kern w:val="2"/>
                <w:sz w:val="24"/>
                <w:szCs w:val="24"/>
                <w:lang w:val="en-US" w:eastAsia="zh-CN" w:bidi="zh-CN"/>
              </w:rPr>
              <w:t>。</w:t>
            </w:r>
          </w:p>
          <w:p>
            <w:pPr>
              <w:spacing w:line="240" w:lineRule="auto"/>
              <w:ind w:firstLine="0" w:firstLineChars="0"/>
              <w:jc w:val="center"/>
              <w:rPr>
                <w:rFonts w:eastAsia="宋体"/>
                <w:b/>
                <w:bCs/>
                <w:color w:val="auto"/>
                <w:sz w:val="21"/>
                <w:szCs w:val="21"/>
              </w:rPr>
            </w:pPr>
            <w:r>
              <w:rPr>
                <w:rFonts w:eastAsia="宋体"/>
                <w:b/>
                <w:bCs/>
                <w:color w:val="auto"/>
                <w:sz w:val="21"/>
                <w:szCs w:val="21"/>
              </w:rPr>
              <w:t>表4-1</w:t>
            </w:r>
            <w:r>
              <w:rPr>
                <w:rFonts w:hint="eastAsia"/>
                <w:b/>
                <w:bCs/>
                <w:color w:val="auto"/>
                <w:sz w:val="21"/>
                <w:szCs w:val="21"/>
                <w:lang w:val="en-US" w:eastAsia="zh-CN"/>
              </w:rPr>
              <w:t>1</w:t>
            </w:r>
            <w:r>
              <w:rPr>
                <w:rFonts w:hint="eastAsia" w:eastAsia="宋体"/>
                <w:b/>
                <w:bCs/>
                <w:color w:val="auto"/>
                <w:sz w:val="21"/>
                <w:szCs w:val="21"/>
                <w:lang w:val="en-US" w:eastAsia="zh-CN"/>
              </w:rPr>
              <w:t xml:space="preserve">  </w:t>
            </w:r>
            <w:r>
              <w:rPr>
                <w:rFonts w:eastAsia="宋体"/>
                <w:b/>
                <w:bCs/>
                <w:color w:val="auto"/>
                <w:sz w:val="21"/>
                <w:szCs w:val="21"/>
              </w:rPr>
              <w:t xml:space="preserve"> 废水监测要求一览表</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87"/>
              <w:gridCol w:w="1365"/>
              <w:gridCol w:w="1522"/>
              <w:gridCol w:w="1373"/>
              <w:gridCol w:w="1200"/>
              <w:gridCol w:w="22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759" w:type="pct"/>
                  <w:vAlign w:val="center"/>
                </w:tcPr>
                <w:p>
                  <w:pPr>
                    <w:adjustRightInd w:val="0"/>
                    <w:snapToGrid w:val="0"/>
                    <w:spacing w:line="240" w:lineRule="auto"/>
                    <w:ind w:firstLine="0" w:firstLineChars="0"/>
                    <w:jc w:val="center"/>
                    <w:rPr>
                      <w:rFonts w:eastAsia="宋体"/>
                      <w:b/>
                      <w:bCs/>
                      <w:color w:val="auto"/>
                      <w:sz w:val="21"/>
                      <w:szCs w:val="21"/>
                    </w:rPr>
                  </w:pPr>
                  <w:r>
                    <w:rPr>
                      <w:rFonts w:eastAsia="宋体"/>
                      <w:b/>
                      <w:bCs/>
                      <w:color w:val="auto"/>
                      <w:sz w:val="21"/>
                      <w:szCs w:val="21"/>
                    </w:rPr>
                    <w:t>排放口类型</w:t>
                  </w:r>
                </w:p>
              </w:tc>
              <w:tc>
                <w:tcPr>
                  <w:tcW w:w="747" w:type="pct"/>
                  <w:vAlign w:val="center"/>
                </w:tcPr>
                <w:p>
                  <w:pPr>
                    <w:adjustRightInd w:val="0"/>
                    <w:snapToGrid w:val="0"/>
                    <w:spacing w:line="240" w:lineRule="auto"/>
                    <w:ind w:firstLine="0" w:firstLineChars="0"/>
                    <w:jc w:val="center"/>
                    <w:rPr>
                      <w:rFonts w:eastAsia="宋体"/>
                      <w:b/>
                      <w:bCs/>
                      <w:color w:val="auto"/>
                      <w:sz w:val="21"/>
                      <w:szCs w:val="21"/>
                    </w:rPr>
                  </w:pPr>
                  <w:r>
                    <w:rPr>
                      <w:rFonts w:eastAsia="宋体"/>
                      <w:b/>
                      <w:bCs/>
                      <w:color w:val="auto"/>
                      <w:sz w:val="21"/>
                      <w:szCs w:val="21"/>
                    </w:rPr>
                    <w:t>污染源</w:t>
                  </w:r>
                </w:p>
              </w:tc>
              <w:tc>
                <w:tcPr>
                  <w:tcW w:w="833" w:type="pct"/>
                  <w:vAlign w:val="center"/>
                </w:tcPr>
                <w:p>
                  <w:pPr>
                    <w:adjustRightInd w:val="0"/>
                    <w:snapToGrid w:val="0"/>
                    <w:spacing w:line="240" w:lineRule="auto"/>
                    <w:ind w:firstLine="0" w:firstLineChars="0"/>
                    <w:jc w:val="center"/>
                    <w:rPr>
                      <w:rFonts w:eastAsia="宋体"/>
                      <w:b/>
                      <w:bCs/>
                      <w:color w:val="auto"/>
                      <w:sz w:val="21"/>
                      <w:szCs w:val="21"/>
                    </w:rPr>
                  </w:pPr>
                  <w:r>
                    <w:rPr>
                      <w:rFonts w:eastAsia="宋体"/>
                      <w:b/>
                      <w:bCs/>
                      <w:color w:val="auto"/>
                      <w:sz w:val="21"/>
                      <w:szCs w:val="21"/>
                    </w:rPr>
                    <w:t>监测因子</w:t>
                  </w:r>
                </w:p>
              </w:tc>
              <w:tc>
                <w:tcPr>
                  <w:tcW w:w="751" w:type="pct"/>
                  <w:vAlign w:val="center"/>
                </w:tcPr>
                <w:p>
                  <w:pPr>
                    <w:adjustRightInd w:val="0"/>
                    <w:snapToGrid w:val="0"/>
                    <w:spacing w:line="240" w:lineRule="auto"/>
                    <w:ind w:firstLine="0" w:firstLineChars="0"/>
                    <w:jc w:val="center"/>
                    <w:rPr>
                      <w:rFonts w:eastAsia="宋体"/>
                      <w:b/>
                      <w:bCs/>
                      <w:color w:val="auto"/>
                      <w:sz w:val="21"/>
                      <w:szCs w:val="21"/>
                    </w:rPr>
                  </w:pPr>
                  <w:r>
                    <w:rPr>
                      <w:rFonts w:eastAsia="宋体"/>
                      <w:b/>
                      <w:bCs/>
                      <w:color w:val="auto"/>
                      <w:sz w:val="21"/>
                      <w:szCs w:val="21"/>
                    </w:rPr>
                    <w:t>监测点位置</w:t>
                  </w:r>
                </w:p>
              </w:tc>
              <w:tc>
                <w:tcPr>
                  <w:tcW w:w="656" w:type="pct"/>
                  <w:vAlign w:val="center"/>
                </w:tcPr>
                <w:p>
                  <w:pPr>
                    <w:adjustRightInd w:val="0"/>
                    <w:snapToGrid w:val="0"/>
                    <w:spacing w:line="240" w:lineRule="auto"/>
                    <w:ind w:firstLine="0" w:firstLineChars="0"/>
                    <w:jc w:val="center"/>
                    <w:rPr>
                      <w:rFonts w:eastAsia="宋体"/>
                      <w:b/>
                      <w:bCs/>
                      <w:color w:val="auto"/>
                      <w:sz w:val="21"/>
                      <w:szCs w:val="21"/>
                    </w:rPr>
                  </w:pPr>
                  <w:r>
                    <w:rPr>
                      <w:rFonts w:eastAsia="宋体"/>
                      <w:b/>
                      <w:bCs/>
                      <w:color w:val="auto"/>
                      <w:sz w:val="21"/>
                      <w:szCs w:val="21"/>
                    </w:rPr>
                    <w:t>监测频次</w:t>
                  </w:r>
                </w:p>
              </w:tc>
              <w:tc>
                <w:tcPr>
                  <w:tcW w:w="1252" w:type="pct"/>
                  <w:vAlign w:val="center"/>
                </w:tcPr>
                <w:p>
                  <w:pPr>
                    <w:adjustRightInd w:val="0"/>
                    <w:snapToGrid w:val="0"/>
                    <w:spacing w:line="240" w:lineRule="auto"/>
                    <w:ind w:firstLine="0" w:firstLineChars="0"/>
                    <w:jc w:val="center"/>
                    <w:rPr>
                      <w:rFonts w:eastAsia="宋体"/>
                      <w:b/>
                      <w:bCs/>
                      <w:color w:val="auto"/>
                      <w:sz w:val="21"/>
                      <w:szCs w:val="21"/>
                    </w:rPr>
                  </w:pPr>
                  <w:r>
                    <w:rPr>
                      <w:rFonts w:eastAsia="宋体"/>
                      <w:b/>
                      <w:bCs/>
                      <w:color w:val="auto"/>
                      <w:sz w:val="21"/>
                      <w:szCs w:val="21"/>
                    </w:rPr>
                    <w:t>排放标准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98" w:hRule="atLeast"/>
              </w:trPr>
              <w:tc>
                <w:tcPr>
                  <w:tcW w:w="759" w:type="pct"/>
                  <w:vAlign w:val="center"/>
                </w:tcPr>
                <w:p>
                  <w:pPr>
                    <w:adjustRightInd w:val="0"/>
                    <w:snapToGrid w:val="0"/>
                    <w:spacing w:line="240" w:lineRule="auto"/>
                    <w:ind w:firstLine="0" w:firstLineChars="0"/>
                    <w:jc w:val="center"/>
                    <w:rPr>
                      <w:rFonts w:eastAsia="宋体"/>
                      <w:color w:val="auto"/>
                      <w:sz w:val="21"/>
                      <w:szCs w:val="21"/>
                    </w:rPr>
                  </w:pPr>
                  <w:r>
                    <w:rPr>
                      <w:rFonts w:eastAsia="宋体"/>
                      <w:color w:val="auto"/>
                      <w:sz w:val="21"/>
                      <w:szCs w:val="21"/>
                    </w:rPr>
                    <w:t>总排口</w:t>
                  </w:r>
                </w:p>
              </w:tc>
              <w:tc>
                <w:tcPr>
                  <w:tcW w:w="747" w:type="pct"/>
                  <w:vAlign w:val="center"/>
                </w:tcPr>
                <w:p>
                  <w:pPr>
                    <w:adjustRightInd w:val="0"/>
                    <w:snapToGrid w:val="0"/>
                    <w:spacing w:line="240" w:lineRule="auto"/>
                    <w:ind w:firstLine="0" w:firstLineChars="0"/>
                    <w:jc w:val="center"/>
                    <w:rPr>
                      <w:rFonts w:eastAsia="宋体"/>
                      <w:color w:val="auto"/>
                      <w:sz w:val="21"/>
                      <w:szCs w:val="21"/>
                    </w:rPr>
                  </w:pPr>
                  <w:r>
                    <w:rPr>
                      <w:rFonts w:eastAsia="宋体"/>
                      <w:color w:val="auto"/>
                      <w:sz w:val="21"/>
                      <w:szCs w:val="21"/>
                    </w:rPr>
                    <w:t>生活污水</w:t>
                  </w:r>
                </w:p>
              </w:tc>
              <w:tc>
                <w:tcPr>
                  <w:tcW w:w="833" w:type="pct"/>
                  <w:vAlign w:val="center"/>
                </w:tcPr>
                <w:p>
                  <w:pPr>
                    <w:adjustRightInd w:val="0"/>
                    <w:snapToGrid w:val="0"/>
                    <w:spacing w:line="240" w:lineRule="auto"/>
                    <w:ind w:firstLine="0" w:firstLineChars="0"/>
                    <w:jc w:val="center"/>
                    <w:rPr>
                      <w:rFonts w:eastAsia="宋体"/>
                      <w:color w:val="auto"/>
                      <w:sz w:val="21"/>
                      <w:szCs w:val="21"/>
                    </w:rPr>
                  </w:pPr>
                  <w:r>
                    <w:rPr>
                      <w:rFonts w:hint="eastAsia" w:eastAsia="宋体"/>
                      <w:color w:val="auto"/>
                      <w:sz w:val="21"/>
                      <w:szCs w:val="21"/>
                      <w:lang w:val="en-US" w:eastAsia="zh-CN"/>
                    </w:rPr>
                    <w:t>P</w:t>
                  </w:r>
                  <w:r>
                    <w:rPr>
                      <w:rFonts w:hint="eastAsia"/>
                      <w:color w:val="auto"/>
                      <w:sz w:val="21"/>
                      <w:szCs w:val="21"/>
                      <w:lang w:val="en-US" w:eastAsia="zh-CN"/>
                    </w:rPr>
                    <w:t>H</w:t>
                  </w:r>
                  <w:r>
                    <w:rPr>
                      <w:rFonts w:hint="eastAsia" w:eastAsia="宋体"/>
                      <w:color w:val="auto"/>
                      <w:sz w:val="21"/>
                      <w:szCs w:val="21"/>
                      <w:lang w:val="en-US" w:eastAsia="zh-CN"/>
                    </w:rPr>
                    <w:t>、</w:t>
                  </w:r>
                  <w:r>
                    <w:rPr>
                      <w:rFonts w:eastAsia="宋体"/>
                      <w:color w:val="auto"/>
                      <w:sz w:val="21"/>
                      <w:szCs w:val="21"/>
                    </w:rPr>
                    <w:t>COD、NH</w:t>
                  </w:r>
                  <w:r>
                    <w:rPr>
                      <w:rFonts w:eastAsia="宋体"/>
                      <w:color w:val="auto"/>
                      <w:sz w:val="21"/>
                      <w:szCs w:val="21"/>
                      <w:vertAlign w:val="subscript"/>
                    </w:rPr>
                    <w:t>3</w:t>
                  </w:r>
                  <w:r>
                    <w:rPr>
                      <w:rFonts w:eastAsia="宋体"/>
                      <w:color w:val="auto"/>
                      <w:sz w:val="21"/>
                      <w:szCs w:val="21"/>
                    </w:rPr>
                    <w:t>-N、SS、BOD</w:t>
                  </w:r>
                  <w:r>
                    <w:rPr>
                      <w:rFonts w:eastAsia="宋体"/>
                      <w:color w:val="auto"/>
                      <w:sz w:val="21"/>
                      <w:szCs w:val="21"/>
                      <w:vertAlign w:val="subscript"/>
                    </w:rPr>
                    <w:t>5</w:t>
                  </w:r>
                  <w:r>
                    <w:rPr>
                      <w:rFonts w:eastAsia="宋体"/>
                      <w:color w:val="auto"/>
                      <w:sz w:val="21"/>
                      <w:szCs w:val="21"/>
                    </w:rPr>
                    <w:t>、</w:t>
                  </w:r>
                </w:p>
                <w:p>
                  <w:pPr>
                    <w:adjustRightInd w:val="0"/>
                    <w:snapToGrid w:val="0"/>
                    <w:spacing w:line="240" w:lineRule="auto"/>
                    <w:ind w:firstLine="0" w:firstLineChars="0"/>
                    <w:jc w:val="center"/>
                    <w:rPr>
                      <w:rFonts w:eastAsia="宋体"/>
                      <w:color w:val="auto"/>
                      <w:sz w:val="21"/>
                      <w:szCs w:val="21"/>
                    </w:rPr>
                  </w:pPr>
                  <w:r>
                    <w:rPr>
                      <w:rFonts w:eastAsia="宋体"/>
                      <w:color w:val="auto"/>
                      <w:sz w:val="21"/>
                      <w:szCs w:val="21"/>
                    </w:rPr>
                    <w:t>动植物油</w:t>
                  </w:r>
                </w:p>
              </w:tc>
              <w:tc>
                <w:tcPr>
                  <w:tcW w:w="751" w:type="pct"/>
                  <w:vAlign w:val="center"/>
                </w:tcPr>
                <w:p>
                  <w:pPr>
                    <w:adjustRightInd w:val="0"/>
                    <w:snapToGrid w:val="0"/>
                    <w:spacing w:line="240" w:lineRule="auto"/>
                    <w:ind w:firstLine="0" w:firstLineChars="0"/>
                    <w:jc w:val="center"/>
                    <w:rPr>
                      <w:rFonts w:eastAsia="宋体"/>
                      <w:color w:val="auto"/>
                      <w:sz w:val="21"/>
                      <w:szCs w:val="21"/>
                    </w:rPr>
                  </w:pPr>
                  <w:r>
                    <w:rPr>
                      <w:rFonts w:eastAsia="宋体"/>
                      <w:color w:val="auto"/>
                      <w:sz w:val="21"/>
                      <w:szCs w:val="21"/>
                    </w:rPr>
                    <w:t>DW001</w:t>
                  </w:r>
                </w:p>
              </w:tc>
              <w:tc>
                <w:tcPr>
                  <w:tcW w:w="656" w:type="pct"/>
                  <w:vAlign w:val="center"/>
                </w:tcPr>
                <w:p>
                  <w:pPr>
                    <w:adjustRightInd w:val="0"/>
                    <w:snapToGrid w:val="0"/>
                    <w:spacing w:line="240" w:lineRule="auto"/>
                    <w:ind w:firstLine="0" w:firstLineChars="0"/>
                    <w:jc w:val="center"/>
                    <w:rPr>
                      <w:rFonts w:eastAsia="宋体"/>
                      <w:color w:val="auto"/>
                      <w:sz w:val="21"/>
                      <w:szCs w:val="21"/>
                    </w:rPr>
                  </w:pPr>
                  <w:r>
                    <w:rPr>
                      <w:rFonts w:eastAsia="宋体"/>
                      <w:color w:val="auto"/>
                      <w:sz w:val="21"/>
                      <w:szCs w:val="21"/>
                    </w:rPr>
                    <w:t>1次</w:t>
                  </w:r>
                  <w:r>
                    <w:rPr>
                      <w:rFonts w:hint="eastAsia" w:eastAsia="宋体"/>
                      <w:color w:val="auto"/>
                      <w:sz w:val="21"/>
                      <w:szCs w:val="21"/>
                    </w:rPr>
                    <w:t>/年</w:t>
                  </w:r>
                </w:p>
              </w:tc>
              <w:tc>
                <w:tcPr>
                  <w:tcW w:w="1252" w:type="pct"/>
                  <w:vAlign w:val="center"/>
                </w:tcPr>
                <w:p>
                  <w:pPr>
                    <w:adjustRightInd w:val="0"/>
                    <w:snapToGrid w:val="0"/>
                    <w:spacing w:line="240" w:lineRule="auto"/>
                    <w:ind w:firstLine="0" w:firstLineChars="0"/>
                    <w:jc w:val="center"/>
                    <w:rPr>
                      <w:rFonts w:eastAsia="宋体"/>
                      <w:color w:val="auto"/>
                      <w:sz w:val="21"/>
                      <w:szCs w:val="21"/>
                    </w:rPr>
                  </w:pPr>
                  <w:r>
                    <w:rPr>
                      <w:rFonts w:eastAsia="宋体"/>
                      <w:color w:val="auto"/>
                      <w:sz w:val="21"/>
                      <w:szCs w:val="21"/>
                    </w:rPr>
                    <w:t>《污水综合排放标准》（GB8978-2008）中三级标准</w:t>
                  </w:r>
                </w:p>
              </w:tc>
            </w:tr>
          </w:tbl>
          <w:p>
            <w:pPr>
              <w:bidi w:val="0"/>
              <w:ind w:left="0" w:leftChars="0" w:firstLine="0" w:firstLineChars="0"/>
              <w:rPr>
                <w:rFonts w:hint="default" w:ascii="Times New Roman" w:hAnsi="Times New Roman" w:cs="Times New Roman"/>
                <w:b/>
                <w:bCs/>
                <w:lang w:val="en-US" w:eastAsia="zh-CN"/>
              </w:rPr>
            </w:pPr>
            <w:r>
              <w:rPr>
                <w:rFonts w:hint="default" w:ascii="Times New Roman" w:hAnsi="Times New Roman" w:cs="Times New Roman"/>
                <w:b/>
                <w:bCs/>
                <w:lang w:val="en-US" w:eastAsia="zh-CN"/>
              </w:rPr>
              <w:t>3.运营期声环境影响及保护措施</w:t>
            </w:r>
          </w:p>
          <w:p>
            <w:pPr>
              <w:bidi w:val="0"/>
              <w:ind w:left="0" w:leftChars="0" w:firstLine="0" w:firstLineChars="0"/>
              <w:rPr>
                <w:rFonts w:hint="default" w:ascii="Times New Roman" w:hAnsi="Times New Roman" w:cs="Times New Roman"/>
                <w:b/>
                <w:bCs/>
                <w:lang w:val="en-US" w:eastAsia="zh-CN"/>
              </w:rPr>
            </w:pPr>
            <w:r>
              <w:rPr>
                <w:rFonts w:hint="default" w:ascii="Times New Roman" w:hAnsi="Times New Roman" w:cs="Times New Roman"/>
                <w:b/>
                <w:bCs/>
                <w:lang w:val="en-US" w:eastAsia="zh-CN"/>
              </w:rPr>
              <w:t>3.1噪声源分析与预测</w:t>
            </w:r>
          </w:p>
          <w:p>
            <w:pPr>
              <w:bidi w:val="0"/>
              <w:rPr>
                <w:rFonts w:hint="default" w:ascii="Times New Roman" w:hAnsi="Times New Roman" w:eastAsia="宋体" w:cs="Times New Roman"/>
                <w:lang w:val="en-US" w:eastAsia="zh-CN"/>
              </w:rPr>
            </w:pPr>
            <w:bookmarkStart w:id="10" w:name="_Hlk81666350"/>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lang w:val="en-US" w:eastAsia="zh-CN"/>
              </w:rPr>
              <w:t>噪声源分析</w:t>
            </w:r>
          </w:p>
          <w:p>
            <w:pPr>
              <w:bidi w:val="0"/>
              <w:rPr>
                <w:rFonts w:hint="default" w:ascii="Times New Roman" w:hAnsi="Times New Roman" w:eastAsia="宋体" w:cs="Times New Roman"/>
                <w:spacing w:val="6"/>
                <w:sz w:val="24"/>
                <w:szCs w:val="20"/>
                <w:lang w:val="en-US" w:eastAsia="zh-CN"/>
              </w:rPr>
            </w:pPr>
            <w:r>
              <w:rPr>
                <w:rFonts w:hint="default" w:ascii="Times New Roman" w:hAnsi="Times New Roman" w:eastAsia="宋体" w:cs="Times New Roman"/>
                <w:spacing w:val="6"/>
                <w:sz w:val="24"/>
                <w:szCs w:val="20"/>
              </w:rPr>
              <w:t>营运期噪声主要来源于搅拌站、运输车辆、装载机、物料传输装置运转过程中产生的噪声。类比同类项目相关资料，噪声源噪声强度如下表</w:t>
            </w:r>
            <w:r>
              <w:rPr>
                <w:rFonts w:hint="default" w:ascii="Times New Roman" w:hAnsi="Times New Roman" w:cs="Times New Roman"/>
                <w:spacing w:val="6"/>
                <w:sz w:val="24"/>
                <w:szCs w:val="20"/>
                <w:lang w:val="en-US" w:eastAsia="zh-CN"/>
              </w:rPr>
              <w:t>4-</w:t>
            </w:r>
            <w:r>
              <w:rPr>
                <w:rFonts w:hint="eastAsia" w:cs="Times New Roman"/>
                <w:spacing w:val="6"/>
                <w:sz w:val="24"/>
                <w:szCs w:val="20"/>
                <w:lang w:val="en-US" w:eastAsia="zh-CN"/>
              </w:rPr>
              <w:t>12</w:t>
            </w:r>
            <w:r>
              <w:rPr>
                <w:rFonts w:hint="default" w:ascii="Times New Roman" w:hAnsi="Times New Roman" w:cs="Times New Roman"/>
                <w:spacing w:val="6"/>
                <w:sz w:val="24"/>
                <w:szCs w:val="20"/>
                <w:lang w:val="en-US" w:eastAsia="zh-CN"/>
              </w:rPr>
              <w:t>。</w:t>
            </w:r>
          </w:p>
          <w:p>
            <w:pPr>
              <w:pStyle w:val="30"/>
              <w:bidi w:val="0"/>
              <w:rPr>
                <w:rFonts w:hint="default" w:ascii="Times New Roman" w:hAnsi="Times New Roman" w:cs="Times New Roman"/>
                <w:b/>
                <w:bCs/>
              </w:rPr>
            </w:pPr>
            <w:r>
              <w:rPr>
                <w:rFonts w:hint="default" w:ascii="Times New Roman" w:hAnsi="Times New Roman" w:cs="Times New Roman"/>
                <w:b/>
                <w:bCs/>
                <w:lang w:val="en-US" w:eastAsia="zh-CN"/>
              </w:rPr>
              <w:t>表4-</w:t>
            </w:r>
            <w:r>
              <w:rPr>
                <w:rFonts w:hint="eastAsia" w:cs="Times New Roman"/>
                <w:b/>
                <w:bCs/>
                <w:lang w:val="en-US" w:eastAsia="zh-CN"/>
              </w:rPr>
              <w:t>12</w:t>
            </w:r>
            <w:r>
              <w:rPr>
                <w:rFonts w:hint="default" w:ascii="Times New Roman" w:hAnsi="Times New Roman" w:cs="Times New Roman"/>
                <w:b/>
                <w:bCs/>
                <w:lang w:val="en-US" w:eastAsia="zh-CN"/>
              </w:rPr>
              <w:t xml:space="preserve"> </w:t>
            </w:r>
            <w:r>
              <w:rPr>
                <w:rFonts w:hint="eastAsia" w:cs="Times New Roman"/>
                <w:b/>
                <w:bCs/>
                <w:lang w:val="en-US" w:eastAsia="zh-CN"/>
              </w:rPr>
              <w:t xml:space="preserve"> </w:t>
            </w:r>
            <w:r>
              <w:rPr>
                <w:rFonts w:hint="default" w:ascii="Times New Roman" w:hAnsi="Times New Roman" w:cs="Times New Roman"/>
                <w:b/>
                <w:bCs/>
                <w:lang w:val="en-US" w:eastAsia="zh-CN"/>
              </w:rPr>
              <w:t xml:space="preserve"> </w:t>
            </w:r>
            <w:r>
              <w:rPr>
                <w:rFonts w:hint="default" w:ascii="Times New Roman" w:hAnsi="Times New Roman" w:cs="Times New Roman"/>
                <w:b/>
                <w:bCs/>
              </w:rPr>
              <w:t>主要设备噪声一览表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1850"/>
              <w:gridCol w:w="3369"/>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 w:type="pct"/>
                  <w:noWrap w:val="0"/>
                  <w:vAlign w:val="center"/>
                </w:tcPr>
                <w:p>
                  <w:pPr>
                    <w:pStyle w:val="30"/>
                    <w:bidi w:val="0"/>
                    <w:rPr>
                      <w:rFonts w:hint="default" w:ascii="Times New Roman" w:hAnsi="Times New Roman" w:cs="Times New Roman"/>
                      <w:b/>
                      <w:bCs/>
                    </w:rPr>
                  </w:pPr>
                  <w:bookmarkStart w:id="11" w:name="_Toc375849674"/>
                  <w:r>
                    <w:rPr>
                      <w:rFonts w:hint="default" w:ascii="Times New Roman" w:hAnsi="Times New Roman" w:cs="Times New Roman"/>
                      <w:b/>
                      <w:bCs/>
                    </w:rPr>
                    <w:t>设备名称</w:t>
                  </w:r>
                  <w:bookmarkEnd w:id="11"/>
                </w:p>
              </w:tc>
              <w:tc>
                <w:tcPr>
                  <w:tcW w:w="1012" w:type="pct"/>
                  <w:noWrap w:val="0"/>
                  <w:vAlign w:val="center"/>
                </w:tcPr>
                <w:p>
                  <w:pPr>
                    <w:pStyle w:val="30"/>
                    <w:bidi w:val="0"/>
                    <w:rPr>
                      <w:rFonts w:hint="eastAsia" w:cs="Times New Roman"/>
                      <w:b/>
                      <w:bCs/>
                      <w:lang w:eastAsia="zh-CN"/>
                    </w:rPr>
                  </w:pPr>
                  <w:bookmarkStart w:id="12" w:name="_Toc375849675"/>
                  <w:r>
                    <w:rPr>
                      <w:rFonts w:hint="eastAsia" w:cs="Times New Roman"/>
                      <w:b/>
                      <w:bCs/>
                      <w:lang w:eastAsia="zh-CN"/>
                    </w:rPr>
                    <w:t>治理前声压级</w:t>
                  </w:r>
                </w:p>
                <w:p>
                  <w:pPr>
                    <w:pStyle w:val="30"/>
                    <w:bidi w:val="0"/>
                    <w:rPr>
                      <w:rFonts w:hint="default" w:ascii="Times New Roman" w:hAnsi="Times New Roman" w:cs="Times New Roman"/>
                      <w:b/>
                      <w:bCs/>
                    </w:rPr>
                  </w:pPr>
                  <w:r>
                    <w:rPr>
                      <w:rFonts w:hint="default" w:ascii="Times New Roman" w:hAnsi="Times New Roman" w:cs="Times New Roman"/>
                      <w:b/>
                      <w:bCs/>
                    </w:rPr>
                    <w:t>Leq（A）</w:t>
                  </w:r>
                  <w:bookmarkEnd w:id="12"/>
                </w:p>
              </w:tc>
              <w:tc>
                <w:tcPr>
                  <w:tcW w:w="1843" w:type="pct"/>
                  <w:noWrap w:val="0"/>
                  <w:vAlign w:val="center"/>
                </w:tcPr>
                <w:p>
                  <w:pPr>
                    <w:pStyle w:val="30"/>
                    <w:bidi w:val="0"/>
                    <w:rPr>
                      <w:rFonts w:hint="eastAsia" w:ascii="Times New Roman" w:hAnsi="Times New Roman" w:eastAsia="宋体" w:cs="Times New Roman"/>
                      <w:b/>
                      <w:bCs/>
                      <w:lang w:eastAsia="zh-CN"/>
                    </w:rPr>
                  </w:pPr>
                  <w:r>
                    <w:rPr>
                      <w:rFonts w:hint="eastAsia" w:cs="Times New Roman"/>
                      <w:b/>
                      <w:bCs/>
                      <w:lang w:eastAsia="zh-CN"/>
                    </w:rPr>
                    <w:t>治理措施</w:t>
                  </w:r>
                </w:p>
              </w:tc>
              <w:tc>
                <w:tcPr>
                  <w:tcW w:w="1243" w:type="pct"/>
                  <w:noWrap w:val="0"/>
                  <w:vAlign w:val="center"/>
                </w:tcPr>
                <w:p>
                  <w:pPr>
                    <w:pStyle w:val="30"/>
                    <w:bidi w:val="0"/>
                    <w:rPr>
                      <w:rFonts w:hint="eastAsia" w:cs="Times New Roman"/>
                      <w:b/>
                      <w:bCs/>
                      <w:lang w:eastAsia="zh-CN"/>
                    </w:rPr>
                  </w:pPr>
                  <w:r>
                    <w:rPr>
                      <w:rFonts w:hint="eastAsia" w:cs="Times New Roman"/>
                      <w:b/>
                      <w:bCs/>
                      <w:lang w:eastAsia="zh-CN"/>
                    </w:rPr>
                    <w:t>治理</w:t>
                  </w:r>
                  <w:r>
                    <w:rPr>
                      <w:rFonts w:hint="eastAsia" w:cs="Times New Roman"/>
                      <w:b/>
                      <w:bCs/>
                      <w:lang w:val="en-US" w:eastAsia="zh-CN"/>
                    </w:rPr>
                    <w:t>后</w:t>
                  </w:r>
                  <w:r>
                    <w:rPr>
                      <w:rFonts w:hint="eastAsia" w:cs="Times New Roman"/>
                      <w:b/>
                      <w:bCs/>
                      <w:lang w:eastAsia="zh-CN"/>
                    </w:rPr>
                    <w:t>声压级</w:t>
                  </w:r>
                </w:p>
                <w:p>
                  <w:pPr>
                    <w:pStyle w:val="30"/>
                    <w:bidi w:val="0"/>
                    <w:rPr>
                      <w:rFonts w:hint="default" w:ascii="Times New Roman" w:hAnsi="Times New Roman" w:eastAsia="宋体" w:cs="Times New Roman"/>
                      <w:b/>
                      <w:bCs/>
                      <w:lang w:eastAsia="zh-CN"/>
                    </w:rPr>
                  </w:pPr>
                  <w:r>
                    <w:rPr>
                      <w:rFonts w:hint="default" w:ascii="Times New Roman" w:hAnsi="Times New Roman" w:cs="Times New Roman"/>
                      <w:b/>
                      <w:bCs/>
                    </w:rPr>
                    <w:t>Leq（A）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 w:type="pct"/>
                  <w:noWrap w:val="0"/>
                  <w:vAlign w:val="center"/>
                </w:tcPr>
                <w:p>
                  <w:pPr>
                    <w:topLinePunct/>
                    <w:ind w:left="0" w:leftChars="0" w:firstLine="0" w:firstLineChars="0"/>
                    <w:jc w:val="center"/>
                    <w:rPr>
                      <w:rFonts w:hint="default" w:ascii="Times New Roman" w:hAnsi="Times New Roman" w:eastAsia="宋体" w:cs="Times New Roman"/>
                      <w:lang w:eastAsia="zh-CN"/>
                    </w:rPr>
                  </w:pPr>
                  <w:r>
                    <w:rPr>
                      <w:rFonts w:hint="eastAsia" w:asciiTheme="minorEastAsia" w:hAnsiTheme="minorEastAsia" w:eastAsiaTheme="minorEastAsia" w:cstheme="minorEastAsia"/>
                      <w:color w:val="auto"/>
                      <w:sz w:val="21"/>
                      <w:szCs w:val="21"/>
                    </w:rPr>
                    <w:t>搅拌设备</w:t>
                  </w:r>
                </w:p>
              </w:tc>
              <w:tc>
                <w:tcPr>
                  <w:tcW w:w="1012" w:type="pct"/>
                  <w:noWrap w:val="0"/>
                  <w:vAlign w:val="center"/>
                </w:tcPr>
                <w:p>
                  <w:pPr>
                    <w:pStyle w:val="30"/>
                    <w:bidi w:val="0"/>
                    <w:jc w:val="center"/>
                    <w:rPr>
                      <w:rFonts w:hint="default" w:ascii="Times New Roman" w:hAnsi="Times New Roman" w:cs="Times New Roman"/>
                    </w:rPr>
                  </w:pPr>
                  <w:r>
                    <w:rPr>
                      <w:rFonts w:hint="default" w:ascii="Times New Roman" w:hAnsi="Times New Roman" w:cs="Times New Roman"/>
                    </w:rPr>
                    <w:t>8</w:t>
                  </w:r>
                  <w:r>
                    <w:rPr>
                      <w:rFonts w:hint="eastAsia" w:cs="Times New Roman"/>
                      <w:lang w:val="en-US" w:eastAsia="zh-CN"/>
                    </w:rPr>
                    <w:t>8</w:t>
                  </w:r>
                  <w:r>
                    <w:rPr>
                      <w:rFonts w:hint="default" w:ascii="Times New Roman" w:hAnsi="Times New Roman" w:cs="Times New Roman"/>
                    </w:rPr>
                    <w:t>dB（A）</w:t>
                  </w:r>
                </w:p>
              </w:tc>
              <w:tc>
                <w:tcPr>
                  <w:tcW w:w="1843" w:type="pct"/>
                  <w:vMerge w:val="restart"/>
                  <w:noWrap w:val="0"/>
                  <w:vAlign w:val="center"/>
                </w:tcPr>
                <w:p>
                  <w:pPr>
                    <w:pStyle w:val="30"/>
                    <w:bidi w:val="0"/>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基础减振，风机安装消声器或</w:t>
                  </w:r>
                </w:p>
                <w:p>
                  <w:pPr>
                    <w:pStyle w:val="30"/>
                    <w:bidi w:val="0"/>
                    <w:spacing w:line="360" w:lineRule="auto"/>
                    <w:rPr>
                      <w:rFonts w:hint="default" w:ascii="Times New Roman" w:hAnsi="Times New Roman" w:cs="Times New Roman"/>
                      <w:lang w:val="en-US" w:eastAsia="zh-CN"/>
                    </w:rPr>
                  </w:pPr>
                  <w:r>
                    <w:rPr>
                      <w:rFonts w:hint="default" w:ascii="Times New Roman" w:hAnsi="Times New Roman" w:cs="Times New Roman"/>
                      <w:lang w:val="en-US" w:eastAsia="zh-CN"/>
                    </w:rPr>
                    <w:t>隔声罩，厂房采用隔声门窗</w:t>
                  </w:r>
                  <w:r>
                    <w:rPr>
                      <w:rFonts w:hint="eastAsia" w:cs="Times New Roman"/>
                      <w:lang w:val="en-US" w:eastAsia="zh-CN"/>
                    </w:rPr>
                    <w:t>、定期维护保养</w:t>
                  </w:r>
                  <w:r>
                    <w:rPr>
                      <w:rFonts w:hint="default" w:ascii="Times New Roman" w:hAnsi="Times New Roman" w:cs="Times New Roman"/>
                      <w:lang w:val="en-US" w:eastAsia="zh-CN"/>
                    </w:rPr>
                    <w:t>等</w:t>
                  </w:r>
                </w:p>
              </w:tc>
              <w:tc>
                <w:tcPr>
                  <w:tcW w:w="1243" w:type="pct"/>
                  <w:noWrap w:val="0"/>
                  <w:vAlign w:val="center"/>
                </w:tcPr>
                <w:p>
                  <w:pPr>
                    <w:pStyle w:val="30"/>
                    <w:bidi w:val="0"/>
                    <w:rPr>
                      <w:rFonts w:hint="default" w:ascii="Times New Roman" w:hAnsi="Times New Roman" w:eastAsia="宋体" w:cs="Times New Roman"/>
                      <w:lang w:val="en-US" w:eastAsia="zh-CN"/>
                    </w:rPr>
                  </w:pPr>
                  <w:r>
                    <w:rPr>
                      <w:rFonts w:hint="eastAsia" w:cs="Times New Roman"/>
                      <w:lang w:val="en-US" w:eastAsia="zh-CN"/>
                    </w:rPr>
                    <w:t>68</w:t>
                  </w:r>
                  <w:r>
                    <w:rPr>
                      <w:rFonts w:hint="default" w:ascii="Times New Roman" w:hAnsi="Times New Roman" w:cs="Times New Roman"/>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 w:type="pct"/>
                  <w:noWrap w:val="0"/>
                  <w:vAlign w:val="center"/>
                </w:tcPr>
                <w:p>
                  <w:pPr>
                    <w:topLinePunct/>
                    <w:ind w:left="0" w:leftChars="0" w:firstLine="0" w:firstLineChars="0"/>
                    <w:jc w:val="center"/>
                    <w:rPr>
                      <w:rFonts w:hint="default" w:ascii="Times New Roman" w:hAnsi="Times New Roman" w:cs="Times New Roman"/>
                    </w:rPr>
                  </w:pPr>
                  <w:r>
                    <w:rPr>
                      <w:rFonts w:hint="eastAsia" w:asciiTheme="minorEastAsia" w:hAnsiTheme="minorEastAsia" w:eastAsiaTheme="minorEastAsia" w:cstheme="minorEastAsia"/>
                      <w:color w:val="auto"/>
                      <w:sz w:val="21"/>
                      <w:szCs w:val="21"/>
                    </w:rPr>
                    <w:t>混凝土泵车</w:t>
                  </w:r>
                </w:p>
              </w:tc>
              <w:tc>
                <w:tcPr>
                  <w:tcW w:w="1012" w:type="pct"/>
                  <w:noWrap w:val="0"/>
                  <w:vAlign w:val="center"/>
                </w:tcPr>
                <w:p>
                  <w:pPr>
                    <w:pStyle w:val="30"/>
                    <w:bidi w:val="0"/>
                    <w:ind w:firstLine="210" w:firstLineChars="100"/>
                    <w:jc w:val="both"/>
                    <w:rPr>
                      <w:rFonts w:hint="default" w:ascii="Times New Roman" w:hAnsi="Times New Roman" w:cs="Times New Roman"/>
                    </w:rPr>
                  </w:pPr>
                  <w:r>
                    <w:rPr>
                      <w:rFonts w:hint="default" w:ascii="Times New Roman" w:hAnsi="Times New Roman" w:cs="Times New Roman"/>
                    </w:rPr>
                    <w:t>88 dB（A）</w:t>
                  </w:r>
                </w:p>
              </w:tc>
              <w:tc>
                <w:tcPr>
                  <w:tcW w:w="1843" w:type="pct"/>
                  <w:vMerge w:val="continue"/>
                  <w:noWrap w:val="0"/>
                  <w:vAlign w:val="center"/>
                </w:tcPr>
                <w:p>
                  <w:pPr>
                    <w:pStyle w:val="30"/>
                    <w:bidi w:val="0"/>
                    <w:rPr>
                      <w:rFonts w:hint="default" w:ascii="Times New Roman" w:hAnsi="Times New Roman" w:cs="Times New Roman"/>
                      <w:lang w:val="en-US" w:eastAsia="zh-CN"/>
                    </w:rPr>
                  </w:pPr>
                </w:p>
              </w:tc>
              <w:tc>
                <w:tcPr>
                  <w:tcW w:w="1243" w:type="pct"/>
                  <w:noWrap w:val="0"/>
                  <w:vAlign w:val="center"/>
                </w:tcPr>
                <w:p>
                  <w:pPr>
                    <w:pStyle w:val="30"/>
                    <w:bidi w:val="0"/>
                    <w:rPr>
                      <w:rFonts w:hint="default" w:ascii="Times New Roman" w:hAnsi="Times New Roman" w:eastAsia="宋体" w:cs="Times New Roman"/>
                      <w:lang w:val="en-US" w:eastAsia="zh-CN"/>
                    </w:rPr>
                  </w:pPr>
                  <w:r>
                    <w:rPr>
                      <w:rFonts w:hint="eastAsia" w:cs="Times New Roman"/>
                      <w:lang w:val="en-US" w:eastAsia="zh-CN"/>
                    </w:rPr>
                    <w:t>68</w:t>
                  </w:r>
                  <w:r>
                    <w:rPr>
                      <w:rFonts w:hint="default" w:ascii="Times New Roman" w:hAnsi="Times New Roman" w:cs="Times New Roman"/>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 w:type="pct"/>
                  <w:noWrap w:val="0"/>
                  <w:vAlign w:val="center"/>
                </w:tcPr>
                <w:p>
                  <w:pPr>
                    <w:topLinePunct/>
                    <w:ind w:left="0" w:leftChars="0" w:firstLine="0" w:firstLineChars="0"/>
                    <w:jc w:val="center"/>
                    <w:rPr>
                      <w:rFonts w:hint="default" w:ascii="Times New Roman" w:hAnsi="Times New Roman" w:cs="Times New Roman"/>
                      <w:lang w:eastAsia="zh-CN"/>
                    </w:rPr>
                  </w:pPr>
                  <w:r>
                    <w:rPr>
                      <w:rFonts w:hint="eastAsia" w:asciiTheme="minorEastAsia" w:hAnsiTheme="minorEastAsia" w:eastAsiaTheme="minorEastAsia" w:cstheme="minorEastAsia"/>
                      <w:color w:val="auto"/>
                      <w:sz w:val="21"/>
                      <w:szCs w:val="21"/>
                    </w:rPr>
                    <w:t>混凝土罐车</w:t>
                  </w:r>
                </w:p>
              </w:tc>
              <w:tc>
                <w:tcPr>
                  <w:tcW w:w="1012" w:type="pct"/>
                  <w:noWrap w:val="0"/>
                  <w:vAlign w:val="center"/>
                </w:tcPr>
                <w:p>
                  <w:pPr>
                    <w:pStyle w:val="30"/>
                    <w:bidi w:val="0"/>
                    <w:jc w:val="center"/>
                    <w:rPr>
                      <w:rFonts w:hint="default" w:ascii="Times New Roman" w:hAnsi="Times New Roman" w:cs="Times New Roman"/>
                      <w:lang w:val="en-US" w:eastAsia="zh-CN"/>
                    </w:rPr>
                  </w:pPr>
                  <w:r>
                    <w:rPr>
                      <w:rFonts w:hint="default" w:ascii="Times New Roman" w:hAnsi="Times New Roman" w:cs="Times New Roman"/>
                      <w:lang w:eastAsia="zh-CN"/>
                    </w:rPr>
                    <w:t>80 dB（A）</w:t>
                  </w:r>
                </w:p>
              </w:tc>
              <w:tc>
                <w:tcPr>
                  <w:tcW w:w="1843" w:type="pct"/>
                  <w:vMerge w:val="continue"/>
                  <w:noWrap w:val="0"/>
                  <w:vAlign w:val="center"/>
                </w:tcPr>
                <w:p>
                  <w:pPr>
                    <w:pStyle w:val="30"/>
                    <w:bidi w:val="0"/>
                    <w:rPr>
                      <w:rFonts w:hint="default" w:ascii="Times New Roman" w:hAnsi="Times New Roman" w:cs="Times New Roman"/>
                      <w:lang w:val="en-US" w:eastAsia="zh-CN"/>
                    </w:rPr>
                  </w:pPr>
                </w:p>
              </w:tc>
              <w:tc>
                <w:tcPr>
                  <w:tcW w:w="1243" w:type="pct"/>
                  <w:noWrap w:val="0"/>
                  <w:vAlign w:val="center"/>
                </w:tcPr>
                <w:p>
                  <w:pPr>
                    <w:pStyle w:val="30"/>
                    <w:bidi w:val="0"/>
                    <w:rPr>
                      <w:rFonts w:hint="default" w:ascii="Times New Roman" w:hAnsi="Times New Roman" w:eastAsia="宋体" w:cs="Times New Roman"/>
                      <w:lang w:val="en-US" w:eastAsia="zh-CN"/>
                    </w:rPr>
                  </w:pPr>
                  <w:r>
                    <w:rPr>
                      <w:rFonts w:hint="eastAsia" w:cs="Times New Roman"/>
                      <w:lang w:val="en-US" w:eastAsia="zh-CN"/>
                    </w:rPr>
                    <w:t>60</w:t>
                  </w:r>
                  <w:r>
                    <w:rPr>
                      <w:rFonts w:hint="default" w:ascii="Times New Roman" w:hAnsi="Times New Roman" w:cs="Times New Roman"/>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900" w:type="pct"/>
                  <w:noWrap w:val="0"/>
                  <w:vAlign w:val="center"/>
                </w:tcPr>
                <w:p>
                  <w:pPr>
                    <w:topLinePunct/>
                    <w:ind w:left="0" w:leftChars="0" w:firstLine="0" w:firstLineChars="0"/>
                    <w:jc w:val="center"/>
                    <w:rPr>
                      <w:rFonts w:hint="default" w:ascii="Times New Roman" w:hAnsi="Times New Roman" w:cs="Times New Roman"/>
                      <w:lang w:eastAsia="zh-CN"/>
                    </w:rPr>
                  </w:pPr>
                  <w:r>
                    <w:rPr>
                      <w:rFonts w:hint="eastAsia" w:asciiTheme="minorEastAsia" w:hAnsiTheme="minorEastAsia" w:eastAsiaTheme="minorEastAsia" w:cstheme="minorEastAsia"/>
                      <w:color w:val="auto"/>
                      <w:sz w:val="21"/>
                      <w:szCs w:val="21"/>
                    </w:rPr>
                    <w:t>装载机</w:t>
                  </w:r>
                </w:p>
              </w:tc>
              <w:tc>
                <w:tcPr>
                  <w:tcW w:w="1012" w:type="pct"/>
                  <w:noWrap w:val="0"/>
                  <w:vAlign w:val="center"/>
                </w:tcPr>
                <w:p>
                  <w:pPr>
                    <w:pStyle w:val="30"/>
                    <w:bidi w:val="0"/>
                    <w:jc w:val="center"/>
                    <w:rPr>
                      <w:rFonts w:hint="default" w:ascii="Times New Roman" w:hAnsi="Times New Roman" w:cs="Times New Roman"/>
                      <w:lang w:eastAsia="zh-CN"/>
                    </w:rPr>
                  </w:pPr>
                  <w:r>
                    <w:rPr>
                      <w:rFonts w:hint="default" w:ascii="Times New Roman" w:hAnsi="Times New Roman" w:cs="Times New Roman"/>
                      <w:lang w:eastAsia="zh-CN"/>
                    </w:rPr>
                    <w:t>80 dB（A）</w:t>
                  </w:r>
                </w:p>
              </w:tc>
              <w:tc>
                <w:tcPr>
                  <w:tcW w:w="1843" w:type="pct"/>
                  <w:vMerge w:val="continue"/>
                  <w:noWrap w:val="0"/>
                  <w:vAlign w:val="center"/>
                </w:tcPr>
                <w:p>
                  <w:pPr>
                    <w:pStyle w:val="30"/>
                    <w:bidi w:val="0"/>
                    <w:rPr>
                      <w:rFonts w:hint="default" w:ascii="Times New Roman" w:hAnsi="Times New Roman" w:cs="Times New Roman"/>
                      <w:lang w:val="en-US" w:eastAsia="zh-CN"/>
                    </w:rPr>
                  </w:pPr>
                </w:p>
              </w:tc>
              <w:tc>
                <w:tcPr>
                  <w:tcW w:w="1243" w:type="pct"/>
                  <w:noWrap w:val="0"/>
                  <w:vAlign w:val="center"/>
                </w:tcPr>
                <w:p>
                  <w:pPr>
                    <w:pStyle w:val="30"/>
                    <w:bidi w:val="0"/>
                    <w:rPr>
                      <w:rFonts w:hint="default" w:ascii="Times New Roman" w:hAnsi="Times New Roman" w:eastAsia="宋体" w:cs="Times New Roman"/>
                      <w:lang w:val="en-US" w:eastAsia="zh-CN"/>
                    </w:rPr>
                  </w:pPr>
                  <w:r>
                    <w:rPr>
                      <w:rFonts w:hint="eastAsia" w:cs="Times New Roman"/>
                      <w:lang w:val="en-US" w:eastAsia="zh-CN"/>
                    </w:rPr>
                    <w:t>60</w:t>
                  </w:r>
                  <w:r>
                    <w:rPr>
                      <w:rFonts w:hint="default" w:ascii="Times New Roman" w:hAnsi="Times New Roman" w:cs="Times New Roman"/>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 w:type="pct"/>
                  <w:noWrap w:val="0"/>
                  <w:vAlign w:val="center"/>
                </w:tcPr>
                <w:p>
                  <w:pPr>
                    <w:topLinePunct/>
                    <w:ind w:left="0" w:leftChars="0" w:firstLine="0" w:firstLineChars="0"/>
                    <w:jc w:val="center"/>
                    <w:rPr>
                      <w:rFonts w:hint="default" w:ascii="Times New Roman" w:hAnsi="Times New Roman" w:eastAsia="宋体" w:cs="Times New Roman"/>
                      <w:lang w:eastAsia="zh-CN"/>
                    </w:rPr>
                  </w:pPr>
                  <w:r>
                    <w:rPr>
                      <w:rFonts w:hint="eastAsia" w:asciiTheme="minorEastAsia" w:hAnsiTheme="minorEastAsia" w:eastAsiaTheme="minorEastAsia" w:cstheme="minorEastAsia"/>
                      <w:color w:val="auto"/>
                      <w:sz w:val="21"/>
                      <w:szCs w:val="21"/>
                      <w:lang w:val="en-US" w:eastAsia="zh-CN"/>
                    </w:rPr>
                    <w:t>水泥罐车</w:t>
                  </w:r>
                </w:p>
              </w:tc>
              <w:tc>
                <w:tcPr>
                  <w:tcW w:w="1012" w:type="pct"/>
                  <w:noWrap w:val="0"/>
                  <w:vAlign w:val="center"/>
                </w:tcPr>
                <w:p>
                  <w:pPr>
                    <w:pStyle w:val="30"/>
                    <w:bidi w:val="0"/>
                    <w:rPr>
                      <w:rFonts w:hint="default" w:ascii="Times New Roman" w:hAnsi="Times New Roman" w:cs="Times New Roman"/>
                    </w:rPr>
                  </w:pPr>
                  <w:r>
                    <w:rPr>
                      <w:rFonts w:hint="default" w:ascii="Times New Roman" w:hAnsi="Times New Roman" w:cs="Times New Roman"/>
                      <w:lang w:val="en-US" w:eastAsia="zh-CN"/>
                    </w:rPr>
                    <w:t>85</w:t>
                  </w:r>
                  <w:r>
                    <w:rPr>
                      <w:rFonts w:hint="default" w:ascii="Times New Roman" w:hAnsi="Times New Roman" w:cs="Times New Roman"/>
                    </w:rPr>
                    <w:t>dB（A）</w:t>
                  </w:r>
                </w:p>
              </w:tc>
              <w:tc>
                <w:tcPr>
                  <w:tcW w:w="1843" w:type="pct"/>
                  <w:vMerge w:val="continue"/>
                  <w:noWrap w:val="0"/>
                  <w:vAlign w:val="center"/>
                </w:tcPr>
                <w:p>
                  <w:pPr>
                    <w:pStyle w:val="30"/>
                    <w:bidi w:val="0"/>
                    <w:rPr>
                      <w:rFonts w:hint="default" w:ascii="Times New Roman" w:hAnsi="Times New Roman" w:cs="Times New Roman"/>
                      <w:lang w:val="en-US" w:eastAsia="zh-CN"/>
                    </w:rPr>
                  </w:pPr>
                </w:p>
              </w:tc>
              <w:tc>
                <w:tcPr>
                  <w:tcW w:w="1243" w:type="pct"/>
                  <w:noWrap w:val="0"/>
                  <w:vAlign w:val="center"/>
                </w:tcPr>
                <w:p>
                  <w:pPr>
                    <w:pStyle w:val="30"/>
                    <w:bidi w:val="0"/>
                    <w:rPr>
                      <w:rFonts w:hint="default" w:ascii="Times New Roman" w:hAnsi="Times New Roman" w:eastAsia="宋体" w:cs="Times New Roman"/>
                      <w:lang w:val="en-US" w:eastAsia="zh-CN"/>
                    </w:rPr>
                  </w:pPr>
                  <w:r>
                    <w:rPr>
                      <w:rFonts w:hint="eastAsia" w:cs="Times New Roman"/>
                      <w:lang w:val="en-US" w:eastAsia="zh-CN"/>
                    </w:rPr>
                    <w:t>65</w:t>
                  </w:r>
                  <w:r>
                    <w:rPr>
                      <w:rFonts w:hint="default" w:ascii="Times New Roman" w:hAnsi="Times New Roman" w:cs="Times New Roman"/>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 w:type="pct"/>
                  <w:noWrap w:val="0"/>
                  <w:vAlign w:val="center"/>
                </w:tcPr>
                <w:p>
                  <w:pPr>
                    <w:topLinePunct/>
                    <w:ind w:left="0" w:leftChars="0" w:firstLine="0" w:firstLineChars="0"/>
                    <w:jc w:val="center"/>
                    <w:rPr>
                      <w:rFonts w:hint="default" w:ascii="Times New Roman" w:hAnsi="Times New Roman" w:eastAsia="宋体" w:cs="Times New Roman"/>
                      <w:lang w:eastAsia="zh-CN"/>
                    </w:rPr>
                  </w:pPr>
                  <w:r>
                    <w:rPr>
                      <w:rFonts w:hint="eastAsia" w:asciiTheme="minorEastAsia" w:hAnsiTheme="minorEastAsia" w:eastAsiaTheme="minorEastAsia" w:cstheme="minorEastAsia"/>
                      <w:color w:val="auto"/>
                      <w:sz w:val="21"/>
                      <w:szCs w:val="21"/>
                      <w:lang w:val="en-US" w:eastAsia="zh-CN"/>
                    </w:rPr>
                    <w:t>砂石料运输车</w:t>
                  </w:r>
                </w:p>
              </w:tc>
              <w:tc>
                <w:tcPr>
                  <w:tcW w:w="1012" w:type="pct"/>
                  <w:noWrap w:val="0"/>
                  <w:vAlign w:val="center"/>
                </w:tcPr>
                <w:p>
                  <w:pPr>
                    <w:pStyle w:val="30"/>
                    <w:bidi w:val="0"/>
                    <w:rPr>
                      <w:rFonts w:hint="default" w:ascii="Times New Roman" w:hAnsi="Times New Roman" w:cs="Times New Roman"/>
                    </w:rPr>
                  </w:pPr>
                  <w:bookmarkStart w:id="13" w:name="_Toc375849677"/>
                  <w:r>
                    <w:rPr>
                      <w:rFonts w:hint="default" w:ascii="Times New Roman" w:hAnsi="Times New Roman" w:cs="Times New Roman"/>
                    </w:rPr>
                    <w:t>88 dB（A）</w:t>
                  </w:r>
                  <w:bookmarkEnd w:id="13"/>
                </w:p>
              </w:tc>
              <w:tc>
                <w:tcPr>
                  <w:tcW w:w="1843" w:type="pct"/>
                  <w:vMerge w:val="continue"/>
                  <w:noWrap w:val="0"/>
                  <w:vAlign w:val="center"/>
                </w:tcPr>
                <w:p>
                  <w:pPr>
                    <w:pStyle w:val="30"/>
                    <w:bidi w:val="0"/>
                    <w:rPr>
                      <w:rFonts w:hint="default" w:ascii="Times New Roman" w:hAnsi="Times New Roman" w:cs="Times New Roman"/>
                    </w:rPr>
                  </w:pPr>
                </w:p>
              </w:tc>
              <w:tc>
                <w:tcPr>
                  <w:tcW w:w="1243" w:type="pct"/>
                  <w:noWrap w:val="0"/>
                  <w:vAlign w:val="center"/>
                </w:tcPr>
                <w:p>
                  <w:pPr>
                    <w:pStyle w:val="30"/>
                    <w:bidi w:val="0"/>
                    <w:rPr>
                      <w:rFonts w:hint="default" w:ascii="Times New Roman" w:hAnsi="Times New Roman" w:eastAsia="宋体" w:cs="Times New Roman"/>
                      <w:lang w:val="en-US" w:eastAsia="zh-CN"/>
                    </w:rPr>
                  </w:pPr>
                  <w:r>
                    <w:rPr>
                      <w:rFonts w:hint="eastAsia" w:cs="Times New Roman"/>
                      <w:lang w:val="en-US" w:eastAsia="zh-CN"/>
                    </w:rPr>
                    <w:t>68</w:t>
                  </w:r>
                  <w:r>
                    <w:rPr>
                      <w:rFonts w:hint="default" w:ascii="Times New Roman" w:hAnsi="Times New Roman" w:cs="Times New Roman"/>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 w:type="pct"/>
                  <w:noWrap w:val="0"/>
                  <w:vAlign w:val="center"/>
                </w:tcPr>
                <w:p>
                  <w:pPr>
                    <w:topLinePunct/>
                    <w:ind w:left="0" w:leftChars="0" w:firstLine="0" w:firstLineChars="0"/>
                    <w:jc w:val="center"/>
                    <w:rPr>
                      <w:rFonts w:hint="default" w:ascii="Times New Roman" w:hAnsi="Times New Roman" w:eastAsia="宋体" w:cs="Times New Roman"/>
                      <w:lang w:eastAsia="zh-CN"/>
                    </w:rPr>
                  </w:pPr>
                  <w:bookmarkStart w:id="14" w:name="_Toc375849678"/>
                  <w:r>
                    <w:rPr>
                      <w:rFonts w:hint="eastAsia" w:asciiTheme="minorEastAsia" w:hAnsiTheme="minorEastAsia" w:eastAsiaTheme="minorEastAsia" w:cstheme="minorEastAsia"/>
                      <w:color w:val="auto"/>
                      <w:sz w:val="21"/>
                      <w:szCs w:val="21"/>
                      <w:lang w:val="en-US" w:eastAsia="zh-CN"/>
                    </w:rPr>
                    <w:t>集料仓</w:t>
                  </w:r>
                </w:p>
              </w:tc>
              <w:tc>
                <w:tcPr>
                  <w:tcW w:w="1012" w:type="pct"/>
                  <w:noWrap w:val="0"/>
                  <w:vAlign w:val="center"/>
                </w:tcPr>
                <w:p>
                  <w:pPr>
                    <w:pStyle w:val="30"/>
                    <w:bidi w:val="0"/>
                    <w:rPr>
                      <w:rFonts w:hint="default" w:ascii="Times New Roman" w:hAnsi="Times New Roman" w:cs="Times New Roman"/>
                    </w:rPr>
                  </w:pPr>
                  <w:r>
                    <w:rPr>
                      <w:rFonts w:hint="default" w:ascii="Times New Roman" w:hAnsi="Times New Roman" w:cs="Times New Roman"/>
                    </w:rPr>
                    <w:t>80 dB（A）</w:t>
                  </w:r>
                </w:p>
              </w:tc>
              <w:tc>
                <w:tcPr>
                  <w:tcW w:w="1843" w:type="pct"/>
                  <w:vMerge w:val="continue"/>
                  <w:noWrap w:val="0"/>
                  <w:vAlign w:val="center"/>
                </w:tcPr>
                <w:p>
                  <w:pPr>
                    <w:pStyle w:val="30"/>
                    <w:bidi w:val="0"/>
                    <w:rPr>
                      <w:rFonts w:hint="default" w:ascii="Times New Roman" w:hAnsi="Times New Roman" w:eastAsia="宋体" w:cs="Times New Roman"/>
                      <w:lang w:val="en-US" w:eastAsia="zh-CN"/>
                    </w:rPr>
                  </w:pPr>
                </w:p>
              </w:tc>
              <w:tc>
                <w:tcPr>
                  <w:tcW w:w="1243" w:type="pct"/>
                  <w:noWrap w:val="0"/>
                  <w:vAlign w:val="center"/>
                </w:tcPr>
                <w:p>
                  <w:pPr>
                    <w:pStyle w:val="30"/>
                    <w:bidi w:val="0"/>
                    <w:rPr>
                      <w:rFonts w:hint="default" w:ascii="Times New Roman" w:hAnsi="Times New Roman" w:eastAsia="宋体" w:cs="Times New Roman"/>
                      <w:lang w:val="en-US" w:eastAsia="zh-CN"/>
                    </w:rPr>
                  </w:pPr>
                  <w:r>
                    <w:rPr>
                      <w:rFonts w:hint="eastAsia" w:cs="Times New Roman"/>
                      <w:lang w:val="en-US" w:eastAsia="zh-CN"/>
                    </w:rPr>
                    <w:t>60</w:t>
                  </w:r>
                  <w:r>
                    <w:rPr>
                      <w:rFonts w:hint="default" w:ascii="Times New Roman" w:hAnsi="Times New Roman" w:cs="Times New Roman"/>
                    </w:rPr>
                    <w:t>dB（A）</w:t>
                  </w:r>
                </w:p>
              </w:tc>
            </w:tr>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 w:type="pct"/>
                  <w:noWrap w:val="0"/>
                  <w:vAlign w:val="center"/>
                </w:tcPr>
                <w:p>
                  <w:pPr>
                    <w:topLinePunct/>
                    <w:ind w:left="0" w:leftChars="0" w:firstLine="0" w:firstLineChars="0"/>
                    <w:jc w:val="center"/>
                    <w:rPr>
                      <w:rFonts w:hint="default" w:ascii="Times New Roman" w:hAnsi="Times New Roman" w:eastAsia="宋体" w:cs="Times New Roman"/>
                      <w:lang w:eastAsia="zh-CN"/>
                    </w:rPr>
                  </w:pPr>
                  <w:r>
                    <w:rPr>
                      <w:rFonts w:hint="eastAsia" w:asciiTheme="minorEastAsia" w:hAnsiTheme="minorEastAsia" w:eastAsiaTheme="minorEastAsia" w:cstheme="minorEastAsia"/>
                      <w:color w:val="auto"/>
                      <w:sz w:val="21"/>
                      <w:szCs w:val="21"/>
                      <w:lang w:val="en-US" w:eastAsia="zh-CN"/>
                    </w:rPr>
                    <w:t>水泥筒仓</w:t>
                  </w:r>
                </w:p>
              </w:tc>
              <w:tc>
                <w:tcPr>
                  <w:tcW w:w="1012" w:type="pct"/>
                  <w:noWrap w:val="0"/>
                  <w:vAlign w:val="center"/>
                </w:tcPr>
                <w:p>
                  <w:pPr>
                    <w:pStyle w:val="30"/>
                    <w:bidi w:val="0"/>
                    <w:rPr>
                      <w:rFonts w:hint="default" w:ascii="Times New Roman" w:hAnsi="Times New Roman" w:cs="Times New Roman"/>
                    </w:rPr>
                  </w:pPr>
                  <w:bookmarkStart w:id="15" w:name="_Toc375849679"/>
                  <w:r>
                    <w:rPr>
                      <w:rFonts w:hint="default" w:ascii="Times New Roman" w:hAnsi="Times New Roman" w:cs="Times New Roman"/>
                    </w:rPr>
                    <w:t>80 dB（A）</w:t>
                  </w:r>
                  <w:bookmarkEnd w:id="15"/>
                </w:p>
              </w:tc>
              <w:tc>
                <w:tcPr>
                  <w:tcW w:w="1843" w:type="pct"/>
                  <w:vMerge w:val="continue"/>
                  <w:noWrap w:val="0"/>
                  <w:vAlign w:val="center"/>
                </w:tcPr>
                <w:p>
                  <w:pPr>
                    <w:pStyle w:val="30"/>
                    <w:bidi w:val="0"/>
                    <w:rPr>
                      <w:rFonts w:hint="default" w:ascii="Times New Roman" w:hAnsi="Times New Roman" w:eastAsia="宋体" w:cs="Times New Roman"/>
                      <w:lang w:val="en-US" w:eastAsia="zh-CN"/>
                    </w:rPr>
                  </w:pPr>
                </w:p>
              </w:tc>
              <w:tc>
                <w:tcPr>
                  <w:tcW w:w="1243" w:type="pct"/>
                  <w:noWrap w:val="0"/>
                  <w:vAlign w:val="center"/>
                </w:tcPr>
                <w:p>
                  <w:pPr>
                    <w:pStyle w:val="30"/>
                    <w:bidi w:val="0"/>
                    <w:rPr>
                      <w:rFonts w:hint="default" w:ascii="Times New Roman" w:hAnsi="Times New Roman" w:eastAsia="宋体" w:cs="Times New Roman"/>
                      <w:lang w:val="en-US" w:eastAsia="zh-CN"/>
                    </w:rPr>
                  </w:pPr>
                  <w:r>
                    <w:rPr>
                      <w:rFonts w:hint="eastAsia" w:cs="Times New Roman"/>
                      <w:lang w:val="en-US" w:eastAsia="zh-CN"/>
                    </w:rPr>
                    <w:t>60</w:t>
                  </w:r>
                  <w:r>
                    <w:rPr>
                      <w:rFonts w:hint="default" w:ascii="Times New Roman" w:hAnsi="Times New Roman" w:cs="Times New Roman"/>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 w:type="pct"/>
                  <w:noWrap w:val="0"/>
                  <w:vAlign w:val="center"/>
                </w:tcPr>
                <w:p>
                  <w:pPr>
                    <w:topLinePunct/>
                    <w:ind w:left="0" w:leftChars="0" w:firstLine="0" w:firstLineChars="0"/>
                    <w:jc w:val="center"/>
                    <w:rPr>
                      <w:rFonts w:hint="default" w:ascii="Times New Roman" w:hAnsi="Times New Roman" w:eastAsia="宋体" w:cs="Times New Roman"/>
                      <w:lang w:eastAsia="zh-CN"/>
                    </w:rPr>
                  </w:pPr>
                  <w:r>
                    <w:rPr>
                      <w:rFonts w:hint="eastAsia" w:asciiTheme="minorEastAsia" w:hAnsiTheme="minorEastAsia" w:eastAsiaTheme="minorEastAsia" w:cstheme="minorEastAsia"/>
                      <w:color w:val="auto"/>
                      <w:sz w:val="21"/>
                      <w:szCs w:val="21"/>
                      <w:lang w:val="en-US" w:eastAsia="zh-CN"/>
                    </w:rPr>
                    <w:t>粉煤灰仓</w:t>
                  </w:r>
                </w:p>
              </w:tc>
              <w:tc>
                <w:tcPr>
                  <w:tcW w:w="1012" w:type="pct"/>
                  <w:noWrap w:val="0"/>
                  <w:vAlign w:val="center"/>
                </w:tcPr>
                <w:p>
                  <w:pPr>
                    <w:pStyle w:val="30"/>
                    <w:bidi w:val="0"/>
                    <w:rPr>
                      <w:rFonts w:hint="default" w:ascii="Times New Roman" w:hAnsi="Times New Roman" w:cs="Times New Roman"/>
                    </w:rPr>
                  </w:pPr>
                  <w:bookmarkStart w:id="16" w:name="_Toc375849683"/>
                  <w:r>
                    <w:rPr>
                      <w:rFonts w:hint="default" w:ascii="Times New Roman" w:hAnsi="Times New Roman" w:cs="Times New Roman"/>
                    </w:rPr>
                    <w:t>8</w:t>
                  </w:r>
                  <w:r>
                    <w:rPr>
                      <w:rFonts w:hint="eastAsia" w:cs="Times New Roman"/>
                      <w:lang w:val="en-US" w:eastAsia="zh-CN"/>
                    </w:rPr>
                    <w:t>0</w:t>
                  </w:r>
                  <w:r>
                    <w:rPr>
                      <w:rFonts w:hint="default" w:ascii="Times New Roman" w:hAnsi="Times New Roman" w:cs="Times New Roman"/>
                    </w:rPr>
                    <w:t xml:space="preserve"> dB（A）</w:t>
                  </w:r>
                  <w:bookmarkEnd w:id="16"/>
                </w:p>
              </w:tc>
              <w:tc>
                <w:tcPr>
                  <w:tcW w:w="1843" w:type="pct"/>
                  <w:vMerge w:val="continue"/>
                  <w:noWrap w:val="0"/>
                  <w:vAlign w:val="center"/>
                </w:tcPr>
                <w:p>
                  <w:pPr>
                    <w:pStyle w:val="30"/>
                    <w:bidi w:val="0"/>
                    <w:rPr>
                      <w:rFonts w:hint="default" w:ascii="Times New Roman" w:hAnsi="Times New Roman" w:eastAsia="宋体" w:cs="Times New Roman"/>
                      <w:lang w:val="en-US" w:eastAsia="zh-CN"/>
                    </w:rPr>
                  </w:pPr>
                </w:p>
              </w:tc>
              <w:tc>
                <w:tcPr>
                  <w:tcW w:w="1243" w:type="pct"/>
                  <w:noWrap w:val="0"/>
                  <w:vAlign w:val="center"/>
                </w:tcPr>
                <w:p>
                  <w:pPr>
                    <w:pStyle w:val="30"/>
                    <w:bidi w:val="0"/>
                    <w:rPr>
                      <w:rFonts w:hint="default" w:ascii="Times New Roman" w:hAnsi="Times New Roman" w:eastAsia="宋体" w:cs="Times New Roman"/>
                      <w:lang w:val="en-US" w:eastAsia="zh-CN"/>
                    </w:rPr>
                  </w:pPr>
                  <w:r>
                    <w:rPr>
                      <w:rFonts w:hint="eastAsia" w:cs="Times New Roman"/>
                      <w:lang w:val="en-US" w:eastAsia="zh-CN"/>
                    </w:rPr>
                    <w:t>60</w:t>
                  </w:r>
                  <w:r>
                    <w:rPr>
                      <w:rFonts w:hint="default" w:ascii="Times New Roman" w:hAnsi="Times New Roman" w:cs="Times New Roman"/>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 w:type="pct"/>
                  <w:noWrap w:val="0"/>
                  <w:vAlign w:val="center"/>
                </w:tcPr>
                <w:p>
                  <w:pPr>
                    <w:topLinePunct/>
                    <w:ind w:left="0" w:leftChars="0" w:firstLine="0" w:firstLineChars="0"/>
                    <w:jc w:val="center"/>
                    <w:rPr>
                      <w:rFonts w:hint="default" w:ascii="Times New Roman" w:hAnsi="Times New Roman" w:cs="Times New Roman"/>
                    </w:rPr>
                  </w:pPr>
                  <w:r>
                    <w:rPr>
                      <w:rFonts w:hint="eastAsia" w:asciiTheme="minorEastAsia" w:hAnsiTheme="minorEastAsia" w:eastAsiaTheme="minorEastAsia" w:cstheme="minorEastAsia"/>
                      <w:color w:val="auto"/>
                      <w:sz w:val="21"/>
                      <w:szCs w:val="21"/>
                      <w:lang w:val="en-US" w:eastAsia="zh-CN"/>
                    </w:rPr>
                    <w:t>除尘器</w:t>
                  </w:r>
                </w:p>
              </w:tc>
              <w:tc>
                <w:tcPr>
                  <w:tcW w:w="1012" w:type="pct"/>
                  <w:noWrap w:val="0"/>
                  <w:vAlign w:val="center"/>
                </w:tcPr>
                <w:p>
                  <w:pPr>
                    <w:pStyle w:val="30"/>
                    <w:bidi w:val="0"/>
                    <w:rPr>
                      <w:rFonts w:hint="default" w:ascii="Times New Roman" w:hAnsi="Times New Roman" w:cs="Times New Roman"/>
                    </w:rPr>
                  </w:pPr>
                  <w:r>
                    <w:rPr>
                      <w:rFonts w:hint="default" w:ascii="Times New Roman" w:hAnsi="Times New Roman" w:cs="Times New Roman"/>
                    </w:rPr>
                    <w:t>75 dB（A）</w:t>
                  </w:r>
                </w:p>
              </w:tc>
              <w:tc>
                <w:tcPr>
                  <w:tcW w:w="1843" w:type="pct"/>
                  <w:vMerge w:val="continue"/>
                  <w:noWrap w:val="0"/>
                  <w:vAlign w:val="center"/>
                </w:tcPr>
                <w:p>
                  <w:pPr>
                    <w:pStyle w:val="30"/>
                    <w:bidi w:val="0"/>
                    <w:rPr>
                      <w:rFonts w:hint="default" w:ascii="Times New Roman" w:hAnsi="Times New Roman" w:cs="Times New Roman"/>
                      <w:lang w:val="en-US" w:eastAsia="zh-CN"/>
                    </w:rPr>
                  </w:pPr>
                </w:p>
              </w:tc>
              <w:tc>
                <w:tcPr>
                  <w:tcW w:w="1243" w:type="pct"/>
                  <w:noWrap w:val="0"/>
                  <w:vAlign w:val="center"/>
                </w:tcPr>
                <w:p>
                  <w:pPr>
                    <w:pStyle w:val="30"/>
                    <w:bidi w:val="0"/>
                    <w:rPr>
                      <w:rFonts w:hint="default" w:ascii="Times New Roman" w:hAnsi="Times New Roman" w:eastAsia="宋体" w:cs="Times New Roman"/>
                      <w:lang w:val="en-US" w:eastAsia="zh-CN"/>
                    </w:rPr>
                  </w:pPr>
                  <w:r>
                    <w:rPr>
                      <w:rFonts w:hint="eastAsia" w:cs="Times New Roman"/>
                      <w:lang w:val="en-US" w:eastAsia="zh-CN"/>
                    </w:rPr>
                    <w:t>55</w:t>
                  </w:r>
                  <w:r>
                    <w:rPr>
                      <w:rFonts w:hint="default" w:ascii="Times New Roman" w:hAnsi="Times New Roman" w:cs="Times New Roman"/>
                    </w:rPr>
                    <w:t>dB（A）</w:t>
                  </w:r>
                </w:p>
              </w:tc>
            </w:tr>
            <w:bookmarkEnd w:id="10"/>
          </w:tbl>
          <w:p>
            <w:pPr>
              <w:ind w:left="0" w:leftChars="0" w:firstLine="0" w:firstLineChars="0"/>
              <w:rPr>
                <w:rFonts w:hint="default" w:ascii="Times New Roman" w:hAnsi="Times New Roman" w:cs="Times New Roman"/>
                <w:b/>
                <w:bCs/>
                <w:lang w:val="en-US" w:eastAsia="zh-CN"/>
              </w:rPr>
            </w:pPr>
            <w:r>
              <w:rPr>
                <w:rFonts w:hint="default" w:ascii="Times New Roman" w:hAnsi="Times New Roman" w:cs="Times New Roman"/>
                <w:b/>
                <w:bCs/>
                <w:lang w:val="en-US" w:eastAsia="zh-CN"/>
              </w:rPr>
              <w:t>3.2 防治措施</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根据现场调查，项目区周边50m范围内无声环境敏感目标，环评建议要求采取以下措施对运营期噪声进行防治：</w:t>
            </w:r>
          </w:p>
          <w:p>
            <w:pPr>
              <w:keepNext w:val="0"/>
              <w:keepLines w:val="0"/>
              <w:suppressLineNumbers w:val="0"/>
              <w:topLinePunct/>
              <w:spacing w:before="0" w:beforeAutospacing="0" w:after="0" w:afterAutospacing="0" w:line="360" w:lineRule="auto"/>
              <w:ind w:left="0" w:right="0" w:firstLine="480"/>
              <w:rPr>
                <w:rFonts w:hint="default" w:ascii="Times New Roman" w:hAnsi="Times New Roman" w:eastAsia="宋体" w:cs="Times New Roman"/>
                <w:bCs/>
                <w:kern w:val="0"/>
                <w:sz w:val="24"/>
                <w:szCs w:val="20"/>
              </w:rPr>
            </w:pPr>
            <w:r>
              <w:rPr>
                <w:rFonts w:hint="default" w:ascii="Times New Roman" w:hAnsi="Times New Roman" w:eastAsia="宋体" w:cs="Times New Roman"/>
                <w:bCs/>
                <w:kern w:val="0"/>
                <w:sz w:val="24"/>
                <w:szCs w:val="20"/>
              </w:rPr>
              <w:t>（1）加强车辆管理，避免车辆不必要的怠速、制动、</w:t>
            </w:r>
            <w:r>
              <w:rPr>
                <w:rFonts w:hint="eastAsia" w:cs="Times New Roman"/>
                <w:bCs/>
                <w:kern w:val="0"/>
                <w:sz w:val="24"/>
                <w:szCs w:val="20"/>
                <w:lang w:eastAsia="zh-CN"/>
              </w:rPr>
              <w:t>启动</w:t>
            </w:r>
            <w:r>
              <w:rPr>
                <w:rFonts w:hint="default" w:ascii="Times New Roman" w:hAnsi="Times New Roman" w:eastAsia="宋体" w:cs="Times New Roman"/>
                <w:bCs/>
                <w:kern w:val="0"/>
                <w:sz w:val="24"/>
                <w:szCs w:val="20"/>
              </w:rPr>
              <w:t>以及鸣号；</w:t>
            </w:r>
          </w:p>
          <w:p>
            <w:pPr>
              <w:keepNext w:val="0"/>
              <w:keepLines w:val="0"/>
              <w:suppressLineNumbers w:val="0"/>
              <w:topLinePunct/>
              <w:spacing w:before="0" w:beforeAutospacing="0" w:after="0" w:afterAutospacing="0" w:line="360" w:lineRule="auto"/>
              <w:ind w:left="0" w:right="0" w:firstLine="480" w:firstLineChars="200"/>
              <w:rPr>
                <w:rFonts w:hint="default" w:ascii="Times New Roman" w:hAnsi="Times New Roman" w:eastAsia="宋体" w:cs="Times New Roman"/>
                <w:bCs/>
                <w:kern w:val="0"/>
                <w:sz w:val="24"/>
                <w:szCs w:val="20"/>
              </w:rPr>
            </w:pPr>
            <w:r>
              <w:rPr>
                <w:rFonts w:hint="default" w:ascii="Times New Roman" w:hAnsi="Times New Roman" w:eastAsia="宋体" w:cs="Times New Roman"/>
                <w:bCs/>
                <w:kern w:val="0"/>
                <w:sz w:val="24"/>
                <w:szCs w:val="20"/>
              </w:rPr>
              <w:t>（2）加强设备维护，对各机械设备及运输车辆进行定期检查、维护以及维修，及时更换一些破损零部件，确保机械设备正常运转，减少非正常生产噪声；</w:t>
            </w:r>
          </w:p>
          <w:p>
            <w:pPr>
              <w:keepNext w:val="0"/>
              <w:keepLines w:val="0"/>
              <w:suppressLineNumbers w:val="0"/>
              <w:topLinePunct/>
              <w:spacing w:before="0" w:beforeAutospacing="0" w:after="0" w:afterAutospacing="0" w:line="360" w:lineRule="auto"/>
              <w:ind w:left="0" w:right="0" w:firstLine="480" w:firstLineChars="200"/>
              <w:rPr>
                <w:rFonts w:hint="default" w:ascii="Times New Roman" w:hAnsi="Times New Roman" w:eastAsia="宋体" w:cs="Times New Roman"/>
                <w:bCs/>
                <w:kern w:val="0"/>
                <w:sz w:val="24"/>
                <w:szCs w:val="20"/>
              </w:rPr>
            </w:pPr>
            <w:r>
              <w:rPr>
                <w:rFonts w:hint="default" w:ascii="Times New Roman" w:hAnsi="Times New Roman" w:eastAsia="宋体" w:cs="Times New Roman"/>
                <w:bCs/>
                <w:kern w:val="0"/>
                <w:sz w:val="24"/>
                <w:szCs w:val="20"/>
              </w:rPr>
              <w:t>（3）加强职工劳动保护，高噪声接触岗位要求职工佩戴耳罩，采用轮岗制度减少职工对高噪声接触时间。</w:t>
            </w:r>
          </w:p>
          <w:p>
            <w:pPr>
              <w:keepNext w:val="0"/>
              <w:keepLines w:val="0"/>
              <w:suppressLineNumbers w:val="0"/>
              <w:topLinePunct/>
              <w:spacing w:before="0" w:beforeAutospacing="0" w:after="0" w:afterAutospacing="0" w:line="360" w:lineRule="auto"/>
              <w:ind w:left="0" w:right="0" w:firstLine="480" w:firstLineChars="200"/>
              <w:rPr>
                <w:rFonts w:hint="default" w:ascii="Times New Roman" w:hAnsi="Times New Roman" w:cs="Times New Roman"/>
                <w:color w:val="auto"/>
                <w:lang w:val="en-US" w:eastAsia="zh-CN"/>
              </w:rPr>
            </w:pPr>
            <w:r>
              <w:rPr>
                <w:rFonts w:hint="default" w:ascii="Times New Roman" w:hAnsi="Times New Roman" w:eastAsia="宋体" w:cs="Times New Roman"/>
                <w:bCs/>
                <w:color w:val="auto"/>
                <w:kern w:val="0"/>
                <w:sz w:val="24"/>
                <w:szCs w:val="20"/>
              </w:rPr>
              <w:t>（4）</w:t>
            </w:r>
            <w:r>
              <w:rPr>
                <w:rFonts w:hint="default" w:ascii="Times New Roman" w:hAnsi="Times New Roman" w:eastAsia="宋体" w:cs="Times New Roman"/>
                <w:color w:val="auto"/>
                <w:sz w:val="24"/>
                <w:szCs w:val="20"/>
              </w:rPr>
              <w:t>高噪声设备采取集中控制，远离</w:t>
            </w:r>
            <w:r>
              <w:rPr>
                <w:rFonts w:hint="default" w:ascii="Times New Roman" w:hAnsi="Times New Roman" w:eastAsia="宋体" w:cs="Times New Roman"/>
                <w:color w:val="auto"/>
                <w:sz w:val="24"/>
                <w:szCs w:val="20"/>
                <w:lang w:val="en-US" w:eastAsia="zh-CN"/>
              </w:rPr>
              <w:t>南侧居民区</w:t>
            </w:r>
            <w:r>
              <w:rPr>
                <w:rFonts w:hint="default" w:ascii="Times New Roman" w:hAnsi="Times New Roman" w:eastAsia="宋体" w:cs="Times New Roman"/>
                <w:color w:val="auto"/>
                <w:sz w:val="24"/>
                <w:szCs w:val="20"/>
              </w:rPr>
              <w:t>布置，采取密闭隔离、减振等措施。</w:t>
            </w:r>
          </w:p>
          <w:p>
            <w:pPr>
              <w:bidi w:val="0"/>
              <w:ind w:left="0" w:leftChars="0" w:firstLine="0" w:firstLineChars="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3.3 监测计划</w:t>
            </w:r>
          </w:p>
          <w:p>
            <w:pPr>
              <w:bidi w:val="0"/>
              <w:rPr>
                <w:rFonts w:hint="default" w:ascii="Times New Roman" w:hAnsi="Times New Roman" w:cs="Times New Roman"/>
                <w:color w:val="auto"/>
              </w:rPr>
            </w:pPr>
            <w:r>
              <w:rPr>
                <w:rFonts w:ascii="Times New Roman" w:hAnsi="Times New Roman" w:eastAsia="宋体" w:cs="Times New Roman"/>
                <w:color w:val="auto"/>
                <w:kern w:val="2"/>
                <w:sz w:val="24"/>
                <w:szCs w:val="24"/>
                <w:lang w:val="en-US" w:eastAsia="zh-CN" w:bidi="zh-CN"/>
              </w:rPr>
              <w:t>根据《</w:t>
            </w:r>
            <w:r>
              <w:rPr>
                <w:rFonts w:hint="eastAsia" w:ascii="Times New Roman" w:hAnsi="Times New Roman" w:eastAsia="宋体" w:cs="Times New Roman"/>
                <w:color w:val="auto"/>
                <w:kern w:val="2"/>
                <w:sz w:val="24"/>
                <w:szCs w:val="24"/>
                <w:lang w:val="en-US" w:eastAsia="zh-CN" w:bidi="zh-CN"/>
              </w:rPr>
              <w:t>排污单位自行监测技术指南  总则</w:t>
            </w:r>
            <w:r>
              <w:rPr>
                <w:rFonts w:ascii="Times New Roman" w:hAnsi="Times New Roman" w:eastAsia="宋体" w:cs="Times New Roman"/>
                <w:color w:val="auto"/>
                <w:kern w:val="2"/>
                <w:sz w:val="24"/>
                <w:szCs w:val="24"/>
                <w:lang w:val="en-US" w:eastAsia="zh-CN" w:bidi="zh-CN"/>
              </w:rPr>
              <w:t>》（HJ</w:t>
            </w:r>
            <w:r>
              <w:rPr>
                <w:rFonts w:hint="eastAsia" w:ascii="Times New Roman" w:hAnsi="Times New Roman" w:eastAsia="宋体" w:cs="Times New Roman"/>
                <w:color w:val="auto"/>
                <w:kern w:val="2"/>
                <w:sz w:val="24"/>
                <w:szCs w:val="24"/>
                <w:lang w:val="en-US" w:eastAsia="zh-CN" w:bidi="zh-CN"/>
              </w:rPr>
              <w:t>819-2017</w:t>
            </w:r>
            <w:r>
              <w:rPr>
                <w:rFonts w:ascii="Times New Roman" w:hAnsi="Times New Roman" w:eastAsia="宋体" w:cs="Times New Roman"/>
                <w:color w:val="auto"/>
                <w:kern w:val="2"/>
                <w:sz w:val="24"/>
                <w:szCs w:val="24"/>
                <w:lang w:val="en-US" w:eastAsia="zh-CN" w:bidi="zh-CN"/>
              </w:rPr>
              <w:t>），项目应制定</w:t>
            </w:r>
            <w:r>
              <w:rPr>
                <w:rFonts w:hint="eastAsia" w:eastAsia="宋体" w:cs="Times New Roman"/>
                <w:color w:val="auto"/>
                <w:kern w:val="2"/>
                <w:sz w:val="24"/>
                <w:szCs w:val="24"/>
                <w:lang w:val="en-US" w:eastAsia="zh-CN" w:bidi="zh-CN"/>
              </w:rPr>
              <w:t>噪声</w:t>
            </w:r>
            <w:r>
              <w:rPr>
                <w:rFonts w:ascii="Times New Roman" w:hAnsi="Times New Roman" w:eastAsia="宋体" w:cs="Times New Roman"/>
                <w:color w:val="auto"/>
                <w:kern w:val="2"/>
                <w:sz w:val="24"/>
                <w:szCs w:val="24"/>
                <w:lang w:val="en-US" w:eastAsia="zh-CN" w:bidi="zh-CN"/>
              </w:rPr>
              <w:t>污染源监测计划</w:t>
            </w:r>
            <w:r>
              <w:rPr>
                <w:rFonts w:hint="eastAsia" w:eastAsia="宋体" w:cs="Times New Roman"/>
                <w:color w:val="auto"/>
                <w:lang w:eastAsia="zh-CN"/>
              </w:rPr>
              <w:t>，</w:t>
            </w:r>
            <w:r>
              <w:rPr>
                <w:rFonts w:hint="default" w:ascii="Times New Roman" w:hAnsi="Times New Roman" w:cs="Times New Roman"/>
                <w:color w:val="auto"/>
              </w:rPr>
              <w:t>监测方案计划见表</w:t>
            </w:r>
            <w:r>
              <w:rPr>
                <w:rFonts w:hint="default" w:ascii="Times New Roman" w:hAnsi="Times New Roman" w:cs="Times New Roman"/>
                <w:color w:val="auto"/>
                <w:lang w:val="en-US" w:eastAsia="zh-CN"/>
              </w:rPr>
              <w:t>4-1</w:t>
            </w:r>
            <w:r>
              <w:rPr>
                <w:rFonts w:hint="eastAsia" w:cs="Times New Roman"/>
                <w:color w:val="auto"/>
                <w:lang w:val="en-US" w:eastAsia="zh-CN"/>
              </w:rPr>
              <w:t>3</w:t>
            </w:r>
            <w:r>
              <w:rPr>
                <w:rFonts w:hint="default" w:ascii="Times New Roman" w:hAnsi="Times New Roman" w:cs="Times New Roman"/>
                <w:color w:val="auto"/>
              </w:rPr>
              <w:t>。</w:t>
            </w:r>
          </w:p>
          <w:p>
            <w:pPr>
              <w:pStyle w:val="30"/>
              <w:bidi w:val="0"/>
              <w:rPr>
                <w:rFonts w:hint="default" w:ascii="Times New Roman" w:hAnsi="Times New Roman" w:cs="Times New Roman"/>
                <w:b/>
                <w:bCs/>
              </w:rPr>
            </w:pPr>
            <w:r>
              <w:rPr>
                <w:rFonts w:hint="default" w:ascii="Times New Roman" w:hAnsi="Times New Roman" w:cs="Times New Roman"/>
                <w:b/>
                <w:bCs/>
              </w:rPr>
              <w:t>表</w:t>
            </w:r>
            <w:r>
              <w:rPr>
                <w:rFonts w:hint="default" w:ascii="Times New Roman" w:hAnsi="Times New Roman" w:cs="Times New Roman"/>
                <w:b/>
                <w:bCs/>
                <w:lang w:val="en-US" w:eastAsia="zh-CN"/>
              </w:rPr>
              <w:t>4-</w:t>
            </w:r>
            <w:r>
              <w:rPr>
                <w:rFonts w:hint="eastAsia" w:cs="Times New Roman"/>
                <w:b/>
                <w:bCs/>
                <w:lang w:val="en-US" w:eastAsia="zh-CN"/>
              </w:rPr>
              <w:t>13</w:t>
            </w:r>
            <w:r>
              <w:rPr>
                <w:rFonts w:hint="default" w:ascii="Times New Roman" w:hAnsi="Times New Roman" w:cs="Times New Roman"/>
                <w:b/>
                <w:bCs/>
                <w:lang w:val="en-US" w:eastAsia="zh-CN"/>
              </w:rPr>
              <w:t xml:space="preserve">  </w:t>
            </w:r>
            <w:r>
              <w:rPr>
                <w:rFonts w:hint="default" w:ascii="Times New Roman" w:hAnsi="Times New Roman" w:cs="Times New Roman"/>
                <w:b/>
                <w:bCs/>
              </w:rPr>
              <w:t xml:space="preserve"> 运营期</w:t>
            </w:r>
            <w:r>
              <w:rPr>
                <w:rFonts w:hint="default" w:ascii="Times New Roman" w:hAnsi="Times New Roman" w:cs="Times New Roman"/>
                <w:b/>
                <w:bCs/>
                <w:lang w:val="en-US" w:eastAsia="zh-CN"/>
              </w:rPr>
              <w:t>噪声</w:t>
            </w:r>
            <w:r>
              <w:rPr>
                <w:rFonts w:hint="default" w:ascii="Times New Roman" w:hAnsi="Times New Roman" w:cs="Times New Roman"/>
                <w:b/>
                <w:bCs/>
              </w:rPr>
              <w:t>监测</w:t>
            </w:r>
            <w:r>
              <w:rPr>
                <w:rFonts w:hint="default" w:ascii="Times New Roman" w:hAnsi="Times New Roman" w:cs="Times New Roman"/>
                <w:b/>
                <w:bCs/>
                <w:lang w:val="en-US" w:eastAsia="zh-CN"/>
              </w:rPr>
              <w:t>计划表</w:t>
            </w:r>
          </w:p>
          <w:tbl>
            <w:tblPr>
              <w:tblStyle w:val="2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2082"/>
              <w:gridCol w:w="1799"/>
              <w:gridCol w:w="3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59" w:type="pct"/>
                  <w:vAlign w:val="center"/>
                </w:tcPr>
                <w:p>
                  <w:pPr>
                    <w:pStyle w:val="30"/>
                    <w:bidi w:val="0"/>
                    <w:rPr>
                      <w:rFonts w:hint="default" w:ascii="Times New Roman" w:hAnsi="Times New Roman" w:cs="Times New Roman"/>
                      <w:b/>
                      <w:bCs/>
                    </w:rPr>
                  </w:pPr>
                  <w:r>
                    <w:rPr>
                      <w:rFonts w:hint="default" w:ascii="Times New Roman" w:hAnsi="Times New Roman" w:cs="Times New Roman"/>
                      <w:b/>
                      <w:bCs/>
                    </w:rPr>
                    <w:t>监测点位</w:t>
                  </w:r>
                </w:p>
              </w:tc>
              <w:tc>
                <w:tcPr>
                  <w:tcW w:w="1139" w:type="pct"/>
                  <w:vAlign w:val="center"/>
                </w:tcPr>
                <w:p>
                  <w:pPr>
                    <w:pStyle w:val="30"/>
                    <w:bidi w:val="0"/>
                    <w:rPr>
                      <w:rFonts w:hint="default" w:ascii="Times New Roman" w:hAnsi="Times New Roman" w:cs="Times New Roman"/>
                      <w:b/>
                      <w:bCs/>
                    </w:rPr>
                  </w:pPr>
                  <w:r>
                    <w:rPr>
                      <w:rFonts w:hint="default" w:ascii="Times New Roman" w:hAnsi="Times New Roman" w:cs="Times New Roman"/>
                      <w:b/>
                      <w:bCs/>
                    </w:rPr>
                    <w:t>监测</w:t>
                  </w:r>
                  <w:r>
                    <w:rPr>
                      <w:rFonts w:hint="default" w:ascii="Times New Roman" w:hAnsi="Times New Roman" w:cs="Times New Roman"/>
                      <w:b/>
                      <w:bCs/>
                      <w:lang w:val="en-US" w:eastAsia="zh-CN"/>
                    </w:rPr>
                    <w:t>指标</w:t>
                  </w:r>
                </w:p>
              </w:tc>
              <w:tc>
                <w:tcPr>
                  <w:tcW w:w="984" w:type="pct"/>
                  <w:vAlign w:val="center"/>
                </w:tcPr>
                <w:p>
                  <w:pPr>
                    <w:pStyle w:val="30"/>
                    <w:bidi w:val="0"/>
                    <w:rPr>
                      <w:rFonts w:hint="default" w:ascii="Times New Roman" w:hAnsi="Times New Roman" w:cs="Times New Roman"/>
                      <w:b/>
                      <w:bCs/>
                    </w:rPr>
                  </w:pPr>
                  <w:r>
                    <w:rPr>
                      <w:rFonts w:hint="default" w:ascii="Times New Roman" w:hAnsi="Times New Roman" w:cs="Times New Roman"/>
                      <w:b/>
                      <w:bCs/>
                    </w:rPr>
                    <w:t>监测频次</w:t>
                  </w:r>
                </w:p>
              </w:tc>
              <w:tc>
                <w:tcPr>
                  <w:tcW w:w="2116" w:type="pct"/>
                  <w:vAlign w:val="center"/>
                </w:tcPr>
                <w:p>
                  <w:pPr>
                    <w:pStyle w:val="30"/>
                    <w:bidi w:val="0"/>
                    <w:rPr>
                      <w:rFonts w:hint="default" w:ascii="Times New Roman" w:hAnsi="Times New Roman" w:cs="Times New Roman"/>
                      <w:b/>
                      <w:bCs/>
                    </w:rPr>
                  </w:pPr>
                  <w:r>
                    <w:rPr>
                      <w:rFonts w:hint="default" w:ascii="Times New Roman" w:hAnsi="Times New Roman" w:cs="Times New Roman"/>
                      <w:b/>
                      <w:bCs/>
                    </w:rPr>
                    <w:t>执行排放标准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9" w:type="pct"/>
                  <w:vAlign w:val="center"/>
                </w:tcPr>
                <w:p>
                  <w:pPr>
                    <w:pStyle w:val="30"/>
                    <w:bidi w:val="0"/>
                    <w:rPr>
                      <w:rFonts w:hint="default" w:ascii="Times New Roman" w:hAnsi="Times New Roman" w:cs="Times New Roman"/>
                    </w:rPr>
                  </w:pPr>
                  <w:r>
                    <w:rPr>
                      <w:rFonts w:hint="default" w:ascii="Times New Roman" w:hAnsi="Times New Roman" w:cs="Times New Roman"/>
                    </w:rPr>
                    <w:t>厂界</w:t>
                  </w:r>
                  <w:r>
                    <w:rPr>
                      <w:rFonts w:hint="default" w:ascii="Times New Roman" w:hAnsi="Times New Roman" w:cs="Times New Roman"/>
                      <w:lang w:val="en-US" w:eastAsia="zh-CN"/>
                    </w:rPr>
                    <w:t>外</w:t>
                  </w:r>
                  <w:r>
                    <w:rPr>
                      <w:rFonts w:hint="default" w:ascii="Times New Roman" w:hAnsi="Times New Roman" w:cs="Times New Roman"/>
                    </w:rPr>
                    <w:t>1m</w:t>
                  </w:r>
                </w:p>
              </w:tc>
              <w:tc>
                <w:tcPr>
                  <w:tcW w:w="1139" w:type="pct"/>
                  <w:vAlign w:val="center"/>
                </w:tcPr>
                <w:p>
                  <w:pPr>
                    <w:pStyle w:val="30"/>
                    <w:bidi w:val="0"/>
                    <w:rPr>
                      <w:rFonts w:hint="default" w:ascii="Times New Roman" w:hAnsi="Times New Roman" w:cs="Times New Roman"/>
                    </w:rPr>
                  </w:pPr>
                  <w:r>
                    <w:rPr>
                      <w:rFonts w:hint="default" w:ascii="Times New Roman" w:hAnsi="Times New Roman" w:cs="Times New Roman"/>
                    </w:rPr>
                    <w:t>等效</w:t>
                  </w:r>
                  <w:r>
                    <w:rPr>
                      <w:rFonts w:hint="default" w:ascii="Times New Roman" w:hAnsi="Times New Roman" w:cs="Times New Roman"/>
                      <w:lang w:val="en-US" w:eastAsia="zh-CN"/>
                    </w:rPr>
                    <w:t>A</w:t>
                  </w:r>
                  <w:r>
                    <w:rPr>
                      <w:rFonts w:hint="default" w:ascii="Times New Roman" w:hAnsi="Times New Roman" w:cs="Times New Roman"/>
                    </w:rPr>
                    <w:t>声级</w:t>
                  </w:r>
                </w:p>
              </w:tc>
              <w:tc>
                <w:tcPr>
                  <w:tcW w:w="984" w:type="pct"/>
                  <w:vAlign w:val="center"/>
                </w:tcPr>
                <w:p>
                  <w:pPr>
                    <w:pStyle w:val="30"/>
                    <w:bidi w:val="0"/>
                    <w:rPr>
                      <w:rFonts w:hint="default" w:ascii="Times New Roman" w:hAnsi="Times New Roman" w:cs="Times New Roman"/>
                    </w:rPr>
                  </w:pPr>
                  <w:r>
                    <w:rPr>
                      <w:rFonts w:hint="default" w:ascii="Times New Roman" w:hAnsi="Times New Roman" w:cs="Times New Roman"/>
                    </w:rPr>
                    <w:t>每季度一次</w:t>
                  </w:r>
                </w:p>
              </w:tc>
              <w:tc>
                <w:tcPr>
                  <w:tcW w:w="2116" w:type="pct"/>
                  <w:vAlign w:val="center"/>
                </w:tcPr>
                <w:p>
                  <w:pPr>
                    <w:pStyle w:val="30"/>
                    <w:bidi w:val="0"/>
                    <w:rPr>
                      <w:rFonts w:hint="default" w:ascii="Times New Roman" w:hAnsi="Times New Roman" w:cs="Times New Roman"/>
                    </w:rPr>
                  </w:pPr>
                  <w:r>
                    <w:rPr>
                      <w:rFonts w:hint="default" w:ascii="Times New Roman" w:hAnsi="Times New Roman" w:cs="Times New Roman"/>
                    </w:rPr>
                    <w:t>《工业企业厂界环境噪声排放标准》（GB12348-2008）</w:t>
                  </w:r>
                  <w:r>
                    <w:rPr>
                      <w:rFonts w:hint="eastAsia" w:cs="Times New Roman"/>
                      <w:lang w:val="en-US" w:eastAsia="zh-CN"/>
                    </w:rPr>
                    <w:t>3</w:t>
                  </w:r>
                  <w:r>
                    <w:rPr>
                      <w:rFonts w:hint="default" w:ascii="Times New Roman" w:hAnsi="Times New Roman" w:cs="Times New Roman"/>
                    </w:rPr>
                    <w:t>类标准限</w:t>
                  </w:r>
                </w:p>
              </w:tc>
            </w:tr>
          </w:tbl>
          <w:p>
            <w:pPr>
              <w:numPr>
                <w:ilvl w:val="0"/>
                <w:numId w:val="0"/>
              </w:numPr>
              <w:bidi w:val="0"/>
              <w:spacing w:line="360" w:lineRule="auto"/>
              <w:ind w:leftChars="0"/>
              <w:rPr>
                <w:rFonts w:hint="default" w:ascii="Times New Roman" w:hAnsi="Times New Roman" w:cs="Times New Roman"/>
                <w:lang w:val="en-US" w:eastAsia="zh-CN"/>
              </w:rPr>
            </w:pPr>
            <w:r>
              <w:rPr>
                <w:rFonts w:hint="default" w:ascii="Times New Roman" w:hAnsi="Times New Roman" w:cs="Times New Roman"/>
                <w:b/>
                <w:bCs/>
                <w:lang w:val="en-US" w:eastAsia="zh-CN"/>
              </w:rPr>
              <w:t>4.运营期固体废物环境影响及保护措施</w:t>
            </w:r>
          </w:p>
          <w:p>
            <w:pPr>
              <w:keepNext w:val="0"/>
              <w:keepLines w:val="0"/>
              <w:suppressLineNumbers w:val="0"/>
              <w:adjustRightInd w:val="0"/>
              <w:spacing w:before="0" w:beforeAutospacing="0" w:after="0" w:afterAutospacing="0" w:line="360" w:lineRule="auto"/>
              <w:ind w:left="0" w:leftChars="0" w:right="0" w:firstLine="482" w:firstLineChars="200"/>
              <w:rPr>
                <w:rFonts w:hint="default" w:ascii="Times New Roman" w:hAnsi="Times New Roman" w:eastAsia="宋体" w:cs="Times New Roman"/>
                <w:b/>
                <w:bCs/>
                <w:color w:val="000000"/>
                <w:sz w:val="24"/>
                <w:szCs w:val="20"/>
                <w:lang w:val="en-US" w:eastAsia="zh-CN"/>
              </w:rPr>
            </w:pPr>
            <w:r>
              <w:rPr>
                <w:rFonts w:hint="default" w:ascii="Times New Roman" w:hAnsi="Times New Roman" w:eastAsia="宋体" w:cs="Times New Roman"/>
                <w:b/>
                <w:bCs/>
                <w:color w:val="000000"/>
                <w:sz w:val="24"/>
                <w:szCs w:val="20"/>
                <w:lang w:val="en-US" w:eastAsia="zh-CN"/>
              </w:rPr>
              <w:t>4.1固体废物产生情况</w:t>
            </w:r>
          </w:p>
          <w:p>
            <w:pPr>
              <w:keepNext w:val="0"/>
              <w:keepLines w:val="0"/>
              <w:widowControl/>
              <w:suppressLineNumbers w:val="0"/>
              <w:spacing w:line="360" w:lineRule="auto"/>
              <w:ind w:left="0" w:leftChars="0" w:firstLine="480" w:firstLineChars="200"/>
              <w:jc w:val="left"/>
              <w:rPr>
                <w:rFonts w:hint="default" w:ascii="Times New Roman" w:hAnsi="Times New Roman" w:cs="Times New Roman"/>
                <w:color w:val="auto"/>
              </w:rPr>
            </w:pPr>
            <w:r>
              <w:rPr>
                <w:rFonts w:hint="default" w:ascii="Times New Roman" w:hAnsi="Times New Roman" w:eastAsia="宋体" w:cs="Times New Roman"/>
                <w:color w:val="000000"/>
                <w:kern w:val="0"/>
                <w:sz w:val="24"/>
                <w:szCs w:val="24"/>
                <w:lang w:val="en-US" w:eastAsia="zh-CN" w:bidi="ar"/>
              </w:rPr>
              <w:t>本项目固体废物主要是</w:t>
            </w:r>
            <w:r>
              <w:rPr>
                <w:rFonts w:hint="default" w:ascii="Times New Roman" w:hAnsi="Times New Roman" w:eastAsia="宋体" w:cs="Times New Roman"/>
                <w:color w:val="auto"/>
                <w:kern w:val="0"/>
                <w:sz w:val="24"/>
                <w:szCs w:val="24"/>
                <w:lang w:val="en-US" w:eastAsia="zh-CN" w:bidi="ar"/>
              </w:rPr>
              <w:t>除尘系统产生的粉尘、沉淀池冲洗车辆及设备产生的沉淀池沉渣、</w:t>
            </w:r>
            <w:r>
              <w:rPr>
                <w:rFonts w:hint="eastAsia" w:cs="Times New Roman"/>
                <w:color w:val="auto"/>
                <w:kern w:val="0"/>
                <w:sz w:val="24"/>
                <w:szCs w:val="24"/>
                <w:lang w:val="en-US" w:eastAsia="zh-CN" w:bidi="ar"/>
              </w:rPr>
              <w:t>维修产生的废矿物油、</w:t>
            </w:r>
            <w:r>
              <w:rPr>
                <w:rFonts w:hint="default" w:ascii="Times New Roman" w:hAnsi="Times New Roman" w:eastAsia="宋体" w:cs="Times New Roman"/>
                <w:color w:val="auto"/>
                <w:kern w:val="0"/>
                <w:sz w:val="24"/>
                <w:szCs w:val="24"/>
                <w:lang w:val="en-US" w:eastAsia="zh-CN" w:bidi="ar"/>
              </w:rPr>
              <w:t>生活办公产生的生活垃圾。环评要求固废实施分类管</w:t>
            </w:r>
            <w:r>
              <w:rPr>
                <w:rFonts w:hint="default" w:ascii="Times New Roman" w:hAnsi="Times New Roman" w:eastAsia="宋体" w:cs="Times New Roman"/>
                <w:color w:val="000000"/>
                <w:kern w:val="0"/>
                <w:sz w:val="24"/>
                <w:szCs w:val="24"/>
                <w:lang w:val="en-US" w:eastAsia="zh-CN" w:bidi="ar"/>
              </w:rPr>
              <w:t>理，及时</w:t>
            </w:r>
            <w:r>
              <w:rPr>
                <w:rFonts w:hint="default" w:ascii="Times New Roman" w:hAnsi="Times New Roman" w:eastAsia="宋体" w:cs="Times New Roman"/>
                <w:color w:val="auto"/>
                <w:kern w:val="0"/>
                <w:sz w:val="24"/>
                <w:szCs w:val="24"/>
                <w:lang w:val="en-US" w:eastAsia="zh-CN" w:bidi="ar"/>
              </w:rPr>
              <w:t>清运，避免长期堆放。</w:t>
            </w:r>
          </w:p>
          <w:p>
            <w:pPr>
              <w:keepNext w:val="0"/>
              <w:keepLines w:val="0"/>
              <w:widowControl/>
              <w:suppressLineNumbers w:val="0"/>
              <w:jc w:val="left"/>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eastAsia="宋体" w:cs="Times New Roman"/>
                <w:color w:val="auto"/>
                <w:kern w:val="0"/>
                <w:sz w:val="24"/>
                <w:szCs w:val="24"/>
                <w:lang w:val="en-US" w:eastAsia="zh-CN" w:bidi="ar"/>
              </w:rPr>
              <w:t>1</w:t>
            </w:r>
            <w:r>
              <w:rPr>
                <w:rFonts w:hint="default" w:ascii="Times New Roman" w:hAnsi="Times New Roman" w:eastAsia="宋体" w:cs="Times New Roman"/>
                <w:color w:val="auto"/>
                <w:kern w:val="0"/>
                <w:sz w:val="24"/>
                <w:szCs w:val="24"/>
                <w:lang w:val="en-US" w:eastAsia="zh-CN" w:bidi="ar"/>
              </w:rPr>
              <w:t>）生活垃圾</w:t>
            </w:r>
          </w:p>
          <w:p>
            <w:pPr>
              <w:keepNext w:val="0"/>
              <w:keepLines w:val="0"/>
              <w:widowControl/>
              <w:suppressLineNumbers w:val="0"/>
              <w:jc w:val="left"/>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本项目定员</w:t>
            </w:r>
            <w:r>
              <w:rPr>
                <w:rFonts w:hint="eastAsia" w:cs="Times New Roman"/>
                <w:color w:val="auto"/>
                <w:kern w:val="0"/>
                <w:sz w:val="24"/>
                <w:szCs w:val="24"/>
                <w:lang w:val="en-US" w:eastAsia="zh-CN" w:bidi="ar"/>
              </w:rPr>
              <w:t>30</w:t>
            </w:r>
            <w:r>
              <w:rPr>
                <w:rFonts w:hint="default" w:ascii="Times New Roman" w:hAnsi="Times New Roman" w:eastAsia="宋体" w:cs="Times New Roman"/>
                <w:color w:val="auto"/>
                <w:kern w:val="0"/>
                <w:sz w:val="24"/>
                <w:szCs w:val="24"/>
                <w:lang w:val="en-US" w:eastAsia="zh-CN" w:bidi="ar"/>
              </w:rPr>
              <w:t>人，生活垃圾按0.5kg/人.d计，年工作</w:t>
            </w:r>
            <w:r>
              <w:rPr>
                <w:rFonts w:hint="eastAsia" w:cs="Times New Roman"/>
                <w:color w:val="auto"/>
                <w:kern w:val="0"/>
                <w:sz w:val="24"/>
                <w:szCs w:val="24"/>
                <w:lang w:val="en-US" w:eastAsia="zh-CN" w:bidi="ar"/>
              </w:rPr>
              <w:t>275</w:t>
            </w:r>
            <w:r>
              <w:rPr>
                <w:rFonts w:hint="default" w:ascii="Times New Roman" w:hAnsi="Times New Roman" w:eastAsia="宋体" w:cs="Times New Roman"/>
                <w:color w:val="auto"/>
                <w:kern w:val="0"/>
                <w:sz w:val="24"/>
                <w:szCs w:val="24"/>
                <w:lang w:val="en-US" w:eastAsia="zh-CN" w:bidi="ar"/>
              </w:rPr>
              <w:t>天，则生活垃圾产生量</w:t>
            </w:r>
            <w:r>
              <w:rPr>
                <w:rFonts w:hint="eastAsia" w:cs="Times New Roman"/>
                <w:color w:val="auto"/>
                <w:kern w:val="0"/>
                <w:sz w:val="24"/>
                <w:szCs w:val="24"/>
                <w:lang w:val="en-US" w:eastAsia="zh-CN" w:bidi="ar"/>
              </w:rPr>
              <w:t>4.1</w:t>
            </w:r>
            <w:r>
              <w:rPr>
                <w:rFonts w:hint="default" w:ascii="Times New Roman" w:hAnsi="Times New Roman" w:eastAsia="宋体" w:cs="Times New Roman"/>
                <w:color w:val="auto"/>
                <w:kern w:val="0"/>
                <w:sz w:val="24"/>
                <w:szCs w:val="24"/>
                <w:lang w:val="en-US" w:eastAsia="zh-CN" w:bidi="ar"/>
              </w:rPr>
              <w:t>t/a。厂区内垃圾桶集中收集后统一清运至城镇垃圾填埋场。</w:t>
            </w:r>
          </w:p>
          <w:p>
            <w:pPr>
              <w:keepNext w:val="0"/>
              <w:keepLines w:val="0"/>
              <w:widowControl/>
              <w:suppressLineNumbers w:val="0"/>
              <w:jc w:val="left"/>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2</w:t>
            </w:r>
            <w:r>
              <w:rPr>
                <w:rFonts w:hint="default" w:ascii="Times New Roman" w:hAnsi="Times New Roman" w:eastAsia="宋体" w:cs="Times New Roman"/>
                <w:color w:val="auto"/>
                <w:kern w:val="0"/>
                <w:sz w:val="24"/>
                <w:szCs w:val="24"/>
                <w:lang w:val="en-US" w:eastAsia="zh-CN" w:bidi="ar"/>
              </w:rPr>
              <w:t>）除尘灰</w:t>
            </w:r>
          </w:p>
          <w:p>
            <w:pPr>
              <w:keepNext w:val="0"/>
              <w:keepLines w:val="0"/>
              <w:widowControl/>
              <w:suppressLineNumbers w:val="0"/>
              <w:ind w:left="0" w:leftChars="0" w:firstLine="480" w:firstLineChars="200"/>
              <w:jc w:val="left"/>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本项目</w:t>
            </w:r>
            <w:r>
              <w:rPr>
                <w:rFonts w:hint="eastAsia" w:cs="Times New Roman"/>
                <w:color w:val="auto"/>
                <w:kern w:val="0"/>
                <w:sz w:val="24"/>
                <w:szCs w:val="24"/>
                <w:lang w:val="en-US" w:eastAsia="zh-CN" w:bidi="ar"/>
              </w:rPr>
              <w:t>袋式除尘器</w:t>
            </w:r>
            <w:r>
              <w:rPr>
                <w:rFonts w:hint="default" w:ascii="Times New Roman" w:hAnsi="Times New Roman" w:eastAsia="宋体" w:cs="Times New Roman"/>
                <w:color w:val="auto"/>
                <w:kern w:val="0"/>
                <w:sz w:val="24"/>
                <w:szCs w:val="24"/>
                <w:lang w:val="en-US" w:eastAsia="zh-CN" w:bidi="ar"/>
              </w:rPr>
              <w:t>工作时拦截的粉尘直接回落至筒仓内，</w:t>
            </w:r>
            <w:r>
              <w:rPr>
                <w:rFonts w:hint="eastAsia" w:cs="Times New Roman"/>
                <w:color w:val="auto"/>
                <w:kern w:val="0"/>
                <w:sz w:val="24"/>
                <w:szCs w:val="24"/>
                <w:lang w:val="en-US" w:eastAsia="zh-CN" w:bidi="ar"/>
              </w:rPr>
              <w:t>袋式除尘器</w:t>
            </w:r>
            <w:r>
              <w:rPr>
                <w:rFonts w:hint="default" w:ascii="Times New Roman" w:hAnsi="Times New Roman" w:eastAsia="宋体" w:cs="Times New Roman"/>
                <w:color w:val="auto"/>
                <w:kern w:val="0"/>
                <w:sz w:val="24"/>
                <w:szCs w:val="24"/>
                <w:lang w:val="en-US" w:eastAsia="zh-CN" w:bidi="ar"/>
              </w:rPr>
              <w:t>布袋内收集有除尘灰，收集到的除尘灰的量为</w:t>
            </w:r>
            <w:r>
              <w:rPr>
                <w:rFonts w:hint="eastAsia" w:cs="Times New Roman"/>
                <w:color w:val="auto"/>
                <w:kern w:val="0"/>
                <w:sz w:val="24"/>
                <w:szCs w:val="24"/>
                <w:lang w:val="en-US" w:eastAsia="zh-CN" w:bidi="ar"/>
              </w:rPr>
              <w:t>119.64</w:t>
            </w:r>
            <w:r>
              <w:rPr>
                <w:rFonts w:hint="default" w:ascii="Times New Roman" w:hAnsi="Times New Roman" w:eastAsia="宋体" w:cs="Times New Roman"/>
                <w:color w:val="auto"/>
                <w:kern w:val="0"/>
                <w:sz w:val="24"/>
                <w:szCs w:val="24"/>
                <w:lang w:val="en-US" w:eastAsia="zh-CN" w:bidi="ar"/>
              </w:rPr>
              <w:t>t/a，除尘灰主要为生产原料，全部回用于生产，不外排。</w:t>
            </w:r>
          </w:p>
          <w:p>
            <w:pPr>
              <w:keepNext w:val="0"/>
              <w:keepLines w:val="0"/>
              <w:widowControl/>
              <w:suppressLineNumbers w:val="0"/>
              <w:jc w:val="left"/>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3</w:t>
            </w:r>
            <w:r>
              <w:rPr>
                <w:rFonts w:hint="default" w:ascii="Times New Roman" w:hAnsi="Times New Roman" w:eastAsia="宋体" w:cs="Times New Roman"/>
                <w:color w:val="auto"/>
                <w:kern w:val="0"/>
                <w:sz w:val="24"/>
                <w:szCs w:val="24"/>
                <w:lang w:val="en-US" w:eastAsia="zh-CN" w:bidi="ar"/>
              </w:rPr>
              <w:t>）沉淀池沉淀的</w:t>
            </w:r>
            <w:r>
              <w:rPr>
                <w:rFonts w:hint="eastAsia" w:cs="Times New Roman"/>
                <w:color w:val="auto"/>
                <w:kern w:val="0"/>
                <w:sz w:val="24"/>
                <w:szCs w:val="24"/>
                <w:lang w:val="en-US" w:eastAsia="zh-CN" w:bidi="ar"/>
              </w:rPr>
              <w:t>泥沙</w:t>
            </w:r>
            <w:r>
              <w:rPr>
                <w:rFonts w:hint="default" w:ascii="Times New Roman" w:hAnsi="Times New Roman" w:eastAsia="宋体" w:cs="Times New Roman"/>
                <w:color w:val="auto"/>
                <w:kern w:val="0"/>
                <w:sz w:val="24"/>
                <w:szCs w:val="24"/>
                <w:lang w:val="en-US" w:eastAsia="zh-CN" w:bidi="ar"/>
              </w:rPr>
              <w:t xml:space="preserve"> </w:t>
            </w:r>
          </w:p>
          <w:p>
            <w:pPr>
              <w:autoSpaceDE w:val="0"/>
              <w:autoSpaceDN w:val="0"/>
              <w:adjustRightInd w:val="0"/>
              <w:snapToGrid w:val="0"/>
              <w:spacing w:line="360" w:lineRule="auto"/>
              <w:ind w:firstLine="480" w:firstLineChars="200"/>
              <w:rPr>
                <w:rFonts w:hint="default" w:ascii="Times New Roman" w:hAnsi="Times New Roman" w:eastAsia="宋体" w:cs="Times New Roman"/>
                <w:color w:val="auto"/>
                <w:kern w:val="0"/>
                <w:sz w:val="24"/>
                <w:szCs w:val="24"/>
                <w:lang w:val="en-US" w:eastAsia="zh-CN" w:bidi="ar"/>
              </w:rPr>
            </w:pPr>
            <w:r>
              <w:rPr>
                <w:rFonts w:hint="eastAsia" w:cs="Times New Roman"/>
                <w:color w:val="auto"/>
                <w:kern w:val="0"/>
                <w:sz w:val="24"/>
                <w:szCs w:val="24"/>
                <w:lang w:val="en-US" w:eastAsia="zh-CN" w:bidi="ar"/>
              </w:rPr>
              <w:t>根据建设单位提供的资料</w:t>
            </w:r>
            <w:r>
              <w:rPr>
                <w:rFonts w:hint="default" w:ascii="Times New Roman" w:hAnsi="Times New Roman" w:eastAsia="宋体" w:cs="Times New Roman"/>
                <w:color w:val="auto"/>
                <w:kern w:val="0"/>
                <w:sz w:val="24"/>
                <w:szCs w:val="24"/>
                <w:lang w:val="en-US" w:eastAsia="zh-CN" w:bidi="ar"/>
              </w:rPr>
              <w:t>沉淀池收集的洗砂废水沉渣、车辆冲洗废水沉渣总量</w:t>
            </w:r>
            <w:r>
              <w:rPr>
                <w:rFonts w:hint="eastAsia" w:cs="Times New Roman"/>
                <w:color w:val="auto"/>
                <w:kern w:val="0"/>
                <w:sz w:val="24"/>
                <w:szCs w:val="24"/>
                <w:lang w:val="en-US" w:eastAsia="zh-CN" w:bidi="ar"/>
              </w:rPr>
              <w:t>以后总量的0.1%计，产生量</w:t>
            </w:r>
            <w:r>
              <w:rPr>
                <w:rFonts w:hint="default" w:ascii="Times New Roman" w:hAnsi="Times New Roman" w:eastAsia="宋体" w:cs="Times New Roman"/>
                <w:color w:val="auto"/>
                <w:kern w:val="0"/>
                <w:sz w:val="24"/>
                <w:szCs w:val="24"/>
                <w:lang w:val="en-US" w:eastAsia="zh-CN" w:bidi="ar"/>
              </w:rPr>
              <w:t>为</w:t>
            </w:r>
            <w:r>
              <w:rPr>
                <w:rFonts w:hint="eastAsia" w:cs="Times New Roman"/>
                <w:color w:val="auto"/>
                <w:kern w:val="0"/>
                <w:sz w:val="24"/>
                <w:szCs w:val="24"/>
                <w:lang w:val="en-US" w:eastAsia="zh-CN" w:bidi="ar"/>
              </w:rPr>
              <w:t>250</w:t>
            </w:r>
            <w:r>
              <w:rPr>
                <w:rFonts w:hint="default" w:ascii="Times New Roman" w:hAnsi="Times New Roman" w:cs="Times New Roman"/>
                <w:color w:val="auto"/>
                <w:kern w:val="0"/>
                <w:sz w:val="24"/>
                <w:szCs w:val="24"/>
                <w:lang w:val="en-US" w:eastAsia="zh-CN" w:bidi="ar"/>
              </w:rPr>
              <w:t>m</w:t>
            </w:r>
            <w:r>
              <w:rPr>
                <w:rFonts w:hint="default" w:ascii="Times New Roman" w:hAnsi="Times New Roman"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/a，</w:t>
            </w:r>
            <w:r>
              <w:rPr>
                <w:rFonts w:ascii="Times New Roman" w:hAnsi="Times New Roman" w:eastAsia="宋体" w:cs="Times New Roman"/>
                <w:color w:val="auto"/>
                <w:kern w:val="0"/>
                <w:sz w:val="24"/>
              </w:rPr>
              <w:t>池底废料定期清理，废料中主要固体为砂子和石子，使用砂石分离设备进行处理后全部回用于混凝土的生产过程中，生产废料不外排</w:t>
            </w:r>
            <w:r>
              <w:rPr>
                <w:rFonts w:hint="eastAsia" w:ascii="Times New Roman" w:hAnsi="Times New Roman" w:eastAsia="宋体" w:cs="Times New Roman"/>
                <w:color w:val="auto"/>
                <w:kern w:val="0"/>
                <w:sz w:val="24"/>
              </w:rPr>
              <w:t>。</w:t>
            </w:r>
            <w:r>
              <w:rPr>
                <w:rFonts w:hint="default" w:ascii="Times New Roman" w:hAnsi="Times New Roman" w:eastAsia="宋体" w:cs="Times New Roman"/>
                <w:color w:val="auto"/>
                <w:kern w:val="0"/>
                <w:sz w:val="24"/>
                <w:szCs w:val="24"/>
                <w:lang w:val="en-US" w:eastAsia="zh-CN" w:bidi="ar"/>
              </w:rPr>
              <w:t>沉淀池采取防渗措施，防渗结构防渗系数≤</w:t>
            </w:r>
            <w:r>
              <w:rPr>
                <w:rFonts w:hint="eastAsia" w:cs="Times New Roman"/>
                <w:color w:val="auto"/>
                <w:kern w:val="0"/>
                <w:sz w:val="24"/>
                <w:szCs w:val="24"/>
                <w:lang w:val="en-US" w:eastAsia="zh-CN" w:bidi="ar"/>
              </w:rPr>
              <w:t>1.0*</w:t>
            </w:r>
            <w:r>
              <w:rPr>
                <w:rFonts w:hint="default" w:ascii="Times New Roman" w:hAnsi="Times New Roman" w:eastAsia="宋体" w:cs="Times New Roman"/>
                <w:color w:val="auto"/>
                <w:kern w:val="0"/>
                <w:sz w:val="24"/>
                <w:szCs w:val="24"/>
                <w:lang w:val="en-US" w:eastAsia="zh-CN" w:bidi="ar"/>
              </w:rPr>
              <w:t>10</w:t>
            </w:r>
            <w:r>
              <w:rPr>
                <w:rFonts w:hint="eastAsia" w:cs="Times New Roman"/>
                <w:color w:val="auto"/>
                <w:kern w:val="0"/>
                <w:sz w:val="24"/>
                <w:szCs w:val="24"/>
                <w:vertAlign w:val="superscript"/>
                <w:lang w:val="en-US" w:eastAsia="zh-CN" w:bidi="ar"/>
              </w:rPr>
              <w:t>-7</w:t>
            </w:r>
            <w:r>
              <w:rPr>
                <w:rFonts w:hint="default" w:ascii="Times New Roman" w:hAnsi="Times New Roman" w:eastAsia="宋体" w:cs="Times New Roman"/>
                <w:color w:val="auto"/>
                <w:kern w:val="0"/>
                <w:sz w:val="24"/>
                <w:szCs w:val="24"/>
                <w:lang w:val="en-US" w:eastAsia="zh-CN" w:bidi="ar"/>
              </w:rPr>
              <w:t>cm/s。</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leftChars="200"/>
              <w:jc w:val="both"/>
              <w:textAlignment w:val="auto"/>
              <w:rPr>
                <w:rFonts w:hint="default" w:ascii="Times New Roman" w:hAnsi="Times New Roman" w:eastAsia="宋体" w:cs="Times New Roman"/>
                <w:bCs/>
                <w:color w:val="auto"/>
                <w:spacing w:val="0"/>
                <w:sz w:val="24"/>
                <w:szCs w:val="24"/>
                <w:lang w:val="en-US" w:eastAsia="zh-CN"/>
              </w:rPr>
            </w:pPr>
            <w:r>
              <w:rPr>
                <w:rFonts w:hint="eastAsia" w:ascii="Times New Roman" w:hAnsi="Times New Roman" w:eastAsia="宋体" w:cs="Times New Roman"/>
                <w:bCs/>
                <w:color w:val="auto"/>
                <w:spacing w:val="0"/>
                <w:sz w:val="24"/>
                <w:szCs w:val="24"/>
                <w:lang w:val="en-US" w:eastAsia="zh-CN"/>
              </w:rPr>
              <w:t>（4）</w:t>
            </w:r>
            <w:r>
              <w:rPr>
                <w:rFonts w:hint="default" w:ascii="Times New Roman" w:hAnsi="Times New Roman" w:eastAsia="宋体" w:cs="Times New Roman"/>
                <w:bCs/>
                <w:color w:val="auto"/>
                <w:spacing w:val="0"/>
                <w:sz w:val="24"/>
                <w:szCs w:val="24"/>
                <w:lang w:val="en-US" w:eastAsia="zh-CN"/>
              </w:rPr>
              <w:t>废</w:t>
            </w:r>
            <w:r>
              <w:rPr>
                <w:rFonts w:hint="eastAsia" w:ascii="Times New Roman" w:hAnsi="Times New Roman" w:eastAsia="宋体" w:cs="Times New Roman"/>
                <w:bCs/>
                <w:color w:val="auto"/>
                <w:spacing w:val="0"/>
                <w:sz w:val="24"/>
                <w:szCs w:val="24"/>
                <w:lang w:val="en-US" w:eastAsia="zh-CN"/>
              </w:rPr>
              <w:t>矿物油</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both"/>
              <w:textAlignment w:val="auto"/>
              <w:rPr>
                <w:rFonts w:hint="default" w:ascii="Times New Roman" w:hAnsi="Times New Roman" w:eastAsia="宋体" w:cs="Times New Roman"/>
                <w:b w:val="0"/>
                <w:bCs/>
                <w:color w:val="auto"/>
                <w:kern w:val="0"/>
                <w:sz w:val="24"/>
                <w:lang w:val="en-US" w:eastAsia="zh-CN"/>
              </w:rPr>
            </w:pPr>
            <w:r>
              <w:rPr>
                <w:rFonts w:hint="default" w:ascii="Times New Roman" w:hAnsi="Times New Roman" w:eastAsia="宋体" w:cs="Times New Roman"/>
                <w:bCs/>
                <w:color w:val="auto"/>
                <w:spacing w:val="0"/>
                <w:sz w:val="24"/>
                <w:szCs w:val="24"/>
                <w:lang w:val="en-US" w:eastAsia="zh-CN"/>
              </w:rPr>
              <w:t>本项目设备维修保养过程中会产生废</w:t>
            </w:r>
            <w:r>
              <w:rPr>
                <w:rFonts w:hint="eastAsia" w:cs="Times New Roman"/>
                <w:bCs/>
                <w:color w:val="auto"/>
                <w:spacing w:val="0"/>
                <w:sz w:val="24"/>
                <w:szCs w:val="24"/>
                <w:lang w:val="en-US" w:eastAsia="zh-CN"/>
              </w:rPr>
              <w:t>矿物油</w:t>
            </w:r>
            <w:r>
              <w:rPr>
                <w:rFonts w:hint="eastAsia" w:ascii="Times New Roman" w:hAnsi="Times New Roman" w:eastAsia="宋体" w:cs="Times New Roman"/>
                <w:bCs/>
                <w:color w:val="auto"/>
                <w:spacing w:val="0"/>
                <w:sz w:val="24"/>
                <w:szCs w:val="24"/>
                <w:lang w:val="en-US" w:eastAsia="zh-CN"/>
              </w:rPr>
              <w:t>，</w:t>
            </w:r>
            <w:r>
              <w:rPr>
                <w:rFonts w:hint="default" w:ascii="Times New Roman" w:hAnsi="Times New Roman" w:eastAsia="宋体" w:cs="Times New Roman"/>
                <w:bCs/>
                <w:color w:val="auto"/>
                <w:spacing w:val="0"/>
                <w:sz w:val="24"/>
                <w:szCs w:val="24"/>
                <w:lang w:val="en-US" w:eastAsia="zh-CN"/>
              </w:rPr>
              <w:t>产生量约0.2t/a，根据《国家危险废物名录（2021年版）》，</w:t>
            </w:r>
            <w:r>
              <w:rPr>
                <w:rFonts w:hint="eastAsia" w:ascii="Times New Roman" w:hAnsi="Times New Roman" w:eastAsia="宋体" w:cs="Times New Roman"/>
                <w:bCs/>
                <w:color w:val="auto"/>
                <w:spacing w:val="0"/>
                <w:sz w:val="24"/>
                <w:szCs w:val="24"/>
                <w:lang w:val="en-US" w:eastAsia="zh-CN"/>
              </w:rPr>
              <w:t>此类废物</w:t>
            </w:r>
            <w:r>
              <w:rPr>
                <w:rFonts w:hint="default" w:ascii="Times New Roman" w:hAnsi="Times New Roman" w:eastAsia="宋体" w:cs="Times New Roman"/>
                <w:bCs/>
                <w:color w:val="auto"/>
                <w:spacing w:val="0"/>
                <w:sz w:val="24"/>
                <w:szCs w:val="24"/>
                <w:lang w:val="en-US" w:eastAsia="zh-CN"/>
              </w:rPr>
              <w:t>属于HW08危险废物，危废代码：</w:t>
            </w:r>
            <w:r>
              <w:rPr>
                <w:rFonts w:hint="default" w:ascii="Times New Roman" w:hAnsi="Times New Roman" w:eastAsia="宋体" w:cs="Times New Roman"/>
                <w:b w:val="0"/>
                <w:bCs/>
                <w:color w:val="auto"/>
                <w:spacing w:val="0"/>
                <w:sz w:val="24"/>
                <w:szCs w:val="24"/>
                <w:lang w:val="en-US" w:eastAsia="zh-CN"/>
              </w:rPr>
              <w:t>900-214-08</w:t>
            </w:r>
            <w:r>
              <w:rPr>
                <w:rFonts w:hint="eastAsia" w:ascii="Times New Roman" w:hAnsi="Times New Roman" w:eastAsia="宋体" w:cs="Times New Roman"/>
                <w:b w:val="0"/>
                <w:bCs/>
                <w:color w:val="auto"/>
                <w:kern w:val="0"/>
                <w:sz w:val="24"/>
                <w:lang w:val="en-US" w:eastAsia="zh-CN"/>
              </w:rPr>
              <w:t>，</w:t>
            </w:r>
            <w:r>
              <w:rPr>
                <w:rFonts w:hint="default" w:ascii="Times New Roman" w:hAnsi="Times New Roman" w:eastAsia="宋体" w:cs="Times New Roman"/>
                <w:b w:val="0"/>
                <w:bCs/>
                <w:color w:val="auto"/>
                <w:kern w:val="0"/>
                <w:sz w:val="24"/>
                <w:lang w:val="en-US" w:eastAsia="zh-CN"/>
              </w:rPr>
              <w:t>收集后暂存于危废暂存间，定期交由有资质的单位进行处理。</w:t>
            </w:r>
          </w:p>
          <w:p>
            <w:pPr>
              <w:pStyle w:val="47"/>
              <w:keepNext w:val="0"/>
              <w:keepLines w:val="0"/>
              <w:pageBreakBefore w:val="0"/>
              <w:widowControl w:val="0"/>
              <w:numPr>
                <w:ilvl w:val="0"/>
                <w:numId w:val="6"/>
              </w:numPr>
              <w:kinsoku/>
              <w:overflowPunct/>
              <w:topLinePunct w:val="0"/>
              <w:autoSpaceDE/>
              <w:autoSpaceDN/>
              <w:bidi w:val="0"/>
              <w:spacing w:line="360" w:lineRule="auto"/>
              <w:ind w:firstLine="480" w:firstLineChars="200"/>
              <w:textAlignment w:val="auto"/>
              <w:rPr>
                <w:rFonts w:hint="default"/>
                <w:lang w:val="en-US" w:eastAsia="zh-CN"/>
              </w:rPr>
            </w:pPr>
            <w:r>
              <w:rPr>
                <w:rFonts w:hint="default" w:ascii="Times New Roman" w:hAnsi="Times New Roman" w:eastAsia="宋体" w:cs="Times New Roman"/>
                <w:sz w:val="24"/>
                <w:szCs w:val="24"/>
              </w:rPr>
              <w:t>含油废劳保用品：生产过程中对设备的保养维修等，产生含沾染</w:t>
            </w:r>
            <w:r>
              <w:rPr>
                <w:rFonts w:hint="eastAsia" w:ascii="Times New Roman" w:hAnsi="Times New Roman" w:eastAsia="宋体" w:cs="Times New Roman"/>
                <w:sz w:val="24"/>
                <w:szCs w:val="24"/>
                <w:lang w:val="en-US" w:eastAsia="zh-CN"/>
              </w:rPr>
              <w:t>机油</w:t>
            </w:r>
            <w:r>
              <w:rPr>
                <w:rFonts w:hint="default" w:ascii="Times New Roman" w:hAnsi="Times New Roman" w:eastAsia="宋体" w:cs="Times New Roman"/>
                <w:sz w:val="24"/>
                <w:szCs w:val="24"/>
              </w:rPr>
              <w:t>、润滑油的棉布及手套产生量约0.0</w:t>
            </w:r>
            <w:r>
              <w:rPr>
                <w:rFonts w:hint="eastAsia" w:ascii="Times New Roman" w:hAnsi="Times New Roman" w:eastAsia="宋体" w:cs="Times New Roman"/>
                <w:sz w:val="24"/>
                <w:szCs w:val="24"/>
                <w:lang w:val="en-US" w:eastAsia="zh-CN"/>
              </w:rPr>
              <w:t>2</w:t>
            </w:r>
            <w:r>
              <w:rPr>
                <w:rFonts w:hint="eastAsia" w:cs="Times New Roman"/>
                <w:sz w:val="24"/>
                <w:szCs w:val="24"/>
                <w:lang w:eastAsia="zh-CN"/>
              </w:rPr>
              <w:t>吨/年</w:t>
            </w:r>
            <w:r>
              <w:rPr>
                <w:rFonts w:hint="default" w:ascii="Times New Roman" w:hAnsi="Times New Roman" w:eastAsia="宋体" w:cs="Times New Roman"/>
                <w:sz w:val="24"/>
                <w:szCs w:val="24"/>
              </w:rPr>
              <w:t>。</w:t>
            </w:r>
            <w:r>
              <w:rPr>
                <w:rFonts w:hint="default" w:ascii="Times New Roman" w:hAnsi="Times New Roman" w:cs="Times New Roman" w:eastAsiaTheme="minorEastAsia"/>
                <w:color w:val="auto"/>
                <w:sz w:val="24"/>
                <w:szCs w:val="24"/>
                <w:highlight w:val="none"/>
              </w:rPr>
              <w:t>根据《国家危险废物名录》（2021版）</w:t>
            </w:r>
            <w:r>
              <w:rPr>
                <w:rFonts w:hint="default" w:ascii="Times New Roman" w:hAnsi="Times New Roman" w:eastAsia="宋体" w:cs="Times New Roman"/>
                <w:sz w:val="24"/>
                <w:szCs w:val="24"/>
                <w:lang w:val="en-US" w:eastAsia="zh-CN"/>
              </w:rPr>
              <w:t>该废物</w:t>
            </w:r>
            <w:r>
              <w:rPr>
                <w:rFonts w:hint="default" w:ascii="Times New Roman" w:hAnsi="Times New Roman" w:eastAsia="宋体" w:cs="Times New Roman"/>
                <w:sz w:val="24"/>
                <w:szCs w:val="24"/>
              </w:rPr>
              <w:t>类别</w:t>
            </w:r>
            <w:r>
              <w:rPr>
                <w:rFonts w:hint="default" w:ascii="Times New Roman" w:hAnsi="Times New Roman" w:eastAsia="宋体" w:cs="Times New Roman"/>
                <w:sz w:val="24"/>
                <w:szCs w:val="24"/>
                <w:lang w:val="en-US" w:eastAsia="zh-CN"/>
              </w:rPr>
              <w:t>为</w:t>
            </w:r>
            <w:r>
              <w:rPr>
                <w:rFonts w:hint="default" w:ascii="Times New Roman" w:hAnsi="Times New Roman" w:eastAsia="宋体" w:cs="Times New Roman"/>
                <w:sz w:val="24"/>
                <w:szCs w:val="24"/>
              </w:rPr>
              <w:t>HW49，危废</w:t>
            </w:r>
            <w:r>
              <w:rPr>
                <w:rFonts w:hint="eastAsia" w:cs="Times New Roman"/>
                <w:sz w:val="24"/>
                <w:szCs w:val="24"/>
                <w:lang w:eastAsia="zh-CN"/>
              </w:rPr>
              <w:t>代码为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900-041-49含有或沾染毒性、感染性危险废物的废弃包装物、容器、过滤吸附介质</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eastAsia="宋体" w:cs="Times New Roman"/>
                <w:sz w:val="24"/>
                <w:szCs w:val="24"/>
              </w:rPr>
              <w:t>，</w:t>
            </w:r>
            <w:r>
              <w:rPr>
                <w:rFonts w:hint="default" w:ascii="Times New Roman" w:hAnsi="Times New Roman" w:cs="Times New Roman"/>
                <w:color w:val="auto"/>
                <w:sz w:val="24"/>
                <w:szCs w:val="24"/>
                <w:lang w:val="en-US" w:eastAsia="zh-CN"/>
              </w:rPr>
              <w:t>收集后</w:t>
            </w:r>
            <w:r>
              <w:rPr>
                <w:rFonts w:hint="default" w:ascii="Times New Roman" w:hAnsi="Times New Roman" w:cs="Times New Roman"/>
                <w:color w:val="auto"/>
                <w:sz w:val="24"/>
                <w:szCs w:val="24"/>
              </w:rPr>
              <w:t>暂</w:t>
            </w:r>
            <w:r>
              <w:rPr>
                <w:rFonts w:hint="default" w:ascii="Times New Roman" w:hAnsi="Times New Roman" w:cs="Times New Roman" w:eastAsiaTheme="minorEastAsia"/>
                <w:color w:val="auto"/>
                <w:sz w:val="24"/>
                <w:szCs w:val="24"/>
                <w:highlight w:val="none"/>
              </w:rPr>
              <w:t>存于厂区危废暂存间内，定期委托有资质单位统一清运。</w:t>
            </w:r>
          </w:p>
          <w:p>
            <w:pPr>
              <w:adjustRightInd w:val="0"/>
              <w:snapToGrid w:val="0"/>
              <w:spacing w:line="360" w:lineRule="auto"/>
              <w:ind w:firstLine="480" w:firstLineChars="200"/>
              <w:jc w:val="left"/>
              <w:rPr>
                <w:color w:val="auto"/>
                <w:sz w:val="24"/>
                <w:szCs w:val="24"/>
              </w:rPr>
            </w:pPr>
            <w:r>
              <w:rPr>
                <w:color w:val="auto"/>
                <w:sz w:val="24"/>
                <w:szCs w:val="24"/>
              </w:rPr>
              <w:t>本项目</w:t>
            </w:r>
            <w:r>
              <w:rPr>
                <w:rFonts w:hint="eastAsia"/>
                <w:color w:val="auto"/>
                <w:sz w:val="24"/>
                <w:szCs w:val="24"/>
                <w:lang w:val="en-US" w:eastAsia="zh-CN"/>
              </w:rPr>
              <w:t>固体废物</w:t>
            </w:r>
            <w:r>
              <w:rPr>
                <w:color w:val="auto"/>
                <w:sz w:val="24"/>
                <w:szCs w:val="24"/>
              </w:rPr>
              <w:t>排放详见表4-</w:t>
            </w:r>
            <w:r>
              <w:rPr>
                <w:rFonts w:hint="eastAsia"/>
                <w:color w:val="auto"/>
                <w:sz w:val="24"/>
                <w:szCs w:val="24"/>
                <w:lang w:val="en-US" w:eastAsia="zh-CN"/>
              </w:rPr>
              <w:t>14</w:t>
            </w:r>
            <w:r>
              <w:rPr>
                <w:color w:val="auto"/>
                <w:sz w:val="24"/>
                <w:szCs w:val="24"/>
              </w:rPr>
              <w:t>。</w:t>
            </w:r>
          </w:p>
          <w:p>
            <w:pPr>
              <w:adjustRightInd w:val="0"/>
              <w:snapToGrid w:val="0"/>
              <w:spacing w:line="240" w:lineRule="auto"/>
              <w:jc w:val="center"/>
              <w:rPr>
                <w:rFonts w:hint="eastAsia" w:eastAsia="宋体"/>
                <w:b/>
                <w:bCs/>
                <w:color w:val="auto"/>
                <w:sz w:val="21"/>
                <w:szCs w:val="21"/>
                <w:lang w:val="en-US" w:eastAsia="zh-CN"/>
              </w:rPr>
            </w:pPr>
            <w:r>
              <w:rPr>
                <w:b/>
                <w:bCs/>
                <w:color w:val="auto"/>
                <w:sz w:val="21"/>
                <w:szCs w:val="21"/>
              </w:rPr>
              <w:t>表4-</w:t>
            </w:r>
            <w:r>
              <w:rPr>
                <w:rFonts w:hint="eastAsia"/>
                <w:b/>
                <w:bCs/>
                <w:color w:val="auto"/>
                <w:sz w:val="21"/>
                <w:szCs w:val="21"/>
                <w:lang w:val="en-US" w:eastAsia="zh-CN"/>
              </w:rPr>
              <w:t xml:space="preserve">14   </w:t>
            </w:r>
            <w:r>
              <w:rPr>
                <w:b/>
                <w:bCs/>
                <w:color w:val="auto"/>
                <w:sz w:val="21"/>
                <w:szCs w:val="21"/>
              </w:rPr>
              <w:t>本项目固体废物排</w:t>
            </w:r>
            <w:r>
              <w:rPr>
                <w:rFonts w:hint="eastAsia"/>
                <w:b/>
                <w:bCs/>
                <w:color w:val="auto"/>
                <w:sz w:val="21"/>
                <w:szCs w:val="21"/>
                <w:lang w:val="en-US" w:eastAsia="zh-CN"/>
              </w:rPr>
              <w:t>放一览表</w:t>
            </w:r>
          </w:p>
          <w:tbl>
            <w:tblPr>
              <w:tblStyle w:val="2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98"/>
              <w:gridCol w:w="1133"/>
              <w:gridCol w:w="678"/>
              <w:gridCol w:w="1033"/>
              <w:gridCol w:w="1380"/>
              <w:gridCol w:w="947"/>
              <w:gridCol w:w="1373"/>
              <w:gridCol w:w="918"/>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6" w:hRule="atLeast"/>
              </w:trPr>
              <w:tc>
                <w:tcPr>
                  <w:tcW w:w="218" w:type="pct"/>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序号</w:t>
                  </w:r>
                </w:p>
              </w:tc>
              <w:tc>
                <w:tcPr>
                  <w:tcW w:w="620" w:type="pct"/>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名称</w:t>
                  </w:r>
                </w:p>
              </w:tc>
              <w:tc>
                <w:tcPr>
                  <w:tcW w:w="371" w:type="pct"/>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bCs/>
                      <w:color w:val="auto"/>
                      <w:sz w:val="21"/>
                      <w:szCs w:val="21"/>
                      <w:lang w:val="en-US" w:eastAsia="zh-CN"/>
                    </w:rPr>
                    <w:t>废物类型</w:t>
                  </w:r>
                </w:p>
              </w:tc>
              <w:tc>
                <w:tcPr>
                  <w:tcW w:w="565" w:type="pct"/>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废物类别</w:t>
                  </w:r>
                </w:p>
              </w:tc>
              <w:tc>
                <w:tcPr>
                  <w:tcW w:w="755" w:type="pct"/>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废物代码</w:t>
                  </w:r>
                </w:p>
              </w:tc>
              <w:tc>
                <w:tcPr>
                  <w:tcW w:w="518" w:type="pct"/>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物理性状</w:t>
                  </w:r>
                </w:p>
              </w:tc>
              <w:tc>
                <w:tcPr>
                  <w:tcW w:w="751" w:type="pct"/>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产生量</w:t>
                  </w:r>
                </w:p>
              </w:tc>
              <w:tc>
                <w:tcPr>
                  <w:tcW w:w="502" w:type="pct"/>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贮存方式</w:t>
                  </w:r>
                </w:p>
              </w:tc>
              <w:tc>
                <w:tcPr>
                  <w:tcW w:w="695" w:type="pct"/>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利用处置方式和去向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2" w:hRule="atLeast"/>
              </w:trPr>
              <w:tc>
                <w:tcPr>
                  <w:tcW w:w="218" w:type="pct"/>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620" w:type="pct"/>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废机油</w:t>
                  </w:r>
                </w:p>
              </w:tc>
              <w:tc>
                <w:tcPr>
                  <w:tcW w:w="371" w:type="pct"/>
                  <w:vMerge w:val="restart"/>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ind w:left="0" w:leftChars="0" w:firstLine="0" w:firstLineChars="0"/>
                    <w:jc w:val="both"/>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危险废物</w:t>
                  </w:r>
                </w:p>
              </w:tc>
              <w:tc>
                <w:tcPr>
                  <w:tcW w:w="565" w:type="pct"/>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HW08</w:t>
                  </w:r>
                </w:p>
              </w:tc>
              <w:tc>
                <w:tcPr>
                  <w:tcW w:w="755" w:type="pct"/>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900-249-08</w:t>
                  </w:r>
                </w:p>
              </w:tc>
              <w:tc>
                <w:tcPr>
                  <w:tcW w:w="518" w:type="pct"/>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液态</w:t>
                  </w:r>
                </w:p>
              </w:tc>
              <w:tc>
                <w:tcPr>
                  <w:tcW w:w="751" w:type="pct"/>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w:t>
                  </w:r>
                  <w:r>
                    <w:rPr>
                      <w:rFonts w:hint="eastAsia" w:ascii="Times New Roman" w:hAnsi="Times New Roman"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t/a</w:t>
                  </w:r>
                </w:p>
              </w:tc>
              <w:tc>
                <w:tcPr>
                  <w:tcW w:w="502" w:type="pct"/>
                  <w:vMerge w:val="restart"/>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危废暂存间</w:t>
                  </w:r>
                </w:p>
              </w:tc>
              <w:tc>
                <w:tcPr>
                  <w:tcW w:w="695" w:type="pct"/>
                  <w:vMerge w:val="restart"/>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委托有资质的单位清运处置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4" w:hRule="atLeast"/>
              </w:trPr>
              <w:tc>
                <w:tcPr>
                  <w:tcW w:w="218" w:type="pct"/>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620" w:type="pct"/>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含油废劳保用品</w:t>
                  </w:r>
                </w:p>
              </w:tc>
              <w:tc>
                <w:tcPr>
                  <w:tcW w:w="371" w:type="pct"/>
                  <w:vMerge w:val="continue"/>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jc w:val="center"/>
                    <w:textAlignment w:val="auto"/>
                    <w:rPr>
                      <w:rFonts w:hint="default" w:ascii="Times New Roman" w:hAnsi="Times New Roman" w:cs="Times New Roman"/>
                      <w:color w:val="auto"/>
                      <w:sz w:val="21"/>
                      <w:szCs w:val="21"/>
                    </w:rPr>
                  </w:pPr>
                </w:p>
              </w:tc>
              <w:tc>
                <w:tcPr>
                  <w:tcW w:w="565" w:type="pct"/>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sz w:val="21"/>
                      <w:szCs w:val="21"/>
                    </w:rPr>
                    <w:t>HW49</w:t>
                  </w:r>
                </w:p>
              </w:tc>
              <w:tc>
                <w:tcPr>
                  <w:tcW w:w="755" w:type="pct"/>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eastAsiaTheme="minorEastAsia"/>
                      <w:color w:val="auto"/>
                      <w:sz w:val="21"/>
                      <w:szCs w:val="21"/>
                      <w:highlight w:val="none"/>
                    </w:rPr>
                    <w:t>900-041-49</w:t>
                  </w:r>
                </w:p>
              </w:tc>
              <w:tc>
                <w:tcPr>
                  <w:tcW w:w="518" w:type="pct"/>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固态</w:t>
                  </w:r>
                </w:p>
              </w:tc>
              <w:tc>
                <w:tcPr>
                  <w:tcW w:w="751" w:type="pct"/>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0.02</w:t>
                  </w:r>
                  <w:r>
                    <w:rPr>
                      <w:rFonts w:hint="eastAsia" w:ascii="Times New Roman" w:hAnsi="Times New Roman" w:eastAsia="宋体" w:cs="Times New Roman"/>
                      <w:color w:val="auto"/>
                      <w:sz w:val="21"/>
                      <w:szCs w:val="21"/>
                      <w:lang w:val="en-US" w:eastAsia="zh-CN"/>
                    </w:rPr>
                    <w:t>t/a</w:t>
                  </w:r>
                </w:p>
              </w:tc>
              <w:tc>
                <w:tcPr>
                  <w:tcW w:w="502" w:type="pct"/>
                  <w:vMerge w:val="continue"/>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jc w:val="center"/>
                    <w:textAlignment w:val="auto"/>
                    <w:rPr>
                      <w:rFonts w:hint="default" w:ascii="Times New Roman" w:hAnsi="Times New Roman" w:cs="Times New Roman"/>
                      <w:color w:val="auto"/>
                      <w:sz w:val="21"/>
                      <w:szCs w:val="21"/>
                      <w:lang w:val="en-US" w:eastAsia="zh-CN"/>
                    </w:rPr>
                  </w:pPr>
                </w:p>
              </w:tc>
              <w:tc>
                <w:tcPr>
                  <w:tcW w:w="695" w:type="pct"/>
                  <w:vMerge w:val="continue"/>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jc w:val="center"/>
                    <w:textAlignment w:val="auto"/>
                    <w:rPr>
                      <w:rFonts w:hint="default"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0" w:hRule="atLeast"/>
              </w:trPr>
              <w:tc>
                <w:tcPr>
                  <w:tcW w:w="218" w:type="pct"/>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620" w:type="pct"/>
                  <w:tcBorders>
                    <w:tl2br w:val="nil"/>
                    <w:tr2bl w:val="nil"/>
                  </w:tcBorders>
                  <w:vAlign w:val="center"/>
                </w:tcPr>
                <w:p>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除尘灰</w:t>
                  </w:r>
                </w:p>
              </w:tc>
              <w:tc>
                <w:tcPr>
                  <w:tcW w:w="371" w:type="pct"/>
                  <w:vMerge w:val="restart"/>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ind w:left="0" w:leftChars="0" w:firstLine="0" w:firstLineChars="0"/>
                    <w:jc w:val="both"/>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一般固废</w:t>
                  </w:r>
                </w:p>
              </w:tc>
              <w:tc>
                <w:tcPr>
                  <w:tcW w:w="565" w:type="pct"/>
                  <w:tcBorders>
                    <w:tl2br w:val="nil"/>
                    <w:tr2bl w:val="nil"/>
                  </w:tcBorders>
                  <w:vAlign w:val="center"/>
                </w:tcPr>
                <w:p>
                  <w:pPr>
                    <w:pStyle w:val="4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w:t>
                  </w:r>
                </w:p>
              </w:tc>
              <w:tc>
                <w:tcPr>
                  <w:tcW w:w="755" w:type="pct"/>
                  <w:tcBorders>
                    <w:tl2br w:val="nil"/>
                    <w:tr2bl w:val="nil"/>
                  </w:tcBorders>
                  <w:vAlign w:val="center"/>
                </w:tcPr>
                <w:p>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w:t>
                  </w:r>
                </w:p>
              </w:tc>
              <w:tc>
                <w:tcPr>
                  <w:tcW w:w="518" w:type="pct"/>
                  <w:vMerge w:val="restart"/>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ind w:left="0" w:leftChars="0" w:firstLine="210" w:firstLineChars="100"/>
                    <w:jc w:val="both"/>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固态</w:t>
                  </w:r>
                </w:p>
              </w:tc>
              <w:tc>
                <w:tcPr>
                  <w:tcW w:w="751" w:type="pct"/>
                  <w:tcBorders>
                    <w:tl2br w:val="nil"/>
                    <w:tr2bl w:val="nil"/>
                  </w:tcBorders>
                  <w:vAlign w:val="center"/>
                </w:tcPr>
                <w:p>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119.64</w:t>
                  </w:r>
                  <w:r>
                    <w:rPr>
                      <w:rFonts w:hint="eastAsia" w:ascii="Times New Roman" w:hAnsi="Times New Roman" w:eastAsia="宋体" w:cs="Times New Roman"/>
                      <w:color w:val="auto"/>
                      <w:sz w:val="21"/>
                      <w:szCs w:val="21"/>
                      <w:lang w:val="en-US" w:eastAsia="zh-CN"/>
                    </w:rPr>
                    <w:t>t/a</w:t>
                  </w:r>
                </w:p>
              </w:tc>
              <w:tc>
                <w:tcPr>
                  <w:tcW w:w="502" w:type="pct"/>
                  <w:vMerge w:val="restart"/>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rPr>
                    <w:t>暂存于生产车间</w:t>
                  </w:r>
                </w:p>
              </w:tc>
              <w:tc>
                <w:tcPr>
                  <w:tcW w:w="695" w:type="pct"/>
                  <w:vMerge w:val="restart"/>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5" w:hRule="atLeast"/>
              </w:trPr>
              <w:tc>
                <w:tcPr>
                  <w:tcW w:w="218" w:type="pct"/>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c>
                <w:tcPr>
                  <w:tcW w:w="620" w:type="pct"/>
                  <w:tcBorders>
                    <w:tl2br w:val="nil"/>
                    <w:tr2bl w:val="nil"/>
                  </w:tcBorders>
                  <w:vAlign w:val="center"/>
                </w:tcPr>
                <w:p>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沉淀池泥沙</w:t>
                  </w:r>
                </w:p>
              </w:tc>
              <w:tc>
                <w:tcPr>
                  <w:tcW w:w="371" w:type="pct"/>
                  <w:vMerge w:val="continue"/>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jc w:val="center"/>
                    <w:textAlignment w:val="auto"/>
                    <w:rPr>
                      <w:rFonts w:hint="default" w:ascii="Times New Roman" w:hAnsi="Times New Roman" w:cs="Times New Roman"/>
                      <w:color w:val="auto"/>
                      <w:sz w:val="21"/>
                      <w:szCs w:val="21"/>
                    </w:rPr>
                  </w:pPr>
                </w:p>
              </w:tc>
              <w:tc>
                <w:tcPr>
                  <w:tcW w:w="565" w:type="pct"/>
                  <w:tcBorders>
                    <w:tl2br w:val="nil"/>
                    <w:tr2bl w:val="nil"/>
                  </w:tcBorders>
                  <w:vAlign w:val="center"/>
                </w:tcPr>
                <w:p>
                  <w:pPr>
                    <w:pStyle w:val="4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w:t>
                  </w:r>
                </w:p>
              </w:tc>
              <w:tc>
                <w:tcPr>
                  <w:tcW w:w="755" w:type="pct"/>
                  <w:tcBorders>
                    <w:tl2br w:val="nil"/>
                    <w:tr2bl w:val="nil"/>
                  </w:tcBorders>
                  <w:vAlign w:val="center"/>
                </w:tcPr>
                <w:p>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w:t>
                  </w:r>
                </w:p>
              </w:tc>
              <w:tc>
                <w:tcPr>
                  <w:tcW w:w="518" w:type="pct"/>
                  <w:vMerge w:val="continue"/>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jc w:val="center"/>
                    <w:textAlignment w:val="auto"/>
                    <w:rPr>
                      <w:rFonts w:hint="default" w:ascii="Times New Roman" w:hAnsi="Times New Roman" w:cs="Times New Roman"/>
                      <w:color w:val="auto"/>
                      <w:sz w:val="21"/>
                      <w:szCs w:val="21"/>
                    </w:rPr>
                  </w:pPr>
                </w:p>
              </w:tc>
              <w:tc>
                <w:tcPr>
                  <w:tcW w:w="751" w:type="pct"/>
                  <w:tcBorders>
                    <w:tl2br w:val="nil"/>
                    <w:tr2bl w:val="nil"/>
                  </w:tcBorders>
                  <w:vAlign w:val="center"/>
                </w:tcPr>
                <w:p>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420" w:firstLineChars="200"/>
                    <w:jc w:val="both"/>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250m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/a</w:t>
                  </w:r>
                </w:p>
              </w:tc>
              <w:tc>
                <w:tcPr>
                  <w:tcW w:w="502" w:type="pct"/>
                  <w:vMerge w:val="continue"/>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jc w:val="center"/>
                    <w:textAlignment w:val="auto"/>
                    <w:rPr>
                      <w:rFonts w:hint="default" w:ascii="Times New Roman" w:hAnsi="Times New Roman" w:cs="Times New Roman"/>
                      <w:color w:val="auto"/>
                      <w:sz w:val="21"/>
                      <w:szCs w:val="21"/>
                      <w:lang w:val="en-US" w:eastAsia="zh-CN"/>
                    </w:rPr>
                  </w:pPr>
                </w:p>
              </w:tc>
              <w:tc>
                <w:tcPr>
                  <w:tcW w:w="695" w:type="pct"/>
                  <w:vMerge w:val="continue"/>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jc w:val="center"/>
                    <w:textAlignment w:val="auto"/>
                    <w:rPr>
                      <w:rFonts w:hint="default"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5" w:hRule="atLeast"/>
              </w:trPr>
              <w:tc>
                <w:tcPr>
                  <w:tcW w:w="218" w:type="pct"/>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620" w:type="pct"/>
                  <w:tcBorders>
                    <w:tl2br w:val="nil"/>
                    <w:tr2bl w:val="nil"/>
                  </w:tcBorders>
                  <w:vAlign w:val="center"/>
                </w:tcPr>
                <w:p>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生活垃圾</w:t>
                  </w:r>
                </w:p>
              </w:tc>
              <w:tc>
                <w:tcPr>
                  <w:tcW w:w="371" w:type="pct"/>
                  <w:vMerge w:val="continue"/>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jc w:val="center"/>
                    <w:textAlignment w:val="auto"/>
                    <w:rPr>
                      <w:rFonts w:hint="default" w:ascii="Times New Roman" w:hAnsi="Times New Roman" w:cs="Times New Roman"/>
                      <w:color w:val="auto"/>
                      <w:sz w:val="21"/>
                      <w:szCs w:val="21"/>
                    </w:rPr>
                  </w:pPr>
                </w:p>
              </w:tc>
              <w:tc>
                <w:tcPr>
                  <w:tcW w:w="565" w:type="pct"/>
                  <w:tcBorders>
                    <w:tl2br w:val="nil"/>
                    <w:tr2bl w:val="nil"/>
                  </w:tcBorders>
                  <w:vAlign w:val="center"/>
                </w:tcPr>
                <w:p>
                  <w:pPr>
                    <w:pStyle w:val="4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w:t>
                  </w:r>
                </w:p>
              </w:tc>
              <w:tc>
                <w:tcPr>
                  <w:tcW w:w="755" w:type="pct"/>
                  <w:tcBorders>
                    <w:tl2br w:val="nil"/>
                    <w:tr2bl w:val="nil"/>
                  </w:tcBorders>
                  <w:vAlign w:val="center"/>
                </w:tcPr>
                <w:p>
                  <w:pPr>
                    <w:pStyle w:val="49"/>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sz w:val="21"/>
                      <w:szCs w:val="21"/>
                      <w:highlight w:val="none"/>
                      <w:lang w:val="en-US" w:eastAsia="zh-CN"/>
                    </w:rPr>
                    <w:t>/</w:t>
                  </w:r>
                </w:p>
              </w:tc>
              <w:tc>
                <w:tcPr>
                  <w:tcW w:w="518" w:type="pct"/>
                  <w:vMerge w:val="continue"/>
                  <w:tcBorders>
                    <w:tl2br w:val="nil"/>
                    <w:tr2bl w:val="nil"/>
                  </w:tcBorders>
                  <w:vAlign w:val="center"/>
                </w:tcPr>
                <w:p>
                  <w:pPr>
                    <w:pStyle w:val="49"/>
                    <w:keepNext w:val="0"/>
                    <w:keepLines w:val="0"/>
                    <w:pageBreakBefore w:val="0"/>
                    <w:widowControl w:val="0"/>
                    <w:kinsoku/>
                    <w:wordWrap/>
                    <w:overflowPunct/>
                    <w:topLinePunct w:val="0"/>
                    <w:autoSpaceDE/>
                    <w:autoSpaceDN/>
                    <w:bidi w:val="0"/>
                    <w:spacing w:after="0" w:line="240" w:lineRule="auto"/>
                    <w:jc w:val="center"/>
                    <w:textAlignment w:val="auto"/>
                    <w:rPr>
                      <w:rFonts w:hint="default" w:ascii="Times New Roman" w:hAnsi="Times New Roman" w:cs="Times New Roman"/>
                      <w:color w:val="auto"/>
                      <w:sz w:val="21"/>
                      <w:szCs w:val="21"/>
                    </w:rPr>
                  </w:pPr>
                </w:p>
              </w:tc>
              <w:tc>
                <w:tcPr>
                  <w:tcW w:w="751" w:type="pct"/>
                  <w:tcBorders>
                    <w:tl2br w:val="nil"/>
                    <w:tr2bl w:val="nil"/>
                  </w:tcBorders>
                  <w:vAlign w:val="center"/>
                </w:tcPr>
                <w:p>
                  <w:pPr>
                    <w:pStyle w:val="49"/>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4.1</w:t>
                  </w:r>
                  <w:r>
                    <w:rPr>
                      <w:rFonts w:hint="eastAsia" w:ascii="Times New Roman" w:hAnsi="Times New Roman" w:eastAsia="宋体" w:cs="Times New Roman"/>
                      <w:color w:val="auto"/>
                      <w:sz w:val="21"/>
                      <w:szCs w:val="21"/>
                      <w:lang w:val="en-US" w:eastAsia="zh-CN"/>
                    </w:rPr>
                    <w:t>t/a</w:t>
                  </w:r>
                </w:p>
              </w:tc>
              <w:tc>
                <w:tcPr>
                  <w:tcW w:w="502" w:type="pct"/>
                  <w:tcBorders>
                    <w:tl2br w:val="nil"/>
                    <w:tr2bl w:val="nil"/>
                  </w:tcBorders>
                  <w:vAlign w:val="center"/>
                </w:tcPr>
                <w:p>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垃圾船</w:t>
                  </w:r>
                </w:p>
              </w:tc>
              <w:tc>
                <w:tcPr>
                  <w:tcW w:w="695" w:type="pct"/>
                  <w:tcBorders>
                    <w:tl2br w:val="nil"/>
                    <w:tr2bl w:val="nil"/>
                  </w:tcBorders>
                  <w:vAlign w:val="center"/>
                </w:tcPr>
                <w:p>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环卫部门定期清运处置</w:t>
                  </w:r>
                </w:p>
              </w:tc>
            </w:tr>
          </w:tbl>
          <w:p>
            <w:pPr>
              <w:keepNext w:val="0"/>
              <w:keepLines w:val="0"/>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default" w:ascii="Times New Roman" w:hAnsi="Times New Roman" w:eastAsia="宋体" w:cs="Times New Roman"/>
                <w:b w:val="0"/>
                <w:bCs/>
                <w:color w:val="auto"/>
                <w:kern w:val="0"/>
                <w:sz w:val="24"/>
                <w:lang w:val="en-US" w:eastAsia="zh-CN"/>
              </w:rPr>
            </w:pPr>
          </w:p>
          <w:p>
            <w:pPr>
              <w:keepNext w:val="0"/>
              <w:keepLines w:val="0"/>
              <w:widowControl/>
              <w:suppressLineNumbers w:val="0"/>
              <w:ind w:left="0" w:leftChars="0" w:firstLine="480" w:firstLineChars="200"/>
              <w:jc w:val="left"/>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综上，本项目固废均得到妥善处置，不会对周边环境产生二次污染，对环境影响较小。</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b w:val="0"/>
                <w:bCs/>
                <w:color w:val="auto"/>
                <w:kern w:val="0"/>
                <w:sz w:val="24"/>
                <w:lang w:val="en-US" w:eastAsia="zh-CN"/>
              </w:rPr>
            </w:pPr>
            <w:r>
              <w:rPr>
                <w:rFonts w:hint="default" w:ascii="Times New Roman" w:hAnsi="Times New Roman" w:eastAsia="宋体" w:cs="Times New Roman"/>
                <w:b w:val="0"/>
                <w:bCs/>
                <w:color w:val="auto"/>
                <w:kern w:val="0"/>
                <w:sz w:val="24"/>
                <w:lang w:val="en-US" w:eastAsia="zh-CN"/>
              </w:rPr>
              <w:t>本项目要求设置危废暂存间用于临时储存危废，运营过程中，对暂存的危险废物，要按照国家有关规定，认真执行向环保行政主管部门申报制度及危险废物转移联单制度。危险废物暂存间设置要求如下：</w:t>
            </w:r>
          </w:p>
          <w:p>
            <w:pPr>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jc w:val="both"/>
              <w:textAlignment w:val="auto"/>
              <w:rPr>
                <w:rFonts w:hint="default" w:ascii="Times New Roman" w:hAnsi="Times New Roman" w:eastAsia="宋体" w:cs="Times New Roman"/>
                <w:b w:val="0"/>
                <w:bCs/>
                <w:color w:val="auto"/>
                <w:kern w:val="0"/>
                <w:sz w:val="24"/>
                <w:lang w:val="en-US" w:eastAsia="zh-CN"/>
              </w:rPr>
            </w:pPr>
            <w:r>
              <w:rPr>
                <w:rFonts w:hint="default" w:ascii="Times New Roman" w:hAnsi="Times New Roman" w:eastAsia="宋体" w:cs="Times New Roman"/>
                <w:b w:val="0"/>
                <w:bCs/>
                <w:color w:val="auto"/>
                <w:kern w:val="0"/>
                <w:sz w:val="24"/>
                <w:lang w:val="en-US" w:eastAsia="zh-CN"/>
              </w:rPr>
              <w:t>生成危险废物的工序，必须设置专用的危险废物收集容器，产生的危险废物随时放置在容器中，绝不能和其他废物一起混合收集，定期运往危险废物暂存场所。委托处置的危险废物应定期交由危险废物处置单位处置。危险废物在暂存场所内不能存储1年以上。</w:t>
            </w:r>
          </w:p>
          <w:p>
            <w:pPr>
              <w:widowControl w:val="0"/>
              <w:wordWrap w:val="0"/>
              <w:spacing w:line="360" w:lineRule="auto"/>
              <w:ind w:left="0" w:leftChars="0" w:firstLine="0" w:firstLineChars="0"/>
              <w:jc w:val="both"/>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4.</w:t>
            </w:r>
            <w:r>
              <w:rPr>
                <w:rFonts w:hint="eastAsia" w:ascii="Times New Roman" w:hAnsi="Times New Roman" w:eastAsia="宋体" w:cs="Times New Roman"/>
                <w:b/>
                <w:bCs/>
                <w:color w:val="auto"/>
                <w:kern w:val="2"/>
                <w:sz w:val="24"/>
                <w:szCs w:val="24"/>
                <w:lang w:val="en-US" w:eastAsia="zh-CN" w:bidi="ar-SA"/>
              </w:rPr>
              <w:t>2</w:t>
            </w:r>
            <w:r>
              <w:rPr>
                <w:rFonts w:hint="default" w:ascii="Times New Roman" w:hAnsi="Times New Roman" w:eastAsia="宋体" w:cs="Times New Roman"/>
                <w:b/>
                <w:bCs/>
                <w:color w:val="auto"/>
                <w:kern w:val="2"/>
                <w:sz w:val="24"/>
                <w:szCs w:val="24"/>
                <w:lang w:val="en-US" w:eastAsia="zh-CN" w:bidi="ar-SA"/>
              </w:rPr>
              <w:t>危废暂存间建设可行性分析</w:t>
            </w:r>
          </w:p>
          <w:p>
            <w:pPr>
              <w:widowControl w:val="0"/>
              <w:wordWrap w:val="0"/>
              <w:spacing w:line="360" w:lineRule="auto"/>
              <w:ind w:firstLine="480" w:firstLineChars="200"/>
              <w:jc w:val="both"/>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根据《危险废物贮存污染控制标准》（GB18597-2023）符合性分析如下</w:t>
            </w:r>
            <w:r>
              <w:rPr>
                <w:rFonts w:hint="eastAsia" w:cs="Times New Roman"/>
                <w:color w:val="auto"/>
                <w:kern w:val="2"/>
                <w:sz w:val="24"/>
                <w:szCs w:val="24"/>
                <w:lang w:val="en-US" w:eastAsia="zh-CN" w:bidi="ar-SA"/>
              </w:rPr>
              <w:t>表4-15</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lang w:val="en-US" w:eastAsia="zh-CN"/>
              </w:rPr>
              <w:t>表4-1</w:t>
            </w:r>
            <w:r>
              <w:rPr>
                <w:rFonts w:hint="eastAsia" w:cs="Times New Roman"/>
                <w:b/>
                <w:bCs/>
                <w:color w:val="auto"/>
                <w:sz w:val="21"/>
                <w:szCs w:val="21"/>
                <w:highlight w:val="none"/>
                <w:lang w:val="en-US" w:eastAsia="zh-CN"/>
              </w:rPr>
              <w:t xml:space="preserve">5   </w:t>
            </w:r>
            <w:r>
              <w:rPr>
                <w:rFonts w:hint="default" w:ascii="Times New Roman" w:hAnsi="Times New Roman" w:eastAsia="宋体" w:cs="Times New Roman"/>
                <w:b/>
                <w:bCs/>
                <w:color w:val="auto"/>
                <w:sz w:val="21"/>
                <w:szCs w:val="21"/>
                <w:highlight w:val="none"/>
                <w:lang w:val="en-US" w:eastAsia="zh-CN"/>
              </w:rPr>
              <w:t>本</w:t>
            </w:r>
            <w:r>
              <w:rPr>
                <w:rFonts w:hint="default" w:ascii="Times New Roman" w:hAnsi="Times New Roman" w:eastAsia="宋体" w:cs="Times New Roman"/>
                <w:b/>
                <w:bCs/>
                <w:color w:val="auto"/>
                <w:sz w:val="21"/>
                <w:szCs w:val="21"/>
                <w:lang w:val="en-US" w:eastAsia="zh-CN"/>
              </w:rPr>
              <w:t>项目固体废物排放对比一览表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361"/>
              <w:gridCol w:w="211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noWrap w:val="0"/>
                  <w:vAlign w:val="center"/>
                </w:tcPr>
                <w:p>
                  <w:pPr>
                    <w:widowControl w:val="0"/>
                    <w:shd w:val="clear" w:color="auto" w:fill="auto"/>
                    <w:spacing w:after="80" w:line="240" w:lineRule="auto"/>
                    <w:ind w:left="0" w:leftChars="0" w:firstLine="0" w:firstLineChars="0"/>
                    <w:jc w:val="center"/>
                    <w:rPr>
                      <w:rFonts w:hint="default" w:ascii="Times New Roman" w:hAnsi="Times New Roman" w:eastAsia="宋体" w:cs="Times New Roman"/>
                      <w:b/>
                      <w:bCs/>
                      <w:color w:val="auto"/>
                      <w:kern w:val="2"/>
                      <w:sz w:val="21"/>
                      <w:szCs w:val="21"/>
                      <w:u w:val="none"/>
                      <w:shd w:val="clear" w:color="auto" w:fill="FFFFFF"/>
                      <w:lang w:val="en-US" w:eastAsia="zh-CN" w:bidi="zh-TW"/>
                    </w:rPr>
                  </w:pPr>
                  <w:r>
                    <w:rPr>
                      <w:rFonts w:hint="default" w:ascii="Times New Roman" w:hAnsi="Times New Roman" w:eastAsia="宋体" w:cs="Times New Roman"/>
                      <w:b/>
                      <w:bCs/>
                      <w:color w:val="auto"/>
                      <w:kern w:val="2"/>
                      <w:sz w:val="21"/>
                      <w:szCs w:val="21"/>
                      <w:u w:val="none"/>
                      <w:shd w:val="clear" w:color="auto" w:fill="FFFFFF"/>
                      <w:lang w:val="en-US" w:eastAsia="zh-CN" w:bidi="zh-TW"/>
                    </w:rPr>
                    <w:t>标准</w:t>
                  </w:r>
                </w:p>
              </w:tc>
              <w:tc>
                <w:tcPr>
                  <w:tcW w:w="2933" w:type="pct"/>
                  <w:noWrap w:val="0"/>
                  <w:vAlign w:val="center"/>
                </w:tcPr>
                <w:p>
                  <w:pPr>
                    <w:widowControl w:val="0"/>
                    <w:shd w:val="clear" w:color="auto" w:fill="auto"/>
                    <w:spacing w:after="80" w:line="240" w:lineRule="auto"/>
                    <w:ind w:left="0" w:leftChars="0" w:firstLine="0" w:firstLineChars="0"/>
                    <w:jc w:val="center"/>
                    <w:rPr>
                      <w:rFonts w:hint="default" w:ascii="Times New Roman" w:hAnsi="Times New Roman" w:eastAsia="宋体" w:cs="Times New Roman"/>
                      <w:b/>
                      <w:bCs/>
                      <w:color w:val="auto"/>
                      <w:kern w:val="2"/>
                      <w:sz w:val="21"/>
                      <w:szCs w:val="21"/>
                      <w:u w:val="none"/>
                      <w:shd w:val="clear" w:color="auto" w:fill="FFFFFF"/>
                      <w:lang w:val="en-US" w:eastAsia="zh-CN" w:bidi="zh-TW"/>
                    </w:rPr>
                  </w:pPr>
                  <w:r>
                    <w:rPr>
                      <w:rFonts w:hint="default" w:ascii="Times New Roman" w:hAnsi="Times New Roman" w:eastAsia="宋体" w:cs="Times New Roman"/>
                      <w:b/>
                      <w:bCs/>
                      <w:color w:val="auto"/>
                      <w:kern w:val="2"/>
                      <w:sz w:val="21"/>
                      <w:szCs w:val="21"/>
                      <w:u w:val="none"/>
                      <w:shd w:val="clear" w:color="auto" w:fill="FFFFFF"/>
                      <w:lang w:val="en-US" w:eastAsia="zh-CN" w:bidi="zh-TW"/>
                    </w:rPr>
                    <w:t>要求</w:t>
                  </w:r>
                </w:p>
              </w:tc>
              <w:tc>
                <w:tcPr>
                  <w:tcW w:w="1158" w:type="pct"/>
                  <w:noWrap w:val="0"/>
                  <w:vAlign w:val="center"/>
                </w:tcPr>
                <w:p>
                  <w:pPr>
                    <w:widowControl w:val="0"/>
                    <w:shd w:val="clear" w:color="auto" w:fill="auto"/>
                    <w:spacing w:after="80" w:line="240" w:lineRule="auto"/>
                    <w:ind w:left="0" w:leftChars="0" w:firstLine="0" w:firstLineChars="0"/>
                    <w:jc w:val="center"/>
                    <w:rPr>
                      <w:rFonts w:hint="default" w:ascii="Times New Roman" w:hAnsi="Times New Roman" w:eastAsia="宋体" w:cs="Times New Roman"/>
                      <w:b/>
                      <w:bCs/>
                      <w:color w:val="auto"/>
                      <w:kern w:val="2"/>
                      <w:sz w:val="21"/>
                      <w:szCs w:val="21"/>
                      <w:u w:val="none"/>
                      <w:shd w:val="clear" w:color="auto" w:fill="FFFFFF"/>
                      <w:lang w:val="en-US" w:eastAsia="zh-CN" w:bidi="zh-TW"/>
                    </w:rPr>
                  </w:pPr>
                  <w:r>
                    <w:rPr>
                      <w:rFonts w:hint="default" w:ascii="Times New Roman" w:hAnsi="Times New Roman" w:eastAsia="宋体" w:cs="Times New Roman"/>
                      <w:b/>
                      <w:bCs/>
                      <w:color w:val="auto"/>
                      <w:kern w:val="2"/>
                      <w:sz w:val="21"/>
                      <w:szCs w:val="21"/>
                      <w:u w:val="none"/>
                      <w:shd w:val="clear" w:color="auto" w:fill="FFFFFF"/>
                      <w:lang w:val="en-US" w:eastAsia="zh-CN" w:bidi="zh-TW"/>
                    </w:rPr>
                    <w:t>建设内容</w:t>
                  </w:r>
                </w:p>
              </w:tc>
              <w:tc>
                <w:tcPr>
                  <w:tcW w:w="529" w:type="pct"/>
                  <w:noWrap w:val="0"/>
                  <w:vAlign w:val="center"/>
                </w:tcPr>
                <w:p>
                  <w:pPr>
                    <w:widowControl w:val="0"/>
                    <w:shd w:val="clear" w:color="auto" w:fill="auto"/>
                    <w:spacing w:after="80" w:line="240" w:lineRule="auto"/>
                    <w:ind w:left="0" w:leftChars="0" w:firstLine="0" w:firstLineChars="0"/>
                    <w:jc w:val="center"/>
                    <w:rPr>
                      <w:rFonts w:hint="default" w:ascii="Times New Roman" w:hAnsi="Times New Roman" w:eastAsia="宋体" w:cs="Times New Roman"/>
                      <w:b/>
                      <w:bCs/>
                      <w:color w:val="auto"/>
                      <w:kern w:val="2"/>
                      <w:sz w:val="21"/>
                      <w:szCs w:val="21"/>
                      <w:u w:val="none"/>
                      <w:shd w:val="clear" w:color="auto" w:fill="FFFFFF"/>
                      <w:lang w:val="en-US" w:eastAsia="zh-CN" w:bidi="zh-TW"/>
                    </w:rPr>
                  </w:pPr>
                  <w:r>
                    <w:rPr>
                      <w:rFonts w:hint="default" w:ascii="Times New Roman" w:hAnsi="Times New Roman" w:eastAsia="宋体" w:cs="Times New Roman"/>
                      <w:b/>
                      <w:bCs/>
                      <w:color w:val="auto"/>
                      <w:kern w:val="2"/>
                      <w:sz w:val="21"/>
                      <w:szCs w:val="21"/>
                      <w:u w:val="none"/>
                      <w:shd w:val="clear" w:color="auto" w:fill="FFFFFF"/>
                      <w:lang w:val="en-US" w:eastAsia="zh-CN" w:bidi="zh-TW"/>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vMerge w:val="restart"/>
                  <w:noWrap w:val="0"/>
                  <w:vAlign w:val="center"/>
                </w:tcPr>
                <w:p>
                  <w:pPr>
                    <w:widowControl w:val="0"/>
                    <w:wordWrap w:val="0"/>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lang w:val="en-US" w:eastAsia="zh-CN" w:bidi="ar-SA"/>
                    </w:rPr>
                    <w:t>《危险废物贮存污染控制标准》（GB18597-2023）</w:t>
                  </w:r>
                </w:p>
              </w:tc>
              <w:tc>
                <w:tcPr>
                  <w:tcW w:w="2933" w:type="pct"/>
                  <w:noWrap w:val="0"/>
                  <w:vAlign w:val="center"/>
                </w:tcPr>
                <w:p>
                  <w:pPr>
                    <w:widowControl w:val="0"/>
                    <w:wordWrap w:val="0"/>
                    <w:spacing w:line="240" w:lineRule="auto"/>
                    <w:ind w:firstLine="422" w:firstLineChars="20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lang w:val="en-US" w:eastAsia="zh-CN" w:bidi="ar-SA"/>
                    </w:rPr>
                    <w:t>总体要求</w:t>
                  </w:r>
                  <w:r>
                    <w:rPr>
                      <w:rFonts w:hint="default"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fldChar w:fldCharType="begin"/>
                  </w:r>
                  <w:r>
                    <w:rPr>
                      <w:rFonts w:hint="default" w:ascii="Times New Roman" w:hAnsi="Times New Roman" w:eastAsia="宋体" w:cs="Times New Roman"/>
                      <w:color w:val="auto"/>
                      <w:kern w:val="2"/>
                      <w:sz w:val="21"/>
                      <w:szCs w:val="21"/>
                      <w:lang w:val="en-US" w:eastAsia="zh-CN" w:bidi="ar-SA"/>
                    </w:rPr>
                    <w:instrText xml:space="preserve"> = 1 \* GB3 </w:instrText>
                  </w:r>
                  <w:r>
                    <w:rPr>
                      <w:rFonts w:hint="default" w:ascii="Times New Roman" w:hAnsi="Times New Roman" w:eastAsia="宋体" w:cs="Times New Roman"/>
                      <w:color w:val="auto"/>
                      <w:kern w:val="2"/>
                      <w:sz w:val="21"/>
                      <w:szCs w:val="21"/>
                      <w:lang w:val="en-US" w:eastAsia="zh-CN" w:bidi="ar-SA"/>
                    </w:rPr>
                    <w:fldChar w:fldCharType="separate"/>
                  </w:r>
                  <w:r>
                    <w:rPr>
                      <w:rFonts w:hint="default" w:ascii="Times New Roman" w:hAnsi="Times New Roman" w:eastAsia="宋体" w:cs="Times New Roman"/>
                      <w:color w:val="auto"/>
                      <w:kern w:val="2"/>
                      <w:sz w:val="21"/>
                      <w:szCs w:val="21"/>
                      <w:lang w:val="en-US" w:eastAsia="zh-CN" w:bidi="ar-SA"/>
                    </w:rPr>
                    <w:t>①</w:t>
                  </w:r>
                  <w:r>
                    <w:rPr>
                      <w:rFonts w:hint="default" w:ascii="Times New Roman" w:hAnsi="Times New Roman" w:eastAsia="宋体" w:cs="Times New Roman"/>
                      <w:color w:val="auto"/>
                      <w:kern w:val="2"/>
                      <w:sz w:val="21"/>
                      <w:szCs w:val="21"/>
                      <w:lang w:val="en-US" w:eastAsia="zh-CN" w:bidi="ar-SA"/>
                    </w:rPr>
                    <w:fldChar w:fldCharType="end"/>
                  </w:r>
                  <w:r>
                    <w:rPr>
                      <w:rFonts w:hint="default" w:ascii="Times New Roman" w:hAnsi="Times New Roman" w:eastAsia="宋体" w:cs="Times New Roman"/>
                      <w:color w:val="auto"/>
                      <w:kern w:val="2"/>
                      <w:sz w:val="21"/>
                      <w:szCs w:val="21"/>
                      <w:lang w:val="en-US" w:eastAsia="zh-CN" w:bidi="ar-SA"/>
                    </w:rPr>
                    <w:t>产生、收集、贮存、利用、处置危险废物的单位应建造危险废物贮存设施或设置贮存场所，并根据需要选择贮存设施类型。</w:t>
                  </w:r>
                  <w:r>
                    <w:rPr>
                      <w:rFonts w:hint="default" w:ascii="Times New Roman" w:hAnsi="Times New Roman" w:eastAsia="宋体" w:cs="Times New Roman"/>
                      <w:color w:val="auto"/>
                      <w:kern w:val="2"/>
                      <w:sz w:val="21"/>
                      <w:szCs w:val="21"/>
                      <w:lang w:val="en-US" w:eastAsia="zh-CN" w:bidi="ar-SA"/>
                    </w:rPr>
                    <w:fldChar w:fldCharType="begin"/>
                  </w:r>
                  <w:r>
                    <w:rPr>
                      <w:rFonts w:hint="default" w:ascii="Times New Roman" w:hAnsi="Times New Roman" w:eastAsia="宋体" w:cs="Times New Roman"/>
                      <w:color w:val="auto"/>
                      <w:kern w:val="2"/>
                      <w:sz w:val="21"/>
                      <w:szCs w:val="21"/>
                      <w:lang w:val="en-US" w:eastAsia="zh-CN" w:bidi="ar-SA"/>
                    </w:rPr>
                    <w:instrText xml:space="preserve"> = 2 \* GB3 </w:instrText>
                  </w:r>
                  <w:r>
                    <w:rPr>
                      <w:rFonts w:hint="default" w:ascii="Times New Roman" w:hAnsi="Times New Roman" w:eastAsia="宋体" w:cs="Times New Roman"/>
                      <w:color w:val="auto"/>
                      <w:kern w:val="2"/>
                      <w:sz w:val="21"/>
                      <w:szCs w:val="21"/>
                      <w:lang w:val="en-US" w:eastAsia="zh-CN" w:bidi="ar-SA"/>
                    </w:rPr>
                    <w:fldChar w:fldCharType="separate"/>
                  </w:r>
                  <w:r>
                    <w:rPr>
                      <w:rFonts w:hint="default" w:ascii="Times New Roman" w:hAnsi="Times New Roman" w:eastAsia="宋体" w:cs="Times New Roman"/>
                      <w:color w:val="auto"/>
                      <w:kern w:val="2"/>
                      <w:sz w:val="21"/>
                      <w:szCs w:val="21"/>
                      <w:lang w:val="en-US" w:eastAsia="zh-CN" w:bidi="ar-SA"/>
                    </w:rPr>
                    <w:t>②</w:t>
                  </w:r>
                  <w:r>
                    <w:rPr>
                      <w:rFonts w:hint="default" w:ascii="Times New Roman" w:hAnsi="Times New Roman" w:eastAsia="宋体" w:cs="Times New Roman"/>
                      <w:color w:val="auto"/>
                      <w:kern w:val="2"/>
                      <w:sz w:val="21"/>
                      <w:szCs w:val="21"/>
                      <w:lang w:val="en-US" w:eastAsia="zh-CN" w:bidi="ar-SA"/>
                    </w:rPr>
                    <w:fldChar w:fldCharType="end"/>
                  </w:r>
                  <w:r>
                    <w:rPr>
                      <w:rFonts w:hint="default" w:ascii="Times New Roman" w:hAnsi="Times New Roman" w:eastAsia="宋体" w:cs="Times New Roman"/>
                      <w:color w:val="auto"/>
                      <w:kern w:val="2"/>
                      <w:sz w:val="21"/>
                      <w:szCs w:val="21"/>
                      <w:lang w:val="en-US" w:eastAsia="zh-CN" w:bidi="ar-SA"/>
                    </w:rPr>
                    <w:t>贮存危险废物应根据危险废物的类别、数量、形态、物理化学性质和环境风险等因素，确定贮存设施或场所类型和规模。</w:t>
                  </w:r>
                  <w:r>
                    <w:rPr>
                      <w:rFonts w:hint="default" w:ascii="Times New Roman" w:hAnsi="Times New Roman" w:eastAsia="宋体" w:cs="Times New Roman"/>
                      <w:color w:val="auto"/>
                      <w:kern w:val="2"/>
                      <w:sz w:val="21"/>
                      <w:szCs w:val="21"/>
                      <w:lang w:val="en-US" w:eastAsia="zh-CN" w:bidi="ar-SA"/>
                    </w:rPr>
                    <w:fldChar w:fldCharType="begin"/>
                  </w:r>
                  <w:r>
                    <w:rPr>
                      <w:rFonts w:hint="default" w:ascii="Times New Roman" w:hAnsi="Times New Roman" w:eastAsia="宋体" w:cs="Times New Roman"/>
                      <w:color w:val="auto"/>
                      <w:kern w:val="2"/>
                      <w:sz w:val="21"/>
                      <w:szCs w:val="21"/>
                      <w:lang w:val="en-US" w:eastAsia="zh-CN" w:bidi="ar-SA"/>
                    </w:rPr>
                    <w:instrText xml:space="preserve"> = 3 \* GB3 </w:instrText>
                  </w:r>
                  <w:r>
                    <w:rPr>
                      <w:rFonts w:hint="default" w:ascii="Times New Roman" w:hAnsi="Times New Roman" w:eastAsia="宋体" w:cs="Times New Roman"/>
                      <w:color w:val="auto"/>
                      <w:kern w:val="2"/>
                      <w:sz w:val="21"/>
                      <w:szCs w:val="21"/>
                      <w:lang w:val="en-US" w:eastAsia="zh-CN" w:bidi="ar-SA"/>
                    </w:rPr>
                    <w:fldChar w:fldCharType="separate"/>
                  </w:r>
                  <w:r>
                    <w:rPr>
                      <w:rFonts w:hint="default" w:ascii="Times New Roman" w:hAnsi="Times New Roman" w:eastAsia="宋体" w:cs="Times New Roman"/>
                      <w:color w:val="auto"/>
                      <w:kern w:val="2"/>
                      <w:sz w:val="21"/>
                      <w:szCs w:val="21"/>
                      <w:lang w:val="en-US" w:eastAsia="zh-CN" w:bidi="ar-SA"/>
                    </w:rPr>
                    <w:t>③</w:t>
                  </w:r>
                  <w:r>
                    <w:rPr>
                      <w:rFonts w:hint="default" w:ascii="Times New Roman" w:hAnsi="Times New Roman" w:eastAsia="宋体" w:cs="Times New Roman"/>
                      <w:color w:val="auto"/>
                      <w:kern w:val="2"/>
                      <w:sz w:val="21"/>
                      <w:szCs w:val="21"/>
                      <w:lang w:val="en-US" w:eastAsia="zh-CN" w:bidi="ar-SA"/>
                    </w:rPr>
                    <w:fldChar w:fldCharType="end"/>
                  </w:r>
                  <w:r>
                    <w:rPr>
                      <w:rFonts w:hint="default" w:ascii="Times New Roman" w:hAnsi="Times New Roman" w:eastAsia="宋体" w:cs="Times New Roman"/>
                      <w:color w:val="auto"/>
                      <w:kern w:val="2"/>
                      <w:sz w:val="21"/>
                      <w:szCs w:val="21"/>
                      <w:lang w:val="en-US" w:eastAsia="zh-CN" w:bidi="ar-SA"/>
                    </w:rPr>
                    <w:t>贮存危险废物应根据危险废物的类别、形态、物理化学性质和污染防治要求进行分类贮存，且应避免危险废物与不相容的物质或材料接触。</w:t>
                  </w:r>
                  <w:r>
                    <w:rPr>
                      <w:rFonts w:hint="default" w:ascii="Times New Roman" w:hAnsi="Times New Roman" w:eastAsia="宋体" w:cs="Times New Roman"/>
                      <w:color w:val="auto"/>
                      <w:kern w:val="2"/>
                      <w:sz w:val="21"/>
                      <w:szCs w:val="21"/>
                      <w:lang w:val="en-US" w:eastAsia="zh-CN" w:bidi="ar-SA"/>
                    </w:rPr>
                    <w:fldChar w:fldCharType="begin"/>
                  </w:r>
                  <w:r>
                    <w:rPr>
                      <w:rFonts w:hint="default" w:ascii="Times New Roman" w:hAnsi="Times New Roman" w:eastAsia="宋体" w:cs="Times New Roman"/>
                      <w:color w:val="auto"/>
                      <w:kern w:val="2"/>
                      <w:sz w:val="21"/>
                      <w:szCs w:val="21"/>
                      <w:lang w:val="en-US" w:eastAsia="zh-CN" w:bidi="ar-SA"/>
                    </w:rPr>
                    <w:instrText xml:space="preserve"> = 4 \* GB3 </w:instrText>
                  </w:r>
                  <w:r>
                    <w:rPr>
                      <w:rFonts w:hint="default" w:ascii="Times New Roman" w:hAnsi="Times New Roman" w:eastAsia="宋体" w:cs="Times New Roman"/>
                      <w:color w:val="auto"/>
                      <w:kern w:val="2"/>
                      <w:sz w:val="21"/>
                      <w:szCs w:val="21"/>
                      <w:lang w:val="en-US" w:eastAsia="zh-CN" w:bidi="ar-SA"/>
                    </w:rPr>
                    <w:fldChar w:fldCharType="separate"/>
                  </w:r>
                  <w:r>
                    <w:rPr>
                      <w:rFonts w:hint="default" w:ascii="Times New Roman" w:hAnsi="Times New Roman" w:eastAsia="宋体" w:cs="Times New Roman"/>
                      <w:color w:val="auto"/>
                      <w:kern w:val="2"/>
                      <w:sz w:val="21"/>
                      <w:szCs w:val="21"/>
                      <w:lang w:val="en-US" w:eastAsia="zh-CN" w:bidi="ar-SA"/>
                    </w:rPr>
                    <w:t>④</w:t>
                  </w:r>
                  <w:r>
                    <w:rPr>
                      <w:rFonts w:hint="default" w:ascii="Times New Roman" w:hAnsi="Times New Roman" w:eastAsia="宋体" w:cs="Times New Roman"/>
                      <w:color w:val="auto"/>
                      <w:kern w:val="2"/>
                      <w:sz w:val="21"/>
                      <w:szCs w:val="21"/>
                      <w:lang w:val="en-US" w:eastAsia="zh-CN" w:bidi="ar-SA"/>
                    </w:rPr>
                    <w:fldChar w:fldCharType="end"/>
                  </w:r>
                  <w:r>
                    <w:rPr>
                      <w:rFonts w:hint="default" w:ascii="Times New Roman" w:hAnsi="Times New Roman" w:eastAsia="宋体" w:cs="Times New Roman"/>
                      <w:color w:val="auto"/>
                      <w:kern w:val="2"/>
                      <w:sz w:val="21"/>
                      <w:szCs w:val="21"/>
                      <w:lang w:val="en-US" w:eastAsia="zh-CN" w:bidi="ar-SA"/>
                    </w:rPr>
                    <w:t>贮存危险废物应根据危险废物的形态、物理化学性质、包装形式和污染物迁移途径，采取措施减少渗滤液及其衍生废物、渗漏的液态废物（简称渗漏液）、粉尘、VOCs、酸雾、有毒有害大气污染物和刺激性气味气体等污染物的产生，防止其污染环境。⑤危险废物贮存过程产生的液态废物和固态废物应分类收集，</w:t>
                  </w:r>
                  <w:r>
                    <w:rPr>
                      <w:rFonts w:hint="eastAsia" w:cs="Times New Roman"/>
                      <w:color w:val="auto"/>
                      <w:kern w:val="2"/>
                      <w:sz w:val="21"/>
                      <w:szCs w:val="21"/>
                      <w:lang w:val="en-US" w:eastAsia="zh-CN" w:bidi="ar-SA"/>
                    </w:rPr>
                    <w:t>按</w:t>
                  </w:r>
                  <w:r>
                    <w:rPr>
                      <w:rFonts w:hint="default" w:ascii="Times New Roman" w:hAnsi="Times New Roman" w:eastAsia="宋体" w:cs="Times New Roman"/>
                      <w:color w:val="auto"/>
                      <w:kern w:val="2"/>
                      <w:sz w:val="21"/>
                      <w:szCs w:val="21"/>
                      <w:lang w:val="en-US" w:eastAsia="zh-CN" w:bidi="ar-SA"/>
                    </w:rPr>
                    <w:t>环境管理要求妥善处理。⑥贮存设施或场所、容器和包装物应按HJ1276要求设置危险废物贮存设施或场所标志、危险废物贮存分区标志和危险废物标签等危险废物识别标志。⑦HJ1259规定的危险废物环境重点监管单位，应采用电子地磅、电子标签、电子管理台账等技术手段对危险废物贮存过程进行信息化管理，确保数据完整、真实、准确；采用视频监控的应确保监控画面清晰，视频记录保存时间至少为3个月⑧贮存设施退役时，所有者或运营者应依法履行环境保护责任，退役前应妥善处理处置贮存设施内剩余的危险废物，并对贮存设施进行清理，消除污染；还应依据土壤污染防治相关法律法规履行场地环境风险防控责任。⑨在常温常压下易爆、易燃及排出有毒气体的危险废物应进行预处理，使之稳定后贮存，否则应按易爆、易燃危险品贮存。⑩危险废物贮存除应满足环境保护相关要求外，还应执行国家安全生产、职业健康、交通运输、消防等法律法规和标准的相关要求。</w:t>
                  </w:r>
                </w:p>
              </w:tc>
              <w:tc>
                <w:tcPr>
                  <w:tcW w:w="1158" w:type="pct"/>
                  <w:noWrap w:val="0"/>
                  <w:vAlign w:val="center"/>
                </w:tcPr>
                <w:p>
                  <w:pPr>
                    <w:widowControl w:val="0"/>
                    <w:wordWrap w:val="0"/>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①本项目建设危废暂存间1间②</w:t>
                  </w:r>
                  <w:r>
                    <w:rPr>
                      <w:rFonts w:hint="default" w:ascii="Times New Roman" w:hAnsi="Times New Roman" w:eastAsia="宋体" w:cs="Times New Roman"/>
                      <w:color w:val="auto"/>
                      <w:kern w:val="2"/>
                      <w:sz w:val="21"/>
                      <w:szCs w:val="21"/>
                      <w:lang w:val="en-US" w:eastAsia="zh-CN" w:bidi="ar-SA"/>
                    </w:rPr>
                    <w:t>贮存危险废物应根据危险废物的类别、形态、物理化学性质和污染防治要求进行分类贮存；③地面防渗，并对产生有机废气的危废进行桶装加盖，液态气态分类存储；④贮存设施或场所、容器和包装物应按HJ1276要求设置危险废物贮存设施或场所标志、危险废物贮存分区标志和危险废物标签等危险废物识别标志。⑤本项目为非重点监管单位，因此无电子化系统。⑥危废交由有资质单位进行处置。⑦危险废物贮存除应满足环境保护相关要求外，还应执行国家安全生产、职业健康、交通运输、消防等法律法规和标准的相关要求。</w:t>
                  </w:r>
                </w:p>
              </w:tc>
              <w:tc>
                <w:tcPr>
                  <w:tcW w:w="529" w:type="pct"/>
                  <w:noWrap w:val="0"/>
                  <w:vAlign w:val="center"/>
                </w:tcPr>
                <w:p>
                  <w:pPr>
                    <w:widowControl w:val="0"/>
                    <w:wordWrap w:val="0"/>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vMerge w:val="continue"/>
                  <w:noWrap w:val="0"/>
                  <w:vAlign w:val="center"/>
                </w:tcPr>
                <w:p>
                  <w:pPr>
                    <w:widowControl w:val="0"/>
                    <w:wordWrap w:val="0"/>
                    <w:spacing w:line="240" w:lineRule="auto"/>
                    <w:ind w:firstLine="420" w:firstLineChars="200"/>
                    <w:jc w:val="center"/>
                    <w:rPr>
                      <w:rFonts w:hint="default" w:ascii="Times New Roman" w:hAnsi="Times New Roman" w:eastAsia="宋体" w:cs="Times New Roman"/>
                      <w:color w:val="0000FF"/>
                      <w:kern w:val="2"/>
                      <w:sz w:val="21"/>
                      <w:szCs w:val="21"/>
                      <w:vertAlign w:val="baseline"/>
                      <w:lang w:val="en-US" w:eastAsia="zh-CN" w:bidi="ar-SA"/>
                    </w:rPr>
                  </w:pPr>
                </w:p>
              </w:tc>
              <w:tc>
                <w:tcPr>
                  <w:tcW w:w="2933" w:type="pct"/>
                  <w:noWrap w:val="0"/>
                  <w:vAlign w:val="center"/>
                </w:tcPr>
                <w:p>
                  <w:pPr>
                    <w:keepNext w:val="0"/>
                    <w:keepLines w:val="0"/>
                    <w:widowControl/>
                    <w:suppressLineNumbers w:val="0"/>
                    <w:spacing w:line="240" w:lineRule="auto"/>
                    <w:ind w:firstLine="422" w:firstLineChars="20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lang w:val="en-US" w:eastAsia="zh-CN" w:bidi="ar-SA"/>
                    </w:rPr>
                    <w:t>贮存设施选址要求：</w:t>
                  </w:r>
                  <w:r>
                    <w:rPr>
                      <w:rFonts w:hint="default" w:ascii="Times New Roman" w:hAnsi="Times New Roman" w:eastAsia="宋体" w:cs="Times New Roman"/>
                      <w:color w:val="auto"/>
                      <w:kern w:val="2"/>
                      <w:sz w:val="21"/>
                      <w:szCs w:val="21"/>
                      <w:lang w:val="en-US" w:eastAsia="zh-CN" w:bidi="ar-SA"/>
                    </w:rPr>
                    <w:t>①贮存设施选址应满足生态环境保护法律法规、规划和“三线一单”生态环境分区管控的要求，建设项目应依法进行环境影响评价。②集中贮存设施不应选在生态保护红线区域、永久基本农田和其他需要特别保护的区域内，不应建在溶洞区或易遭受洪水、滑坡、泥石流、潮汐等严重自然灾害影响的地区。③贮存设施不应选在江河、湖泊、运河、渠道、水库及其最高水位线以下的滩地和岸坡，以及法律法规规定禁止贮存危险废物的其他地点。④贮存设施场址的位置以及其与周围环境敏感目标的距离应依据环境影响评价文件确定。</w:t>
                  </w:r>
                </w:p>
              </w:tc>
              <w:tc>
                <w:tcPr>
                  <w:tcW w:w="1158" w:type="pct"/>
                  <w:noWrap w:val="0"/>
                  <w:vAlign w:val="center"/>
                </w:tcPr>
                <w:p>
                  <w:pPr>
                    <w:widowControl w:val="0"/>
                    <w:wordWrap w:val="0"/>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位于</w:t>
                  </w:r>
                  <w:r>
                    <w:rPr>
                      <w:rFonts w:hint="eastAsia" w:ascii="Times New Roman" w:hAnsi="Times New Roman" w:eastAsia="宋体" w:cs="Times New Roman"/>
                      <w:color w:val="auto"/>
                      <w:kern w:val="2"/>
                      <w:sz w:val="21"/>
                      <w:szCs w:val="21"/>
                      <w:vertAlign w:val="baseline"/>
                      <w:lang w:val="en-US" w:eastAsia="zh-CN" w:bidi="ar-SA"/>
                    </w:rPr>
                    <w:t>工业园区</w:t>
                  </w:r>
                  <w:r>
                    <w:rPr>
                      <w:rFonts w:hint="default" w:ascii="Times New Roman" w:hAnsi="Times New Roman" w:eastAsia="宋体" w:cs="Times New Roman"/>
                      <w:color w:val="auto"/>
                      <w:kern w:val="2"/>
                      <w:sz w:val="21"/>
                      <w:szCs w:val="21"/>
                      <w:vertAlign w:val="baseline"/>
                      <w:lang w:val="en-US" w:eastAsia="zh-CN" w:bidi="ar-SA"/>
                    </w:rPr>
                    <w:t>无敏感点，符合选址要求。</w:t>
                  </w:r>
                </w:p>
              </w:tc>
              <w:tc>
                <w:tcPr>
                  <w:tcW w:w="529" w:type="pct"/>
                  <w:noWrap w:val="0"/>
                  <w:vAlign w:val="center"/>
                </w:tcPr>
                <w:p>
                  <w:pPr>
                    <w:widowControl w:val="0"/>
                    <w:wordWrap w:val="0"/>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vMerge w:val="continue"/>
                  <w:noWrap w:val="0"/>
                  <w:vAlign w:val="center"/>
                </w:tcPr>
                <w:p>
                  <w:pPr>
                    <w:widowControl w:val="0"/>
                    <w:wordWrap w:val="0"/>
                    <w:spacing w:line="240" w:lineRule="auto"/>
                    <w:ind w:firstLine="420" w:firstLineChars="200"/>
                    <w:jc w:val="center"/>
                    <w:rPr>
                      <w:rFonts w:hint="default" w:ascii="Times New Roman" w:hAnsi="Times New Roman" w:eastAsia="宋体" w:cs="Times New Roman"/>
                      <w:color w:val="0000FF"/>
                      <w:kern w:val="2"/>
                      <w:sz w:val="21"/>
                      <w:szCs w:val="21"/>
                      <w:vertAlign w:val="baseline"/>
                      <w:lang w:val="en-US" w:eastAsia="zh-CN" w:bidi="ar-SA"/>
                    </w:rPr>
                  </w:pPr>
                </w:p>
              </w:tc>
              <w:tc>
                <w:tcPr>
                  <w:tcW w:w="2933" w:type="pct"/>
                  <w:noWrap w:val="0"/>
                  <w:vAlign w:val="center"/>
                </w:tcPr>
                <w:p>
                  <w:pPr>
                    <w:keepNext w:val="0"/>
                    <w:keepLines w:val="0"/>
                    <w:widowControl/>
                    <w:suppressLineNumbers w:val="0"/>
                    <w:spacing w:line="240" w:lineRule="auto"/>
                    <w:ind w:firstLine="422" w:firstLineChars="20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lang w:val="en-US" w:eastAsia="zh-CN" w:bidi="ar-SA"/>
                    </w:rPr>
                    <w:t>贮存设施污染控制要求</w:t>
                  </w:r>
                  <w:r>
                    <w:rPr>
                      <w:rFonts w:hint="default" w:ascii="Times New Roman" w:hAnsi="Times New Roman" w:eastAsia="宋体" w:cs="Times New Roman"/>
                      <w:color w:val="auto"/>
                      <w:kern w:val="2"/>
                      <w:sz w:val="21"/>
                      <w:szCs w:val="21"/>
                      <w:lang w:val="en-US" w:eastAsia="zh-CN" w:bidi="ar-SA"/>
                    </w:rPr>
                    <w:t>：①贮存设施应根据危险废物的形态、物理化学性质、包装形式和污染物迁移途径，采取必要的防风、防晒、防雨、防漏、防渗、防腐以及其他环境污染防治措施，不应露天堆放危险废物。②贮存设施应根据危险废物的类别、数量、形态、物理化学性质和污染防治等要求设置必要的贮存分区，避免不相容的危险废物接触、混合。③贮存设施或贮存分区内地面、墙面裙脚、堵截泄漏的围堰、接触危险废物的隔板和墙体等应采用坚固的材料建造，表面无裂缝。④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default" w:ascii="Times New Roman" w:hAnsi="Times New Roman" w:eastAsia="宋体" w:cs="Times New Roman"/>
                      <w:color w:val="auto"/>
                      <w:kern w:val="2"/>
                      <w:sz w:val="21"/>
                      <w:szCs w:val="21"/>
                      <w:vertAlign w:val="superscript"/>
                      <w:lang w:val="en-US" w:eastAsia="zh-CN" w:bidi="ar-SA"/>
                    </w:rPr>
                    <w:t>-7</w:t>
                  </w:r>
                  <w:r>
                    <w:rPr>
                      <w:rFonts w:hint="default" w:ascii="Times New Roman" w:hAnsi="Times New Roman" w:eastAsia="宋体" w:cs="Times New Roman"/>
                      <w:color w:val="auto"/>
                      <w:kern w:val="2"/>
                      <w:sz w:val="21"/>
                      <w:szCs w:val="21"/>
                      <w:lang w:val="en-US" w:eastAsia="zh-CN" w:bidi="ar-SA"/>
                    </w:rPr>
                    <w:t>cm/s），或至少2mm厚高密度聚乙烯膜等人工防渗材料（渗透系数不大于10</w:t>
                  </w:r>
                  <w:r>
                    <w:rPr>
                      <w:rFonts w:hint="default" w:ascii="Times New Roman" w:hAnsi="Times New Roman" w:eastAsia="宋体" w:cs="Times New Roman"/>
                      <w:color w:val="auto"/>
                      <w:kern w:val="2"/>
                      <w:sz w:val="21"/>
                      <w:szCs w:val="21"/>
                      <w:vertAlign w:val="superscript"/>
                      <w:lang w:val="en-US" w:eastAsia="zh-CN" w:bidi="ar-SA"/>
                    </w:rPr>
                    <w:t>-10</w:t>
                  </w:r>
                  <w:r>
                    <w:rPr>
                      <w:rFonts w:hint="default" w:ascii="Times New Roman" w:hAnsi="Times New Roman" w:eastAsia="宋体" w:cs="Times New Roman"/>
                      <w:color w:val="auto"/>
                      <w:kern w:val="2"/>
                      <w:sz w:val="21"/>
                      <w:szCs w:val="21"/>
                      <w:lang w:val="en-US" w:eastAsia="zh-CN" w:bidi="ar-SA"/>
                    </w:rPr>
                    <w:t>cm/s），或其他防渗性能等效的材料。⑤同一贮存设施宜采用相同的防渗、防腐工艺（包括防渗、防腐结构或材料），防渗、防腐材料应覆盖所有可能与废物及其渗滤液、渗漏液等接触的构筑物表面；采用不同防渗、防腐工艺应分别建设贮存分区。⑥贮存设施应采取技术和管理措施防止无关人员进入。</w:t>
                  </w:r>
                </w:p>
              </w:tc>
              <w:tc>
                <w:tcPr>
                  <w:tcW w:w="1158" w:type="pct"/>
                  <w:noWrap w:val="0"/>
                  <w:vAlign w:val="center"/>
                </w:tcPr>
                <w:p>
                  <w:pPr>
                    <w:widowControl w:val="0"/>
                    <w:wordWrap w:val="0"/>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①危废间为密闭间，按照采取防渗措施</w:t>
                  </w:r>
                  <w:r>
                    <w:rPr>
                      <w:rFonts w:hint="default" w:ascii="Times New Roman" w:hAnsi="Times New Roman" w:eastAsia="宋体" w:cs="Times New Roman"/>
                      <w:color w:val="auto"/>
                      <w:kern w:val="2"/>
                      <w:sz w:val="21"/>
                      <w:szCs w:val="21"/>
                      <w:lang w:val="en-US" w:eastAsia="zh-CN" w:bidi="ar-SA"/>
                    </w:rPr>
                    <w:t>。②</w:t>
                  </w:r>
                  <w:r>
                    <w:rPr>
                      <w:rFonts w:hint="eastAsia" w:cs="Times New Roman"/>
                      <w:color w:val="auto"/>
                      <w:kern w:val="2"/>
                      <w:sz w:val="21"/>
                      <w:szCs w:val="21"/>
                      <w:lang w:val="en-US" w:eastAsia="zh-CN" w:bidi="ar-SA"/>
                    </w:rPr>
                    <w:t>对危险废物进行分区储存</w:t>
                  </w:r>
                  <w:r>
                    <w:rPr>
                      <w:rFonts w:hint="default" w:ascii="Times New Roman" w:hAnsi="Times New Roman" w:eastAsia="宋体" w:cs="Times New Roman"/>
                      <w:color w:val="auto"/>
                      <w:kern w:val="2"/>
                      <w:sz w:val="21"/>
                      <w:szCs w:val="21"/>
                      <w:lang w:val="en-US" w:eastAsia="zh-CN" w:bidi="ar-SA"/>
                    </w:rPr>
                    <w:t>。③贮存设施地面与裙脚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default" w:ascii="Times New Roman" w:hAnsi="Times New Roman" w:eastAsia="宋体" w:cs="Times New Roman"/>
                      <w:color w:val="auto"/>
                      <w:kern w:val="2"/>
                      <w:sz w:val="21"/>
                      <w:szCs w:val="21"/>
                      <w:vertAlign w:val="superscript"/>
                      <w:lang w:val="en-US" w:eastAsia="zh-CN" w:bidi="ar-SA"/>
                    </w:rPr>
                    <w:t>-7</w:t>
                  </w:r>
                  <w:r>
                    <w:rPr>
                      <w:rFonts w:hint="default" w:ascii="Times New Roman" w:hAnsi="Times New Roman" w:eastAsia="宋体" w:cs="Times New Roman"/>
                      <w:color w:val="auto"/>
                      <w:kern w:val="2"/>
                      <w:sz w:val="21"/>
                      <w:szCs w:val="21"/>
                      <w:lang w:val="en-US" w:eastAsia="zh-CN" w:bidi="ar-SA"/>
                    </w:rPr>
                    <w:t>cm/s），或至少2mm厚高密度聚乙烯膜等人工防渗材料（渗透系数不大于10</w:t>
                  </w:r>
                  <w:r>
                    <w:rPr>
                      <w:rFonts w:hint="default" w:ascii="Times New Roman" w:hAnsi="Times New Roman" w:eastAsia="宋体" w:cs="Times New Roman"/>
                      <w:color w:val="auto"/>
                      <w:kern w:val="2"/>
                      <w:sz w:val="21"/>
                      <w:szCs w:val="21"/>
                      <w:vertAlign w:val="superscript"/>
                      <w:lang w:val="en-US" w:eastAsia="zh-CN" w:bidi="ar-SA"/>
                    </w:rPr>
                    <w:t>-10</w:t>
                  </w:r>
                  <w:r>
                    <w:rPr>
                      <w:rFonts w:hint="default" w:ascii="Times New Roman" w:hAnsi="Times New Roman" w:eastAsia="宋体" w:cs="Times New Roman"/>
                      <w:color w:val="auto"/>
                      <w:kern w:val="2"/>
                      <w:sz w:val="21"/>
                      <w:szCs w:val="21"/>
                      <w:lang w:val="en-US" w:eastAsia="zh-CN" w:bidi="ar-SA"/>
                    </w:rPr>
                    <w:t>cm/s），或其他防渗性能等效的材料。</w:t>
                  </w:r>
                </w:p>
              </w:tc>
              <w:tc>
                <w:tcPr>
                  <w:tcW w:w="529" w:type="pct"/>
                  <w:noWrap w:val="0"/>
                  <w:vAlign w:val="center"/>
                </w:tcPr>
                <w:p>
                  <w:pPr>
                    <w:widowControl w:val="0"/>
                    <w:wordWrap w:val="0"/>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pct"/>
                  <w:vMerge w:val="continue"/>
                  <w:noWrap w:val="0"/>
                  <w:vAlign w:val="center"/>
                </w:tcPr>
                <w:p>
                  <w:pPr>
                    <w:widowControl w:val="0"/>
                    <w:wordWrap w:val="0"/>
                    <w:spacing w:line="240" w:lineRule="auto"/>
                    <w:ind w:firstLine="420" w:firstLineChars="200"/>
                    <w:jc w:val="center"/>
                    <w:rPr>
                      <w:rFonts w:hint="default" w:ascii="Times New Roman" w:hAnsi="Times New Roman" w:eastAsia="宋体" w:cs="Times New Roman"/>
                      <w:color w:val="auto"/>
                      <w:kern w:val="2"/>
                      <w:sz w:val="21"/>
                      <w:szCs w:val="21"/>
                      <w:vertAlign w:val="baseline"/>
                      <w:lang w:val="en-US" w:eastAsia="zh-CN" w:bidi="ar-SA"/>
                    </w:rPr>
                  </w:pPr>
                </w:p>
              </w:tc>
              <w:tc>
                <w:tcPr>
                  <w:tcW w:w="2933" w:type="pct"/>
                  <w:noWrap w:val="0"/>
                  <w:vAlign w:val="center"/>
                </w:tcPr>
                <w:p>
                  <w:pPr>
                    <w:widowControl w:val="0"/>
                    <w:wordWrap w:val="0"/>
                    <w:spacing w:line="240" w:lineRule="auto"/>
                    <w:ind w:firstLine="422" w:firstLineChars="20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lang w:val="en-US" w:eastAsia="zh-CN" w:bidi="ar-SA"/>
                    </w:rPr>
                    <w:t>贮存库：</w:t>
                  </w:r>
                  <w:r>
                    <w:rPr>
                      <w:rFonts w:hint="default" w:ascii="Times New Roman" w:hAnsi="Times New Roman" w:eastAsia="宋体" w:cs="Times New Roman"/>
                      <w:color w:val="auto"/>
                      <w:kern w:val="2"/>
                      <w:sz w:val="21"/>
                      <w:szCs w:val="21"/>
                      <w:lang w:val="en-US" w:eastAsia="zh-CN" w:bidi="ar-SA"/>
                    </w:rPr>
                    <w:t>①贮存库内不同贮存分区之间应采取隔离措施。隔离措施可根据危险废物特性采用过道、隔板或隔墙等方式。②在贮存库内或通过贮存分区方式贮存液态危险废物的，应具有液体泄漏堵截设施，堵截设施最小容积不应低于对应贮存区域最大液态废物容器容积或液态废物总储量1/10（二者取较大者）；用于贮存可能产生渗滤液的危险废物的贮存库或贮存分区应设计渗滤液收集设施，收集设施容积应满足渗滤液的收集要求。③贮存易产生粉尘、VOCs、酸雾、有毒有害大气污染物和刺激性气味气体的危险废物贮存库，应设置气体收集装置和气体净化设施；气体净化设施的排气筒高度应符合GB16297要求。</w:t>
                  </w:r>
                </w:p>
              </w:tc>
              <w:tc>
                <w:tcPr>
                  <w:tcW w:w="1158" w:type="pct"/>
                  <w:noWrap w:val="0"/>
                  <w:vAlign w:val="center"/>
                </w:tcPr>
                <w:p>
                  <w:pPr>
                    <w:widowControl w:val="0"/>
                    <w:wordWrap w:val="0"/>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vertAlign w:val="baseline"/>
                      <w:lang w:val="en-US" w:eastAsia="zh-CN" w:bidi="ar-SA"/>
                    </w:rPr>
                    <w:t>本项目产生的危险废物为</w:t>
                  </w:r>
                  <w:r>
                    <w:rPr>
                      <w:rFonts w:hint="eastAsia" w:cs="Times New Roman"/>
                      <w:color w:val="auto"/>
                      <w:kern w:val="2"/>
                      <w:sz w:val="21"/>
                      <w:szCs w:val="21"/>
                      <w:vertAlign w:val="baseline"/>
                      <w:lang w:val="en-US" w:eastAsia="zh-CN" w:bidi="ar-SA"/>
                    </w:rPr>
                    <w:t>废矿物油、废含油劳保用品</w:t>
                  </w:r>
                  <w:r>
                    <w:rPr>
                      <w:rFonts w:hint="eastAsia" w:ascii="Times New Roman" w:hAnsi="Times New Roman" w:eastAsia="宋体" w:cs="Times New Roman"/>
                      <w:color w:val="auto"/>
                      <w:kern w:val="2"/>
                      <w:sz w:val="21"/>
                      <w:szCs w:val="21"/>
                      <w:vertAlign w:val="baseline"/>
                      <w:lang w:val="en-US" w:eastAsia="zh-CN" w:bidi="ar-SA"/>
                    </w:rPr>
                    <w:t>。</w:t>
                  </w:r>
                  <w:r>
                    <w:rPr>
                      <w:rFonts w:hint="default" w:ascii="Times New Roman" w:hAnsi="Times New Roman" w:eastAsia="宋体" w:cs="Times New Roman"/>
                      <w:color w:val="auto"/>
                      <w:kern w:val="2"/>
                      <w:sz w:val="21"/>
                      <w:szCs w:val="21"/>
                      <w:lang w:val="en-US" w:eastAsia="zh-CN" w:bidi="ar-SA"/>
                    </w:rPr>
                    <w:t>贮存库内不同贮存分区之间采取隔离措施。</w:t>
                  </w:r>
                </w:p>
              </w:tc>
              <w:tc>
                <w:tcPr>
                  <w:tcW w:w="529" w:type="pct"/>
                  <w:noWrap w:val="0"/>
                  <w:vAlign w:val="center"/>
                </w:tcPr>
                <w:p>
                  <w:pPr>
                    <w:widowControl w:val="0"/>
                    <w:wordWrap w:val="0"/>
                    <w:spacing w:line="240" w:lineRule="auto"/>
                    <w:ind w:left="0" w:leftChars="0" w:firstLine="0" w:firstLineChars="0"/>
                    <w:jc w:val="center"/>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kern w:val="2"/>
                      <w:sz w:val="21"/>
                      <w:szCs w:val="21"/>
                      <w:vertAlign w:val="baseline"/>
                      <w:lang w:val="en-US" w:eastAsia="zh-CN" w:bidi="ar-SA"/>
                    </w:rPr>
                    <w:t>符合</w:t>
                  </w:r>
                </w:p>
              </w:tc>
            </w:tr>
          </w:tbl>
          <w:p>
            <w:pPr>
              <w:keepNext w:val="0"/>
              <w:keepLines w:val="0"/>
              <w:pageBreakBefore w:val="0"/>
              <w:widowControl w:val="0"/>
              <w:kinsoku/>
              <w:overflowPunct/>
              <w:topLinePunct w:val="0"/>
              <w:autoSpaceDE w:val="0"/>
              <w:autoSpaceDN w:val="0"/>
              <w:bidi w:val="0"/>
              <w:adjustRightInd w:val="0"/>
              <w:snapToGrid/>
              <w:spacing w:line="360" w:lineRule="auto"/>
              <w:ind w:left="0" w:firstLine="360" w:firstLineChars="150"/>
              <w:jc w:val="left"/>
              <w:textAlignment w:val="auto"/>
              <w:rPr>
                <w:rFonts w:hint="default" w:ascii="Times New Roman" w:hAnsi="Times New Roman" w:eastAsia="宋体" w:cs="Times New Roman"/>
                <w:color w:val="0000FF"/>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按照《危险废物贮存污染控制标准》（GB18597-2023）的要求设置一座危废暂存间用于储存危废，危险废物暂存间设置要求如下：</w:t>
            </w:r>
          </w:p>
          <w:p>
            <w:pPr>
              <w:keepNext w:val="0"/>
              <w:keepLines w:val="0"/>
              <w:pageBreakBefore w:val="0"/>
              <w:widowControl w:val="0"/>
              <w:numPr>
                <w:ilvl w:val="0"/>
                <w:numId w:val="0"/>
              </w:numPr>
              <w:kinsoku/>
              <w:overflowPunct/>
              <w:topLinePunct w:val="0"/>
              <w:bidi w:val="0"/>
              <w:snapToGrid/>
              <w:spacing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（1）危废暂存间拟建</w:t>
            </w:r>
            <w:r>
              <w:rPr>
                <w:rFonts w:hint="eastAsia" w:ascii="Times New Roman" w:hAnsi="Times New Roman" w:eastAsia="宋体" w:cs="Times New Roman"/>
                <w:color w:val="auto"/>
                <w:kern w:val="2"/>
                <w:sz w:val="24"/>
                <w:szCs w:val="24"/>
                <w:lang w:val="en-US" w:eastAsia="zh-CN" w:bidi="ar-SA"/>
              </w:rPr>
              <w:t>5m</w:t>
            </w:r>
            <w:r>
              <w:rPr>
                <w:rFonts w:hint="eastAsia" w:ascii="Times New Roman" w:hAnsi="Times New Roman" w:eastAsia="宋体" w:cs="Times New Roman"/>
                <w:color w:val="auto"/>
                <w:kern w:val="2"/>
                <w:sz w:val="24"/>
                <w:szCs w:val="24"/>
                <w:vertAlign w:val="superscript"/>
                <w:lang w:val="en-US" w:eastAsia="zh-CN" w:bidi="ar-SA"/>
              </w:rPr>
              <w:t>2</w:t>
            </w:r>
            <w:r>
              <w:rPr>
                <w:rFonts w:hint="default" w:ascii="Times New Roman" w:hAnsi="Times New Roman" w:eastAsia="宋体" w:cs="Times New Roman"/>
                <w:color w:val="auto"/>
                <w:kern w:val="2"/>
                <w:sz w:val="24"/>
                <w:szCs w:val="24"/>
                <w:lang w:val="en-US" w:eastAsia="zh-CN" w:bidi="ar-SA"/>
              </w:rPr>
              <w:t>。</w:t>
            </w:r>
          </w:p>
          <w:p>
            <w:pPr>
              <w:keepNext w:val="0"/>
              <w:keepLines w:val="0"/>
              <w:pageBreakBefore w:val="0"/>
              <w:widowControl w:val="0"/>
              <w:numPr>
                <w:ilvl w:val="0"/>
                <w:numId w:val="0"/>
              </w:numPr>
              <w:kinsoku/>
              <w:overflowPunct/>
              <w:topLinePunct w:val="0"/>
              <w:bidi w:val="0"/>
              <w:snapToGrid/>
              <w:spacing w:line="360" w:lineRule="auto"/>
              <w:ind w:lef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对于危险固废的收集及贮存，应根据危险固废的成分，用符合国家标准的耐腐蚀、不易破损、变形和老化的容器贮存，并按规定在贮存危险固废容器上贴上标签，详细注明危险固废的名称、重量、成分、特性以及发生泄漏、扩散污染事故时的应急措施和补救办法。危险废物贮存设施或场所标志、危险废物包装标签等危险废物识别标志按HJ1276要求设置。</w:t>
            </w:r>
          </w:p>
          <w:p>
            <w:pPr>
              <w:keepNext w:val="0"/>
              <w:keepLines w:val="0"/>
              <w:pageBreakBefore w:val="0"/>
              <w:widowControl w:val="0"/>
              <w:numPr>
                <w:ilvl w:val="0"/>
                <w:numId w:val="0"/>
              </w:numPr>
              <w:kinsoku/>
              <w:overflowPunct/>
              <w:topLinePunct w:val="0"/>
              <w:bidi w:val="0"/>
              <w:snapToGrid/>
              <w:spacing w:line="360" w:lineRule="auto"/>
              <w:ind w:lef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（3）危废暂存间建设堵截泄漏的裙脚，地面与裙脚用坚固的防渗材料建造，并建有隔离设施、报警装置和防风、防晒、防雨设施，基础防渗层用2mm的高密度聚乙烯材料（渗透系数不大于10</w:t>
            </w:r>
            <w:r>
              <w:rPr>
                <w:rFonts w:hint="default" w:ascii="Times New Roman" w:hAnsi="Times New Roman" w:eastAsia="宋体" w:cs="Times New Roman"/>
                <w:color w:val="auto"/>
                <w:kern w:val="2"/>
                <w:sz w:val="24"/>
                <w:szCs w:val="24"/>
                <w:vertAlign w:val="superscript"/>
                <w:lang w:val="en-US" w:eastAsia="zh-CN" w:bidi="ar-SA"/>
              </w:rPr>
              <w:t>-</w:t>
            </w:r>
            <w:r>
              <w:rPr>
                <w:rFonts w:hint="eastAsia" w:cs="Times New Roman"/>
                <w:color w:val="auto"/>
                <w:kern w:val="2"/>
                <w:sz w:val="24"/>
                <w:szCs w:val="24"/>
                <w:vertAlign w:val="superscript"/>
                <w:lang w:val="en-US" w:eastAsia="zh-CN" w:bidi="ar-SA"/>
              </w:rPr>
              <w:t>7</w:t>
            </w:r>
            <w:r>
              <w:rPr>
                <w:rFonts w:hint="default" w:ascii="Times New Roman" w:hAnsi="Times New Roman" w:eastAsia="宋体" w:cs="Times New Roman"/>
                <w:color w:val="auto"/>
                <w:kern w:val="2"/>
                <w:sz w:val="24"/>
                <w:szCs w:val="24"/>
                <w:lang w:val="en-US" w:eastAsia="zh-CN" w:bidi="ar-SA"/>
              </w:rPr>
              <w:t>cm/s）组成，表面用耐腐蚀材料硬化，符合国家危险固废贮存场所的建设要求。</w:t>
            </w:r>
          </w:p>
          <w:p>
            <w:pPr>
              <w:keepNext w:val="0"/>
              <w:keepLines w:val="0"/>
              <w:pageBreakBefore w:val="0"/>
              <w:widowControl w:val="0"/>
              <w:numPr>
                <w:ilvl w:val="0"/>
                <w:numId w:val="0"/>
              </w:numPr>
              <w:kinsoku/>
              <w:overflowPunct/>
              <w:topLinePunct w:val="0"/>
              <w:bidi w:val="0"/>
              <w:snapToGrid/>
              <w:spacing w:line="360" w:lineRule="auto"/>
              <w:ind w:left="0" w:leftChars="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（4）公司设立专门的人管理危险废暂存间，双人双锁，以防无关人员进入。</w:t>
            </w:r>
          </w:p>
          <w:p>
            <w:pPr>
              <w:keepNext w:val="0"/>
              <w:keepLines w:val="0"/>
              <w:pageBreakBefore w:val="0"/>
              <w:widowControl w:val="0"/>
              <w:kinsoku/>
              <w:overflowPunct/>
              <w:topLinePunct w:val="0"/>
              <w:bidi w:val="0"/>
              <w:snapToGrid/>
              <w:spacing w:line="360" w:lineRule="auto"/>
              <w:ind w:lef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（5）危险废物临时储存场所必须按HJ1276-2022的规定设置警示标志，周围应设置围墙或其他防护栅栏。</w:t>
            </w:r>
          </w:p>
          <w:p>
            <w:pPr>
              <w:keepNext w:val="0"/>
              <w:keepLines w:val="0"/>
              <w:pageBreakBefore w:val="0"/>
              <w:widowControl w:val="0"/>
              <w:kinsoku/>
              <w:overflowPunct/>
              <w:topLinePunct w:val="0"/>
              <w:bidi w:val="0"/>
              <w:snapToGrid/>
              <w:spacing w:line="360" w:lineRule="auto"/>
              <w:ind w:lef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（6）危险废物临时储存场所应配备通讯设备、照明设施、安全防护服装及工具，并设有应急防护设施。</w:t>
            </w:r>
          </w:p>
          <w:p>
            <w:pPr>
              <w:keepNext w:val="0"/>
              <w:keepLines w:val="0"/>
              <w:pageBreakBefore w:val="0"/>
              <w:widowControl w:val="0"/>
              <w:kinsoku/>
              <w:overflowPunct/>
              <w:topLinePunct w:val="0"/>
              <w:bidi w:val="0"/>
              <w:snapToGrid/>
              <w:spacing w:line="360" w:lineRule="auto"/>
              <w:ind w:lef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（7）</w:t>
            </w:r>
            <w:r>
              <w:rPr>
                <w:rFonts w:hint="default" w:ascii="Times New Roman" w:hAnsi="Times New Roman" w:eastAsia="宋体" w:cs="Times New Roman"/>
                <w:color w:val="auto"/>
                <w:sz w:val="24"/>
                <w:szCs w:val="24"/>
                <w:lang w:val="en-US" w:eastAsia="zh-CN"/>
              </w:rPr>
              <w:t>根据《挥发性有机物无组织排放控制标准》</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GB37822-2019</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盛装VOCs物料的容器或包装袋应存放于室内，或存放于设置有雨棚、遮阳和防渗设施的专用场地；盛装VOCs物料的容器或包装袋在非取用状态时应加盖、封口，保持密闭。因此含有挥发性有机物的物料盛装桶需要加盖密闭，同时危废间的有机废气经过管道引入活性炭吸附/脱附催化燃烧装置处理到排放。</w:t>
            </w:r>
          </w:p>
          <w:p>
            <w:pPr>
              <w:keepNext w:val="0"/>
              <w:keepLines w:val="0"/>
              <w:pageBreakBefore w:val="0"/>
              <w:widowControl w:val="0"/>
              <w:kinsoku/>
              <w:overflowPunct/>
              <w:topLinePunct w:val="0"/>
              <w:bidi w:val="0"/>
              <w:snapToGrid/>
              <w:spacing w:line="360" w:lineRule="auto"/>
              <w:ind w:lef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综上，通过对生产过程中产生的固废分类收集，分类处理与处置，本项目固体废物不会对周围环境产生污染影响。</w:t>
            </w:r>
          </w:p>
          <w:p>
            <w:pPr>
              <w:keepNext w:val="0"/>
              <w:keepLines w:val="0"/>
              <w:pageBreakBefore w:val="0"/>
              <w:widowControl w:val="0"/>
              <w:kinsoku/>
              <w:wordWrap w:val="0"/>
              <w:overflowPunct/>
              <w:topLinePunct w:val="0"/>
              <w:bidi w:val="0"/>
              <w:snapToGrid/>
              <w:spacing w:line="360" w:lineRule="auto"/>
              <w:ind w:left="0" w:leftChars="0" w:firstLine="0" w:firstLineChars="0"/>
              <w:jc w:val="both"/>
              <w:textAlignment w:val="auto"/>
              <w:rPr>
                <w:rFonts w:hint="default" w:ascii="Times New Roman" w:hAnsi="Times New Roman" w:eastAsia="宋体" w:cs="Times New Roman"/>
                <w:b/>
                <w:bCs/>
                <w:color w:val="auto"/>
                <w:kern w:val="2"/>
                <w:sz w:val="24"/>
                <w:szCs w:val="24"/>
                <w:lang w:val="en-US" w:eastAsia="zh-CN" w:bidi="ar-SA"/>
              </w:rPr>
            </w:pPr>
            <w:r>
              <w:rPr>
                <w:rFonts w:hint="default" w:ascii="Times New Roman" w:hAnsi="Times New Roman" w:eastAsia="宋体" w:cs="Times New Roman"/>
                <w:b/>
                <w:bCs/>
                <w:color w:val="auto"/>
                <w:kern w:val="2"/>
                <w:sz w:val="24"/>
                <w:szCs w:val="24"/>
                <w:lang w:val="en-US" w:eastAsia="zh-CN" w:bidi="ar-SA"/>
              </w:rPr>
              <w:t>4.</w:t>
            </w:r>
            <w:r>
              <w:rPr>
                <w:rFonts w:hint="eastAsia" w:ascii="Times New Roman" w:hAnsi="Times New Roman" w:eastAsia="宋体" w:cs="Times New Roman"/>
                <w:b/>
                <w:bCs/>
                <w:color w:val="auto"/>
                <w:kern w:val="2"/>
                <w:sz w:val="24"/>
                <w:szCs w:val="24"/>
                <w:lang w:val="en-US" w:eastAsia="zh-CN" w:bidi="ar-SA"/>
              </w:rPr>
              <w:t>3</w:t>
            </w:r>
            <w:r>
              <w:rPr>
                <w:rFonts w:hint="default" w:ascii="Times New Roman" w:hAnsi="Times New Roman" w:eastAsia="宋体" w:cs="Times New Roman"/>
                <w:b/>
                <w:bCs/>
                <w:color w:val="auto"/>
                <w:kern w:val="2"/>
                <w:sz w:val="24"/>
                <w:szCs w:val="24"/>
                <w:lang w:val="en-US" w:eastAsia="zh-CN" w:bidi="ar-SA"/>
              </w:rPr>
              <w:t>危险废物收集、运输要求</w:t>
            </w:r>
          </w:p>
          <w:p>
            <w:pPr>
              <w:keepNext w:val="0"/>
              <w:keepLines w:val="0"/>
              <w:pageBreakBefore w:val="0"/>
              <w:widowControl w:val="0"/>
              <w:kinsoku/>
              <w:overflowPunct/>
              <w:topLinePunct w:val="0"/>
              <w:bidi w:val="0"/>
              <w:snapToGrid/>
              <w:spacing w:line="360" w:lineRule="auto"/>
              <w:ind w:lef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项目危险废物的收集和运输主要委托第三方，从事危险废物收集、运输经营活动的单位应具有危险废物经营许可证。在收集、运输危险废物时，应根据危险废物经营许可证核发的有关规定建立相应的规章制度和污染防治措施，包括危险废物分析管理制度、安全管理制度、污染防治措施等。</w:t>
            </w:r>
          </w:p>
          <w:p>
            <w:pPr>
              <w:keepNext w:val="0"/>
              <w:keepLines w:val="0"/>
              <w:pageBreakBefore w:val="0"/>
              <w:widowControl w:val="0"/>
              <w:kinsoku/>
              <w:overflowPunct/>
              <w:topLinePunct w:val="0"/>
              <w:bidi w:val="0"/>
              <w:snapToGrid/>
              <w:spacing w:line="360" w:lineRule="auto"/>
              <w:ind w:lef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（1）危险废物的收集</w:t>
            </w:r>
          </w:p>
          <w:p>
            <w:pPr>
              <w:keepNext w:val="0"/>
              <w:keepLines w:val="0"/>
              <w:pageBreakBefore w:val="0"/>
              <w:widowControl w:val="0"/>
              <w:kinsoku/>
              <w:overflowPunct/>
              <w:topLinePunct w:val="0"/>
              <w:bidi w:val="0"/>
              <w:snapToGrid/>
              <w:spacing w:line="360" w:lineRule="auto"/>
              <w:ind w:lef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①危险废物的收集应根据危险废物产生的工艺特征、排放周期、危险废物特性、废物管理计划等因素制定收集计划。</w:t>
            </w:r>
          </w:p>
          <w:p>
            <w:pPr>
              <w:keepNext w:val="0"/>
              <w:keepLines w:val="0"/>
              <w:pageBreakBefore w:val="0"/>
              <w:widowControl w:val="0"/>
              <w:kinsoku/>
              <w:overflowPunct/>
              <w:topLinePunct w:val="0"/>
              <w:bidi w:val="0"/>
              <w:snapToGrid/>
              <w:spacing w:line="360" w:lineRule="auto"/>
              <w:ind w:lef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②危险废物的收集应制定详细的操作规程，内容至少应包括适用范围、操作程序和方法、专用设备和工具、转移和交接、安全保障和应急防护等。</w:t>
            </w:r>
          </w:p>
          <w:p>
            <w:pPr>
              <w:keepNext w:val="0"/>
              <w:keepLines w:val="0"/>
              <w:pageBreakBefore w:val="0"/>
              <w:widowControl w:val="0"/>
              <w:kinsoku/>
              <w:overflowPunct/>
              <w:topLinePunct w:val="0"/>
              <w:bidi w:val="0"/>
              <w:snapToGrid/>
              <w:spacing w:line="360" w:lineRule="auto"/>
              <w:ind w:lef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③危险废物收集和转运作业人员应根据工作需要配备必要的个人防护装备，如手套、防护镜、防护服、防毒面具或口罩等。</w:t>
            </w:r>
          </w:p>
          <w:p>
            <w:pPr>
              <w:keepNext w:val="0"/>
              <w:keepLines w:val="0"/>
              <w:pageBreakBefore w:val="0"/>
              <w:widowControl w:val="0"/>
              <w:kinsoku/>
              <w:overflowPunct/>
              <w:topLinePunct w:val="0"/>
              <w:bidi w:val="0"/>
              <w:snapToGrid/>
              <w:spacing w:line="360" w:lineRule="auto"/>
              <w:ind w:lef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（2）危险废物的运输</w:t>
            </w:r>
          </w:p>
          <w:p>
            <w:pPr>
              <w:keepNext w:val="0"/>
              <w:keepLines w:val="0"/>
              <w:pageBreakBefore w:val="0"/>
              <w:widowControl w:val="0"/>
              <w:kinsoku/>
              <w:overflowPunct/>
              <w:topLinePunct w:val="0"/>
              <w:bidi w:val="0"/>
              <w:snapToGrid/>
              <w:spacing w:line="360" w:lineRule="auto"/>
              <w:ind w:lef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危险废物需按照《危险废物收集、贮存、运输技术规范》</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HJ2025-2012</w:t>
            </w:r>
            <w:r>
              <w:rPr>
                <w:rFonts w:hint="eastAsia" w:ascii="Times New Roman" w:hAnsi="Times New Roman" w:eastAsia="宋体" w:cs="Times New Roman"/>
                <w:color w:val="auto"/>
                <w:kern w:val="2"/>
                <w:sz w:val="24"/>
                <w:szCs w:val="24"/>
                <w:lang w:val="en-US" w:eastAsia="zh-CN" w:bidi="ar-SA"/>
              </w:rPr>
              <w:t>）</w:t>
            </w:r>
            <w:r>
              <w:rPr>
                <w:rFonts w:hint="default" w:ascii="Times New Roman" w:hAnsi="Times New Roman" w:eastAsia="宋体" w:cs="Times New Roman"/>
                <w:color w:val="auto"/>
                <w:kern w:val="2"/>
                <w:sz w:val="24"/>
                <w:szCs w:val="24"/>
                <w:lang w:val="en-US" w:eastAsia="zh-CN" w:bidi="ar-SA"/>
              </w:rPr>
              <w:t>中的要求进行运输。产废单位负责危险废物的收集，第三方运输企业负责运输，在接收危险废物原料时，本项目工作人员和运输单位需协调相关危险废物运输车辆，要求其按照规范要求操作，避免运输途中的污染。</w:t>
            </w:r>
          </w:p>
          <w:p>
            <w:pPr>
              <w:keepNext w:val="0"/>
              <w:keepLines w:val="0"/>
              <w:pageBreakBefore w:val="0"/>
              <w:widowControl w:val="0"/>
              <w:kinsoku/>
              <w:overflowPunct/>
              <w:topLinePunct w:val="0"/>
              <w:bidi w:val="0"/>
              <w:snapToGrid/>
              <w:spacing w:line="360" w:lineRule="auto"/>
              <w:ind w:lef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①危险废物运输应由持有危险废物经营许可证的单位按照其许可证的经营范围组织实施，承担危险废物运输的单位应获得交通运输部门颁发的危险货物运输资质。</w:t>
            </w:r>
          </w:p>
          <w:p>
            <w:pPr>
              <w:keepNext w:val="0"/>
              <w:keepLines w:val="0"/>
              <w:pageBreakBefore w:val="0"/>
              <w:widowControl w:val="0"/>
              <w:kinsoku/>
              <w:overflowPunct/>
              <w:topLinePunct w:val="0"/>
              <w:bidi w:val="0"/>
              <w:snapToGrid/>
              <w:spacing w:line="360" w:lineRule="auto"/>
              <w:ind w:lef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②危险废物转移严格按照《危险废物转移管理办法》（生态环境部</w:t>
            </w:r>
            <w:r>
              <w:rPr>
                <w:rFonts w:hint="eastAsia" w:cs="Times New Roman"/>
                <w:color w:val="auto"/>
                <w:kern w:val="2"/>
                <w:sz w:val="24"/>
                <w:szCs w:val="24"/>
                <w:lang w:val="en-US" w:eastAsia="zh-CN" w:bidi="ar-SA"/>
              </w:rPr>
              <w:t xml:space="preserve"> </w:t>
            </w:r>
            <w:r>
              <w:rPr>
                <w:rFonts w:hint="default" w:ascii="Times New Roman" w:hAnsi="Times New Roman" w:eastAsia="宋体" w:cs="Times New Roman"/>
                <w:color w:val="auto"/>
                <w:kern w:val="2"/>
                <w:sz w:val="24"/>
                <w:szCs w:val="24"/>
                <w:lang w:val="en-US" w:eastAsia="zh-CN" w:bidi="ar-SA"/>
              </w:rPr>
              <w:t>公安部 交通运输部 部令第23号，2022年1月1日）执行</w:t>
            </w:r>
            <w:r>
              <w:rPr>
                <w:rFonts w:hint="eastAsia" w:ascii="Times New Roman" w:hAnsi="Times New Roman" w:eastAsia="宋体" w:cs="Times New Roman"/>
                <w:color w:val="auto"/>
                <w:kern w:val="2"/>
                <w:sz w:val="24"/>
                <w:szCs w:val="24"/>
                <w:lang w:val="en-US" w:eastAsia="zh-CN" w:bidi="ar-SA"/>
              </w:rPr>
              <w:t>。</w:t>
            </w:r>
          </w:p>
          <w:p>
            <w:pPr>
              <w:keepNext w:val="0"/>
              <w:keepLines w:val="0"/>
              <w:pageBreakBefore w:val="0"/>
              <w:widowControl w:val="0"/>
              <w:kinsoku/>
              <w:overflowPunct/>
              <w:topLinePunct w:val="0"/>
              <w:bidi w:val="0"/>
              <w:snapToGrid/>
              <w:spacing w:line="360" w:lineRule="auto"/>
              <w:ind w:lef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③危险废物公路运输时，运输车辆应按GB13392设置车辆标识。</w:t>
            </w:r>
          </w:p>
          <w:p>
            <w:pPr>
              <w:keepNext w:val="0"/>
              <w:keepLines w:val="0"/>
              <w:pageBreakBefore w:val="0"/>
              <w:widowControl w:val="0"/>
              <w:kinsoku/>
              <w:overflowPunct/>
              <w:topLinePunct w:val="0"/>
              <w:bidi w:val="0"/>
              <w:snapToGrid/>
              <w:spacing w:line="360" w:lineRule="auto"/>
              <w:ind w:lef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④根据《新疆维吾尔自治区危险废物处置利用行业环保准入条件》：危险废物处置利用单位必须有固定的危险废物运输车辆，并在运输车辆安装GPS装置。</w:t>
            </w:r>
          </w:p>
          <w:p>
            <w:pPr>
              <w:keepNext w:val="0"/>
              <w:keepLines w:val="0"/>
              <w:pageBreakBefore w:val="0"/>
              <w:widowControl w:val="0"/>
              <w:kinsoku/>
              <w:overflowPunct/>
              <w:topLinePunct w:val="0"/>
              <w:bidi w:val="0"/>
              <w:snapToGrid/>
              <w:spacing w:line="360" w:lineRule="auto"/>
              <w:ind w:lef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此外，项目危险废物产生、转移、贮存、利用处置等基础数据，需在新疆维吾尔自治区固体废物动态信息管理平台上申报和备案。</w:t>
            </w:r>
          </w:p>
          <w:p>
            <w:pPr>
              <w:keepNext w:val="0"/>
              <w:keepLines w:val="0"/>
              <w:pageBreakBefore w:val="0"/>
              <w:widowControl w:val="0"/>
              <w:kinsoku/>
              <w:overflowPunct/>
              <w:topLinePunct w:val="0"/>
              <w:bidi w:val="0"/>
              <w:snapToGrid/>
              <w:spacing w:line="360" w:lineRule="auto"/>
              <w:ind w:left="0" w:firstLine="480" w:firstLineChars="200"/>
              <w:textAlignment w:val="auto"/>
              <w:rPr>
                <w:rFonts w:hint="default"/>
                <w:color w:val="auto"/>
              </w:rPr>
            </w:pPr>
            <w:r>
              <w:rPr>
                <w:rFonts w:hint="default" w:ascii="Times New Roman" w:hAnsi="Times New Roman" w:eastAsia="宋体" w:cs="Times New Roman"/>
                <w:color w:val="auto"/>
                <w:kern w:val="2"/>
                <w:sz w:val="24"/>
                <w:szCs w:val="24"/>
                <w:lang w:val="en-US" w:eastAsia="zh-CN" w:bidi="ar-SA"/>
              </w:rPr>
              <w:t>综上所述，项目产生的固体废弃物对环境的影响较小。</w:t>
            </w:r>
          </w:p>
          <w:p>
            <w:pPr>
              <w:bidi w:val="0"/>
              <w:ind w:left="0" w:leftChars="0" w:firstLine="0" w:firstLineChars="0"/>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5.运营期地下水、土壤环境影响及保护措施</w:t>
            </w:r>
          </w:p>
          <w:p>
            <w:pPr>
              <w:bidi w:val="0"/>
              <w:ind w:left="0" w:leftChars="0" w:firstLine="0" w:firstLineChars="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5.1 运营期对地下水、土壤环境影响</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eastAsia" w:cs="Times New Roman"/>
                <w:color w:val="auto"/>
                <w:sz w:val="24"/>
                <w:lang w:eastAsia="zh-CN"/>
              </w:rPr>
              <w:t>对于</w:t>
            </w:r>
            <w:r>
              <w:rPr>
                <w:rFonts w:hint="eastAsia" w:cs="Times New Roman"/>
                <w:color w:val="auto"/>
                <w:sz w:val="24"/>
                <w:lang w:val="en-US" w:eastAsia="zh-CN"/>
              </w:rPr>
              <w:t>沉淀池、化粪池、危废间</w:t>
            </w:r>
            <w:r>
              <w:rPr>
                <w:rFonts w:hint="default" w:ascii="Times New Roman" w:hAnsi="Times New Roman" w:eastAsia="宋体" w:cs="Times New Roman"/>
                <w:color w:val="auto"/>
                <w:sz w:val="24"/>
              </w:rPr>
              <w:t>下水防污控制原则，应坚持</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注重源头控制、强化监测手段、污水集中处理、完善应急响应系统建设</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的原则，其宗旨是采取主动控制，避免废水泄漏事故及防渗措施失效事故的发生，但若发生事故，则采取应急响应处理办法，尽最快速度处理，严防污染物进入地下水环境造成不良影响。</w:t>
            </w:r>
          </w:p>
          <w:p>
            <w:pPr>
              <w:bidi w:val="0"/>
              <w:rPr>
                <w:rFonts w:hint="default" w:ascii="Times New Roman" w:hAnsi="Times New Roman" w:cs="Times New Roman"/>
                <w:color w:val="auto"/>
              </w:rPr>
            </w:pPr>
            <w:r>
              <w:rPr>
                <w:rFonts w:hint="default" w:ascii="Times New Roman" w:hAnsi="Times New Roman" w:cs="Times New Roman"/>
                <w:color w:val="auto"/>
              </w:rPr>
              <w:t>本项目严格按照根据《环境影响评价技术导则   地下水环境》（HJ610-2016）对厂区提出防渗要求及相关要求进行场地</w:t>
            </w:r>
            <w:r>
              <w:rPr>
                <w:rFonts w:hint="default" w:ascii="Times New Roman" w:hAnsi="Times New Roman" w:cs="Times New Roman"/>
                <w:color w:val="auto"/>
                <w:lang w:val="en-US" w:eastAsia="zh-CN"/>
              </w:rPr>
              <w:t>防渗</w:t>
            </w:r>
            <w:r>
              <w:rPr>
                <w:rFonts w:hint="default" w:ascii="Times New Roman" w:hAnsi="Times New Roman" w:cs="Times New Roman"/>
                <w:color w:val="auto"/>
              </w:rPr>
              <w:t>，阻断可能引起地下水污染的途径，同时加强管理和定期检查。</w:t>
            </w:r>
          </w:p>
          <w:p>
            <w:pPr>
              <w:bidi w:val="0"/>
              <w:ind w:left="0" w:leftChars="0" w:firstLine="0" w:firstLineChars="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5.2 保护措施</w:t>
            </w:r>
          </w:p>
          <w:p>
            <w:pPr>
              <w:bidi w:val="0"/>
              <w:rPr>
                <w:rFonts w:hint="default" w:ascii="Times New Roman" w:hAnsi="Times New Roman" w:cs="Times New Roman"/>
                <w:color w:val="auto"/>
              </w:rPr>
            </w:pPr>
            <w:r>
              <w:rPr>
                <w:rFonts w:hint="default" w:ascii="Times New Roman" w:hAnsi="Times New Roman" w:cs="Times New Roman"/>
                <w:color w:val="auto"/>
              </w:rPr>
              <w:t>严格按照国家相关规范要求，对</w:t>
            </w:r>
            <w:r>
              <w:rPr>
                <w:rFonts w:hint="default" w:ascii="Times New Roman" w:hAnsi="Times New Roman" w:cs="Times New Roman"/>
                <w:color w:val="auto"/>
                <w:lang w:val="en-US" w:eastAsia="zh-CN"/>
              </w:rPr>
              <w:t>贮存区域</w:t>
            </w:r>
            <w:r>
              <w:rPr>
                <w:rFonts w:hint="default" w:ascii="Times New Roman" w:hAnsi="Times New Roman" w:cs="Times New Roman"/>
                <w:color w:val="auto"/>
              </w:rPr>
              <w:t>地面采取相应</w:t>
            </w:r>
            <w:r>
              <w:rPr>
                <w:rFonts w:hint="default" w:ascii="Times New Roman" w:hAnsi="Times New Roman" w:cs="Times New Roman"/>
                <w:color w:val="auto"/>
                <w:lang w:val="en-US" w:eastAsia="zh-CN"/>
              </w:rPr>
              <w:t>防渗</w:t>
            </w:r>
            <w:r>
              <w:rPr>
                <w:rFonts w:hint="default" w:ascii="Times New Roman" w:hAnsi="Times New Roman" w:cs="Times New Roman"/>
                <w:color w:val="auto"/>
              </w:rPr>
              <w:t>措施，以防止和降低污染物的跑、冒、滴、漏，将污染物泄漏的环境风险事故降到最低程度。</w:t>
            </w:r>
          </w:p>
          <w:p>
            <w:pPr>
              <w:bidi w:val="0"/>
              <w:rPr>
                <w:rFonts w:hint="default" w:ascii="Times New Roman" w:hAnsi="Times New Roman" w:cs="Times New Roman"/>
                <w:color w:val="auto"/>
              </w:rPr>
            </w:pPr>
            <w:r>
              <w:rPr>
                <w:rFonts w:hint="default" w:ascii="Times New Roman" w:hAnsi="Times New Roman" w:cs="Times New Roman"/>
                <w:color w:val="auto"/>
                <w:lang w:val="en-US" w:eastAsia="zh-CN"/>
              </w:rPr>
              <w:t>为</w:t>
            </w:r>
            <w:r>
              <w:rPr>
                <w:rFonts w:hint="default" w:ascii="Times New Roman" w:hAnsi="Times New Roman" w:cs="Times New Roman"/>
                <w:color w:val="auto"/>
              </w:rPr>
              <w:t>防止</w:t>
            </w:r>
            <w:r>
              <w:rPr>
                <w:rFonts w:hint="default" w:ascii="Times New Roman" w:hAnsi="Times New Roman" w:cs="Times New Roman"/>
                <w:color w:val="auto"/>
                <w:lang w:val="en-US" w:eastAsia="zh-CN"/>
              </w:rPr>
              <w:t>土壤、</w:t>
            </w:r>
            <w:r>
              <w:rPr>
                <w:rFonts w:hint="default" w:ascii="Times New Roman" w:hAnsi="Times New Roman" w:cs="Times New Roman"/>
                <w:color w:val="auto"/>
              </w:rPr>
              <w:t>地下水污染的控制措施即为地面防渗工程，本项目根据</w:t>
            </w:r>
            <w:r>
              <w:rPr>
                <w:rFonts w:hint="default" w:ascii="Times New Roman" w:hAnsi="Times New Roman" w:cs="Times New Roman"/>
                <w:color w:val="auto"/>
                <w:lang w:val="en-US" w:eastAsia="zh-CN"/>
              </w:rPr>
              <w:t>贮存库</w:t>
            </w:r>
            <w:r>
              <w:rPr>
                <w:rFonts w:hint="default" w:ascii="Times New Roman" w:hAnsi="Times New Roman" w:cs="Times New Roman"/>
                <w:color w:val="auto"/>
              </w:rPr>
              <w:t>内各功能单元是否可能造成污染及项目实际情况，全部划分为</w:t>
            </w:r>
            <w:r>
              <w:rPr>
                <w:rFonts w:hint="eastAsia" w:cs="Times New Roman"/>
                <w:color w:val="auto"/>
                <w:lang w:val="en-US" w:eastAsia="zh-CN"/>
              </w:rPr>
              <w:t>重点防渗区、一般防渗区、简单</w:t>
            </w:r>
            <w:r>
              <w:rPr>
                <w:rFonts w:hint="default" w:ascii="Times New Roman" w:hAnsi="Times New Roman" w:cs="Times New Roman"/>
                <w:color w:val="auto"/>
              </w:rPr>
              <w:t>防渗区</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防渗情况详见下表4-1</w:t>
            </w:r>
            <w:r>
              <w:rPr>
                <w:rFonts w:hint="eastAsia" w:cs="Times New Roman"/>
                <w:color w:val="auto"/>
                <w:lang w:val="en-US" w:eastAsia="zh-CN"/>
              </w:rPr>
              <w:t>6</w:t>
            </w:r>
            <w:r>
              <w:rPr>
                <w:rFonts w:hint="default" w:ascii="Times New Roman" w:hAnsi="Times New Roman" w:cs="Times New Roman"/>
                <w:color w:val="auto"/>
              </w:rPr>
              <w:t>。</w:t>
            </w:r>
          </w:p>
          <w:p>
            <w:pPr>
              <w:pStyle w:val="30"/>
              <w:bidi w:val="0"/>
              <w:rPr>
                <w:rFonts w:hint="default" w:ascii="Times New Roman" w:hAnsi="Times New Roman" w:cs="Times New Roman"/>
                <w:b/>
                <w:bCs/>
                <w:color w:val="auto"/>
              </w:rPr>
            </w:pPr>
            <w:r>
              <w:rPr>
                <w:rFonts w:hint="default" w:ascii="Times New Roman" w:hAnsi="Times New Roman" w:cs="Times New Roman"/>
                <w:b/>
                <w:bCs/>
                <w:color w:val="auto"/>
              </w:rPr>
              <w:t>表</w:t>
            </w:r>
            <w:r>
              <w:rPr>
                <w:rFonts w:hint="default" w:ascii="Times New Roman" w:hAnsi="Times New Roman" w:cs="Times New Roman"/>
                <w:b/>
                <w:bCs/>
                <w:color w:val="auto"/>
                <w:lang w:val="en-US" w:eastAsia="zh-CN"/>
              </w:rPr>
              <w:t>4-1</w:t>
            </w:r>
            <w:r>
              <w:rPr>
                <w:rFonts w:hint="eastAsia" w:cs="Times New Roman"/>
                <w:b/>
                <w:bCs/>
                <w:color w:val="auto"/>
                <w:lang w:val="en-US" w:eastAsia="zh-CN"/>
              </w:rPr>
              <w:t>6</w:t>
            </w:r>
            <w:r>
              <w:rPr>
                <w:rFonts w:hint="default" w:ascii="Times New Roman" w:hAnsi="Times New Roman" w:cs="Times New Roman"/>
                <w:b/>
                <w:bCs/>
                <w:color w:val="auto"/>
                <w:lang w:val="en-US" w:eastAsia="zh-CN"/>
              </w:rPr>
              <w:t xml:space="preserve">  </w:t>
            </w:r>
            <w:r>
              <w:rPr>
                <w:rFonts w:hint="eastAsia" w:cs="Times New Roman"/>
                <w:b/>
                <w:bCs/>
                <w:color w:val="auto"/>
                <w:lang w:val="en-US" w:eastAsia="zh-CN"/>
              </w:rPr>
              <w:t xml:space="preserve"> </w:t>
            </w:r>
            <w:r>
              <w:rPr>
                <w:rFonts w:hint="default" w:ascii="Times New Roman" w:hAnsi="Times New Roman" w:cs="Times New Roman"/>
                <w:b/>
                <w:bCs/>
                <w:color w:val="auto"/>
              </w:rPr>
              <w:t>项目防渗情况一览表</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537"/>
              <w:gridCol w:w="2014"/>
              <w:gridCol w:w="4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1" w:type="pct"/>
                  <w:vAlign w:val="center"/>
                </w:tcPr>
                <w:p>
                  <w:pPr>
                    <w:pStyle w:val="30"/>
                    <w:keepNext w:val="0"/>
                    <w:keepLines w:val="0"/>
                    <w:suppressLineNumbers w:val="0"/>
                    <w:bidi w:val="0"/>
                    <w:spacing w:before="0" w:beforeAutospacing="0" w:after="0" w:afterAutospacing="0" w:line="240" w:lineRule="auto"/>
                    <w:ind w:right="0"/>
                    <w:rPr>
                      <w:rFonts w:hint="default" w:ascii="Times New Roman" w:hAnsi="Times New Roman" w:cs="Times New Roman"/>
                      <w:b/>
                      <w:bCs/>
                      <w:color w:val="auto"/>
                    </w:rPr>
                  </w:pPr>
                  <w:r>
                    <w:rPr>
                      <w:rFonts w:hint="default" w:ascii="Times New Roman" w:hAnsi="Times New Roman" w:cs="Times New Roman"/>
                      <w:b/>
                      <w:bCs/>
                      <w:color w:val="auto"/>
                    </w:rPr>
                    <w:t>序号</w:t>
                  </w:r>
                </w:p>
              </w:tc>
              <w:tc>
                <w:tcPr>
                  <w:tcW w:w="841" w:type="pct"/>
                  <w:vAlign w:val="center"/>
                </w:tcPr>
                <w:p>
                  <w:pPr>
                    <w:pStyle w:val="30"/>
                    <w:keepNext w:val="0"/>
                    <w:keepLines w:val="0"/>
                    <w:suppressLineNumbers w:val="0"/>
                    <w:bidi w:val="0"/>
                    <w:spacing w:before="0" w:beforeAutospacing="0" w:after="0" w:afterAutospacing="0" w:line="240" w:lineRule="auto"/>
                    <w:ind w:right="0"/>
                    <w:rPr>
                      <w:rFonts w:hint="default" w:ascii="Times New Roman" w:hAnsi="Times New Roman" w:cs="Times New Roman"/>
                      <w:b/>
                      <w:bCs/>
                      <w:color w:val="auto"/>
                    </w:rPr>
                  </w:pPr>
                  <w:r>
                    <w:rPr>
                      <w:rFonts w:hint="default" w:ascii="Times New Roman" w:hAnsi="Times New Roman" w:cs="Times New Roman"/>
                      <w:b/>
                      <w:bCs/>
                      <w:color w:val="auto"/>
                    </w:rPr>
                    <w:t>防渗分区</w:t>
                  </w:r>
                </w:p>
              </w:tc>
              <w:tc>
                <w:tcPr>
                  <w:tcW w:w="1102" w:type="pct"/>
                  <w:vAlign w:val="center"/>
                </w:tcPr>
                <w:p>
                  <w:pPr>
                    <w:pStyle w:val="30"/>
                    <w:keepNext w:val="0"/>
                    <w:keepLines w:val="0"/>
                    <w:suppressLineNumbers w:val="0"/>
                    <w:bidi w:val="0"/>
                    <w:spacing w:before="0" w:beforeAutospacing="0" w:after="0" w:afterAutospacing="0" w:line="240" w:lineRule="auto"/>
                    <w:ind w:right="0"/>
                    <w:rPr>
                      <w:rFonts w:hint="default" w:ascii="Times New Roman" w:hAnsi="Times New Roman" w:cs="Times New Roman"/>
                      <w:b/>
                      <w:bCs/>
                      <w:color w:val="auto"/>
                    </w:rPr>
                  </w:pPr>
                  <w:r>
                    <w:rPr>
                      <w:rFonts w:hint="default" w:ascii="Times New Roman" w:hAnsi="Times New Roman" w:cs="Times New Roman"/>
                      <w:b/>
                      <w:bCs/>
                      <w:color w:val="auto"/>
                    </w:rPr>
                    <w:t>厂区区域</w:t>
                  </w:r>
                </w:p>
              </w:tc>
              <w:tc>
                <w:tcPr>
                  <w:tcW w:w="2484" w:type="pct"/>
                  <w:vAlign w:val="center"/>
                </w:tcPr>
                <w:p>
                  <w:pPr>
                    <w:pStyle w:val="30"/>
                    <w:keepNext w:val="0"/>
                    <w:keepLines w:val="0"/>
                    <w:suppressLineNumbers w:val="0"/>
                    <w:bidi w:val="0"/>
                    <w:spacing w:before="0" w:beforeAutospacing="0" w:after="0" w:afterAutospacing="0" w:line="240" w:lineRule="auto"/>
                    <w:ind w:right="0"/>
                    <w:rPr>
                      <w:rFonts w:hint="default" w:ascii="Times New Roman" w:hAnsi="Times New Roman" w:cs="Times New Roman"/>
                      <w:b/>
                      <w:bCs/>
                      <w:color w:val="auto"/>
                    </w:rPr>
                  </w:pPr>
                  <w:r>
                    <w:rPr>
                      <w:rFonts w:hint="default" w:ascii="Times New Roman" w:hAnsi="Times New Roman" w:cs="Times New Roman"/>
                      <w:b/>
                      <w:bCs/>
                      <w:color w:val="auto"/>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71" w:type="pct"/>
                  <w:vAlign w:val="center"/>
                </w:tcPr>
                <w:p>
                  <w:pPr>
                    <w:pStyle w:val="30"/>
                    <w:keepNext w:val="0"/>
                    <w:keepLines w:val="0"/>
                    <w:suppressLineNumbers w:val="0"/>
                    <w:bidi w:val="0"/>
                    <w:spacing w:before="0" w:beforeAutospacing="0" w:after="0" w:afterAutospacing="0" w:line="240" w:lineRule="auto"/>
                    <w:ind w:right="0"/>
                    <w:jc w:val="center"/>
                    <w:rPr>
                      <w:rFonts w:hint="default" w:cs="Times New Roman"/>
                      <w:color w:val="auto"/>
                      <w:lang w:val="en-US" w:eastAsia="zh-CN"/>
                    </w:rPr>
                  </w:pPr>
                  <w:r>
                    <w:rPr>
                      <w:rFonts w:hint="eastAsia" w:cs="Times New Roman"/>
                      <w:color w:val="auto"/>
                      <w:lang w:val="en-US" w:eastAsia="zh-CN"/>
                    </w:rPr>
                    <w:t>1</w:t>
                  </w:r>
                </w:p>
              </w:tc>
              <w:tc>
                <w:tcPr>
                  <w:tcW w:w="841" w:type="pct"/>
                  <w:vAlign w:val="center"/>
                </w:tcPr>
                <w:p>
                  <w:pPr>
                    <w:pStyle w:val="30"/>
                    <w:keepNext w:val="0"/>
                    <w:keepLines w:val="0"/>
                    <w:suppressLineNumbers w:val="0"/>
                    <w:bidi w:val="0"/>
                    <w:spacing w:before="0" w:beforeAutospacing="0" w:after="0" w:afterAutospacing="0" w:line="240" w:lineRule="auto"/>
                    <w:ind w:right="0"/>
                    <w:jc w:val="center"/>
                    <w:rPr>
                      <w:rFonts w:hint="default" w:ascii="Times New Roman" w:hAnsi="Times New Roman" w:eastAsia="宋体" w:cs="Times New Roman"/>
                      <w:color w:val="auto"/>
                      <w:lang w:val="en-US" w:eastAsia="zh-CN"/>
                    </w:rPr>
                  </w:pPr>
                  <w:r>
                    <w:rPr>
                      <w:rFonts w:hint="eastAsia" w:cs="Times New Roman"/>
                      <w:color w:val="auto"/>
                      <w:lang w:val="en-US" w:eastAsia="zh-CN"/>
                    </w:rPr>
                    <w:t>重点防渗区</w:t>
                  </w:r>
                </w:p>
              </w:tc>
              <w:tc>
                <w:tcPr>
                  <w:tcW w:w="1102" w:type="pct"/>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危废暂存间、化粪池</w:t>
                  </w:r>
                </w:p>
              </w:tc>
              <w:tc>
                <w:tcPr>
                  <w:tcW w:w="2484" w:type="pct"/>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至少1m厚</w:t>
                  </w:r>
                  <w:r>
                    <w:rPr>
                      <w:rFonts w:hint="eastAsia" w:cs="Times New Roman"/>
                      <w:color w:val="auto"/>
                      <w:kern w:val="2"/>
                      <w:sz w:val="21"/>
                      <w:szCs w:val="21"/>
                      <w:lang w:val="en-US" w:eastAsia="zh-CN" w:bidi="ar-SA"/>
                    </w:rPr>
                    <w:t>黏土</w:t>
                  </w:r>
                  <w:r>
                    <w:rPr>
                      <w:rFonts w:hint="default" w:ascii="Times New Roman" w:hAnsi="Times New Roman" w:eastAsia="宋体" w:cs="Times New Roman"/>
                      <w:color w:val="auto"/>
                      <w:kern w:val="2"/>
                      <w:sz w:val="21"/>
                      <w:szCs w:val="21"/>
                      <w:lang w:val="en-US" w:eastAsia="zh-CN" w:bidi="ar-SA"/>
                    </w:rPr>
                    <w:t>层（渗透系数≤10</w:t>
                  </w:r>
                  <w:r>
                    <w:rPr>
                      <w:rFonts w:hint="default" w:ascii="Times New Roman" w:hAnsi="Times New Roman" w:eastAsia="宋体" w:cs="Times New Roman"/>
                      <w:color w:val="auto"/>
                      <w:kern w:val="2"/>
                      <w:sz w:val="21"/>
                      <w:szCs w:val="21"/>
                      <w:vertAlign w:val="superscript"/>
                      <w:lang w:val="en-US" w:eastAsia="zh-CN" w:bidi="ar-SA"/>
                    </w:rPr>
                    <w:t>-7</w:t>
                  </w:r>
                  <w:r>
                    <w:rPr>
                      <w:rFonts w:hint="default" w:ascii="Times New Roman" w:hAnsi="Times New Roman" w:eastAsia="宋体" w:cs="Times New Roman"/>
                      <w:color w:val="auto"/>
                      <w:kern w:val="2"/>
                      <w:sz w:val="21"/>
                      <w:szCs w:val="21"/>
                      <w:lang w:val="en-US" w:eastAsia="zh-CN" w:bidi="ar-SA"/>
                    </w:rPr>
                    <w:t>cm/s），或者2mm 厚高密度聚乙烯，或至少2mm的其他人工材料（渗透系数≤10</w:t>
                  </w:r>
                  <w:r>
                    <w:rPr>
                      <w:rFonts w:hint="default" w:ascii="Times New Roman" w:hAnsi="Times New Roman" w:eastAsia="宋体" w:cs="Times New Roman"/>
                      <w:color w:val="auto"/>
                      <w:kern w:val="2"/>
                      <w:sz w:val="21"/>
                      <w:szCs w:val="21"/>
                      <w:vertAlign w:val="superscript"/>
                      <w:lang w:val="en-US" w:eastAsia="zh-CN" w:bidi="ar-SA"/>
                    </w:rPr>
                    <w:t>-</w:t>
                  </w:r>
                  <w:r>
                    <w:rPr>
                      <w:rFonts w:hint="eastAsia" w:cs="Times New Roman"/>
                      <w:color w:val="auto"/>
                      <w:kern w:val="2"/>
                      <w:sz w:val="21"/>
                      <w:szCs w:val="21"/>
                      <w:vertAlign w:val="superscript"/>
                      <w:lang w:val="en-US" w:eastAsia="zh-CN" w:bidi="ar-SA"/>
                    </w:rPr>
                    <w:t>7</w:t>
                  </w:r>
                  <w:r>
                    <w:rPr>
                      <w:rFonts w:hint="default" w:ascii="Times New Roman" w:hAnsi="Times New Roman" w:eastAsia="宋体" w:cs="Times New Roman"/>
                      <w:color w:val="auto"/>
                      <w:kern w:val="2"/>
                      <w:sz w:val="21"/>
                      <w:szCs w:val="21"/>
                      <w:lang w:val="en-US" w:eastAsia="zh-CN" w:bidi="ar-SA"/>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71" w:type="pct"/>
                  <w:vAlign w:val="center"/>
                </w:tcPr>
                <w:p>
                  <w:pPr>
                    <w:pStyle w:val="30"/>
                    <w:keepNext w:val="0"/>
                    <w:keepLines w:val="0"/>
                    <w:suppressLineNumbers w:val="0"/>
                    <w:bidi w:val="0"/>
                    <w:spacing w:before="0" w:beforeAutospacing="0" w:after="0" w:afterAutospacing="0" w:line="240" w:lineRule="auto"/>
                    <w:ind w:right="0"/>
                    <w:jc w:val="center"/>
                    <w:rPr>
                      <w:rFonts w:hint="default" w:ascii="Times New Roman" w:hAnsi="Times New Roman" w:eastAsia="宋体" w:cs="Times New Roman"/>
                      <w:color w:val="auto"/>
                      <w:lang w:val="en-US" w:eastAsia="zh-CN"/>
                    </w:rPr>
                  </w:pPr>
                  <w:r>
                    <w:rPr>
                      <w:rFonts w:hint="eastAsia" w:cs="Times New Roman"/>
                      <w:color w:val="auto"/>
                      <w:lang w:val="en-US" w:eastAsia="zh-CN"/>
                    </w:rPr>
                    <w:t>2</w:t>
                  </w:r>
                </w:p>
              </w:tc>
              <w:tc>
                <w:tcPr>
                  <w:tcW w:w="841" w:type="pct"/>
                  <w:vAlign w:val="center"/>
                </w:tcPr>
                <w:p>
                  <w:pPr>
                    <w:pStyle w:val="30"/>
                    <w:keepNext w:val="0"/>
                    <w:keepLines w:val="0"/>
                    <w:suppressLineNumbers w:val="0"/>
                    <w:bidi w:val="0"/>
                    <w:spacing w:before="0" w:beforeAutospacing="0" w:after="0" w:afterAutospacing="0" w:line="240" w:lineRule="auto"/>
                    <w:ind w:right="0"/>
                    <w:jc w:val="center"/>
                    <w:rPr>
                      <w:rFonts w:hint="default" w:ascii="Times New Roman" w:hAnsi="Times New Roman" w:cs="Times New Roman"/>
                      <w:color w:val="auto"/>
                    </w:rPr>
                  </w:pPr>
                  <w:r>
                    <w:rPr>
                      <w:rFonts w:hint="default" w:ascii="Times New Roman" w:hAnsi="Times New Roman" w:cs="Times New Roman"/>
                      <w:color w:val="auto"/>
                    </w:rPr>
                    <w:t>一般防渗区</w:t>
                  </w:r>
                </w:p>
              </w:tc>
              <w:tc>
                <w:tcPr>
                  <w:tcW w:w="1102" w:type="pct"/>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沉淀池</w:t>
                  </w:r>
                </w:p>
              </w:tc>
              <w:tc>
                <w:tcPr>
                  <w:tcW w:w="2484" w:type="pct"/>
                  <w:vAlign w:val="center"/>
                </w:tcPr>
                <w:p>
                  <w:pPr>
                    <w:keepNext w:val="0"/>
                    <w:keepLines w:val="0"/>
                    <w:widowControl/>
                    <w:suppressLineNumbers w:val="0"/>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池体混凝土抗渗等级S6，防渗性能应不低于 1.5m 厚渗透系数≤1.0×10</w:t>
                  </w:r>
                  <w:r>
                    <w:rPr>
                      <w:rFonts w:hint="default" w:ascii="Times New Roman" w:hAnsi="Times New Roman" w:eastAsia="宋体" w:cs="Times New Roman"/>
                      <w:color w:val="auto"/>
                      <w:kern w:val="2"/>
                      <w:sz w:val="21"/>
                      <w:szCs w:val="21"/>
                      <w:vertAlign w:val="superscript"/>
                      <w:lang w:val="en-US" w:eastAsia="zh-CN" w:bidi="ar-SA"/>
                    </w:rPr>
                    <w:t>-7</w:t>
                  </w:r>
                  <w:r>
                    <w:rPr>
                      <w:rFonts w:hint="default" w:ascii="Times New Roman" w:hAnsi="Times New Roman" w:eastAsia="宋体" w:cs="Times New Roman"/>
                      <w:color w:val="auto"/>
                      <w:kern w:val="2"/>
                      <w:sz w:val="21"/>
                      <w:szCs w:val="21"/>
                      <w:lang w:val="en-US" w:eastAsia="zh-CN" w:bidi="ar-SA"/>
                    </w:rPr>
                    <w:t>cm/s 的黏土层性能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pStyle w:val="30"/>
                    <w:keepNext w:val="0"/>
                    <w:keepLines w:val="0"/>
                    <w:suppressLineNumbers w:val="0"/>
                    <w:bidi w:val="0"/>
                    <w:spacing w:before="0" w:beforeAutospacing="0" w:after="0" w:afterAutospacing="0" w:line="240" w:lineRule="auto"/>
                    <w:ind w:right="0"/>
                    <w:rPr>
                      <w:rFonts w:hint="default" w:ascii="Times New Roman" w:hAnsi="Times New Roman" w:eastAsia="宋体" w:cs="Times New Roman"/>
                      <w:color w:val="auto"/>
                      <w:lang w:val="en-US" w:eastAsia="zh-CN"/>
                    </w:rPr>
                  </w:pPr>
                  <w:r>
                    <w:rPr>
                      <w:rFonts w:hint="eastAsia" w:cs="Times New Roman"/>
                      <w:color w:val="auto"/>
                      <w:lang w:val="en-US" w:eastAsia="zh-CN"/>
                    </w:rPr>
                    <w:t>3</w:t>
                  </w:r>
                </w:p>
              </w:tc>
              <w:tc>
                <w:tcPr>
                  <w:tcW w:w="841" w:type="pct"/>
                  <w:vAlign w:val="center"/>
                </w:tcPr>
                <w:p>
                  <w:pPr>
                    <w:pStyle w:val="30"/>
                    <w:keepNext w:val="0"/>
                    <w:keepLines w:val="0"/>
                    <w:suppressLineNumbers w:val="0"/>
                    <w:bidi w:val="0"/>
                    <w:spacing w:before="0" w:beforeAutospacing="0" w:after="0" w:afterAutospacing="0" w:line="240" w:lineRule="auto"/>
                    <w:ind w:right="0"/>
                    <w:rPr>
                      <w:rFonts w:hint="default" w:ascii="Times New Roman" w:hAnsi="Times New Roman" w:cs="Times New Roman"/>
                      <w:color w:val="auto"/>
                    </w:rPr>
                  </w:pPr>
                  <w:r>
                    <w:rPr>
                      <w:rFonts w:hint="default" w:ascii="Times New Roman" w:hAnsi="Times New Roman" w:cs="Times New Roman"/>
                      <w:color w:val="auto"/>
                    </w:rPr>
                    <w:t>简单防渗区</w:t>
                  </w:r>
                </w:p>
              </w:tc>
              <w:tc>
                <w:tcPr>
                  <w:tcW w:w="1102" w:type="pct"/>
                  <w:vAlign w:val="center"/>
                </w:tcPr>
                <w:p>
                  <w:pPr>
                    <w:pStyle w:val="30"/>
                    <w:keepNext w:val="0"/>
                    <w:keepLines w:val="0"/>
                    <w:suppressLineNumbers w:val="0"/>
                    <w:bidi w:val="0"/>
                    <w:spacing w:before="0" w:beforeAutospacing="0" w:after="0" w:afterAutospacing="0" w:line="240" w:lineRule="auto"/>
                    <w:ind w:right="0"/>
                    <w:rPr>
                      <w:rFonts w:hint="default" w:ascii="Times New Roman" w:hAnsi="Times New Roman" w:cs="Times New Roman"/>
                      <w:color w:val="auto"/>
                    </w:rPr>
                  </w:pPr>
                  <w:r>
                    <w:rPr>
                      <w:rFonts w:hint="default" w:ascii="Times New Roman" w:hAnsi="Times New Roman" w:cs="Times New Roman"/>
                      <w:color w:val="auto"/>
                    </w:rPr>
                    <w:t>厂区其他区域</w:t>
                  </w:r>
                </w:p>
              </w:tc>
              <w:tc>
                <w:tcPr>
                  <w:tcW w:w="2484" w:type="pct"/>
                  <w:vAlign w:val="center"/>
                </w:tcPr>
                <w:p>
                  <w:pPr>
                    <w:pStyle w:val="30"/>
                    <w:keepNext w:val="0"/>
                    <w:keepLines w:val="0"/>
                    <w:suppressLineNumbers w:val="0"/>
                    <w:bidi w:val="0"/>
                    <w:spacing w:before="0" w:beforeAutospacing="0" w:after="0" w:afterAutospacing="0" w:line="240" w:lineRule="auto"/>
                    <w:ind w:right="0"/>
                    <w:rPr>
                      <w:rFonts w:hint="default" w:ascii="Times New Roman" w:hAnsi="Times New Roman" w:cs="Times New Roman"/>
                      <w:color w:val="auto"/>
                    </w:rPr>
                  </w:pPr>
                  <w:r>
                    <w:rPr>
                      <w:rFonts w:hint="default" w:ascii="Times New Roman" w:hAnsi="Times New Roman" w:cs="Times New Roman"/>
                      <w:color w:val="auto"/>
                    </w:rPr>
                    <w:t>一般地面硬化</w:t>
                  </w:r>
                </w:p>
              </w:tc>
            </w:tr>
          </w:tbl>
          <w:p>
            <w:pPr>
              <w:bidi w:val="0"/>
              <w:rPr>
                <w:rFonts w:hint="eastAsia" w:ascii="Times New Roman" w:hAnsi="Times New Roman" w:eastAsia="宋体" w:cs="Times New Roman"/>
                <w:color w:val="auto"/>
                <w:lang w:val="en-US" w:eastAsia="zh-CN"/>
              </w:rPr>
            </w:pPr>
            <w:r>
              <w:rPr>
                <w:rFonts w:hint="default" w:ascii="Times New Roman" w:hAnsi="Times New Roman" w:cs="Times New Roman"/>
                <w:color w:val="auto"/>
              </w:rPr>
              <w:t>上述措施可有效防止</w:t>
            </w:r>
            <w:r>
              <w:rPr>
                <w:rFonts w:hint="default" w:ascii="Times New Roman" w:hAnsi="Times New Roman" w:cs="Times New Roman"/>
                <w:color w:val="auto"/>
                <w:lang w:val="en-US" w:eastAsia="zh-CN"/>
              </w:rPr>
              <w:t>贮存区域物料储存过程</w:t>
            </w:r>
            <w:r>
              <w:rPr>
                <w:rFonts w:hint="default" w:ascii="Times New Roman" w:hAnsi="Times New Roman" w:cs="Times New Roman"/>
                <w:color w:val="auto"/>
              </w:rPr>
              <w:t>对地下水</w:t>
            </w:r>
            <w:r>
              <w:rPr>
                <w:rFonts w:hint="default" w:ascii="Times New Roman" w:hAnsi="Times New Roman" w:cs="Times New Roman"/>
                <w:color w:val="auto"/>
                <w:lang w:val="en-US" w:eastAsia="zh-CN"/>
              </w:rPr>
              <w:t>和土壤</w:t>
            </w:r>
            <w:r>
              <w:rPr>
                <w:rFonts w:hint="default" w:ascii="Times New Roman" w:hAnsi="Times New Roman" w:cs="Times New Roman"/>
                <w:color w:val="auto"/>
              </w:rPr>
              <w:t>的影响</w:t>
            </w:r>
            <w:r>
              <w:rPr>
                <w:rFonts w:hint="eastAsia" w:cs="Times New Roman"/>
                <w:color w:val="auto"/>
                <w:lang w:eastAsia="zh-CN"/>
              </w:rPr>
              <w:t>。</w:t>
            </w:r>
          </w:p>
          <w:p>
            <w:pPr>
              <w:bidi w:val="0"/>
              <w:ind w:left="0" w:leftChars="0" w:firstLine="0" w:firstLineChars="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5.3 跟踪监测</w:t>
            </w:r>
          </w:p>
          <w:p>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根据污染影响类指南相关章节要求，本项目在采取地面防渗、应急收集等措施下，不存在地下水、土壤污染途径，故本次不提出地下水、土壤跟踪监测的要求。</w:t>
            </w:r>
          </w:p>
          <w:p>
            <w:pPr>
              <w:bidi w:val="0"/>
              <w:ind w:left="0" w:leftChars="0" w:firstLine="0" w:firstLineChars="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6环境风险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bCs/>
                <w:color w:val="auto"/>
                <w:sz w:val="24"/>
                <w:szCs w:val="24"/>
              </w:rPr>
            </w:pPr>
            <w:r>
              <w:rPr>
                <w:rFonts w:hint="eastAsia" w:cs="Times New Roman"/>
                <w:b/>
                <w:bCs/>
                <w:color w:val="auto"/>
                <w:sz w:val="24"/>
                <w:szCs w:val="24"/>
                <w:lang w:val="en-US" w:eastAsia="zh-CN"/>
              </w:rPr>
              <w:t>6.1</w:t>
            </w:r>
            <w:r>
              <w:rPr>
                <w:rFonts w:hint="default" w:ascii="Times New Roman" w:hAnsi="Times New Roman" w:eastAsia="宋体" w:cs="Times New Roman"/>
                <w:b/>
                <w:bCs/>
                <w:color w:val="auto"/>
                <w:sz w:val="24"/>
                <w:szCs w:val="24"/>
              </w:rPr>
              <w:t xml:space="preserve">风险潜势初判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建设项目环境风险评价技术导则》（HJ169-2018），项目所涉及的每种危险物质在厂界内的最大存在总量与其对应临界量的比值Q来表征危险性。当只涉及一种危险物质时，计算该物质的总量与其临界值比值，即为Q；当存在多种危险物质时，则按下式计算物质总量与其临界量比值（Q）。</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drawing>
                <wp:inline distT="0" distB="0" distL="114300" distR="114300">
                  <wp:extent cx="1371600" cy="457200"/>
                  <wp:effectExtent l="0" t="0" r="0" b="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24"/>
                          <a:stretch>
                            <a:fillRect/>
                          </a:stretch>
                        </pic:blipFill>
                        <pic:spPr>
                          <a:xfrm>
                            <a:off x="0" y="0"/>
                            <a:ext cx="1371600" cy="4572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q1，q2，...，qn——每种危险物质的最大存在总量，t；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Q1，</w:t>
            </w:r>
            <w:r>
              <w:rPr>
                <w:rFonts w:hint="default" w:ascii="Times New Roman" w:hAnsi="Times New Roman" w:eastAsia="宋体" w:cs="Times New Roman"/>
                <w:color w:val="auto"/>
                <w:sz w:val="24"/>
                <w:szCs w:val="24"/>
                <w:lang w:val="en-US" w:eastAsia="zh-CN"/>
              </w:rPr>
              <w:t>Q</w:t>
            </w:r>
            <w:r>
              <w:rPr>
                <w:rFonts w:hint="default" w:ascii="Times New Roman" w:hAnsi="Times New Roman" w:eastAsia="宋体" w:cs="Times New Roman"/>
                <w:color w:val="auto"/>
                <w:sz w:val="24"/>
                <w:szCs w:val="24"/>
              </w:rPr>
              <w:t>2，...，Qn——每种危险物质的临界量，</w:t>
            </w:r>
            <w:r>
              <w:rPr>
                <w:rFonts w:hint="default" w:ascii="Times New Roman" w:hAnsi="Times New Roman" w:eastAsia="宋体" w:cs="Times New Roman"/>
                <w:color w:val="auto"/>
                <w:sz w:val="24"/>
                <w:szCs w:val="24"/>
                <w:lang w:val="en-US" w:eastAsia="zh-CN"/>
              </w:rPr>
              <w:t>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当Q≤1时，该项目环境分析潜势为Ⅰ</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当Q≥1时，将Q值划分为：（1）1≤Q＜10；（2）10≤Q＜100；（3） Q≥100。</w:t>
            </w:r>
          </w:p>
          <w:p>
            <w:pPr>
              <w:pStyle w:val="50"/>
              <w:spacing w:line="240" w:lineRule="auto"/>
              <w:ind w:left="1589" w:firstLine="843" w:firstLineChars="40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表4-</w:t>
            </w:r>
            <w:r>
              <w:rPr>
                <w:rFonts w:hint="eastAsia" w:ascii="Times New Roman" w:hAnsi="Times New Roman" w:cs="Times New Roman"/>
                <w:color w:val="auto"/>
                <w:sz w:val="21"/>
                <w:szCs w:val="21"/>
                <w:highlight w:val="none"/>
                <w:lang w:val="en-US" w:eastAsia="zh-CN"/>
              </w:rPr>
              <w:t xml:space="preserve">17   </w:t>
            </w:r>
            <w:r>
              <w:rPr>
                <w:rFonts w:hint="default" w:ascii="Times New Roman" w:hAnsi="Times New Roman" w:eastAsia="宋体" w:cs="Times New Roman"/>
                <w:color w:val="auto"/>
                <w:sz w:val="21"/>
                <w:szCs w:val="21"/>
                <w:highlight w:val="none"/>
              </w:rPr>
              <w:t>危险物质生产单元及贮存单元物质量一览表</w:t>
            </w:r>
          </w:p>
          <w:tbl>
            <w:tblPr>
              <w:tblStyle w:val="23"/>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742"/>
              <w:gridCol w:w="2547"/>
              <w:gridCol w:w="1811"/>
              <w:gridCol w:w="2006"/>
              <w:gridCol w:w="20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7" w:hRule="atLeast"/>
                <w:jc w:val="center"/>
              </w:trPr>
              <w:tc>
                <w:tcPr>
                  <w:tcW w:w="406" w:type="pct"/>
                  <w:tcBorders>
                    <w:top w:val="single" w:color="auto" w:sz="4" w:space="0"/>
                    <w:left w:val="single" w:color="auto" w:sz="4" w:space="0"/>
                    <w:bottom w:val="nil"/>
                    <w:right w:val="nil"/>
                  </w:tcBorders>
                  <w:vAlign w:val="center"/>
                </w:tcPr>
                <w:p>
                  <w:pPr>
                    <w:pStyle w:val="46"/>
                    <w:spacing w:line="240" w:lineRule="auto"/>
                    <w:ind w:left="0" w:leftChars="0" w:firstLine="0" w:firstLineChars="0"/>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394" w:type="pct"/>
                  <w:tcBorders>
                    <w:top w:val="single" w:color="auto" w:sz="4" w:space="0"/>
                    <w:left w:val="single" w:color="auto" w:sz="4" w:space="0"/>
                    <w:bottom w:val="nil"/>
                    <w:right w:val="nil"/>
                  </w:tcBorders>
                  <w:vAlign w:val="center"/>
                </w:tcPr>
                <w:p>
                  <w:pPr>
                    <w:pStyle w:val="46"/>
                    <w:spacing w:line="240" w:lineRule="auto"/>
                    <w:jc w:val="center"/>
                    <w:rPr>
                      <w:rFonts w:ascii="Times New Roman" w:hAnsi="Times New Roman"/>
                      <w:b/>
                      <w:bCs/>
                      <w:color w:val="auto"/>
                      <w:sz w:val="21"/>
                      <w:szCs w:val="21"/>
                    </w:rPr>
                  </w:pPr>
                  <w:r>
                    <w:rPr>
                      <w:rFonts w:ascii="Times New Roman" w:hAnsi="Times New Roman"/>
                      <w:b/>
                      <w:bCs/>
                      <w:color w:val="auto"/>
                      <w:sz w:val="21"/>
                      <w:szCs w:val="21"/>
                    </w:rPr>
                    <w:t>物质名称</w:t>
                  </w:r>
                </w:p>
              </w:tc>
              <w:tc>
                <w:tcPr>
                  <w:tcW w:w="991" w:type="pct"/>
                  <w:tcBorders>
                    <w:top w:val="single" w:color="auto" w:sz="4" w:space="0"/>
                    <w:left w:val="single" w:color="auto" w:sz="4" w:space="0"/>
                    <w:bottom w:val="nil"/>
                    <w:right w:val="nil"/>
                  </w:tcBorders>
                  <w:vAlign w:val="center"/>
                </w:tcPr>
                <w:p>
                  <w:pPr>
                    <w:pStyle w:val="46"/>
                    <w:spacing w:line="240" w:lineRule="auto"/>
                    <w:ind w:left="0" w:leftChars="0" w:firstLine="0" w:firstLineChars="0"/>
                    <w:jc w:val="center"/>
                    <w:rPr>
                      <w:rFonts w:ascii="Times New Roman" w:hAnsi="Times New Roman"/>
                      <w:b/>
                      <w:bCs/>
                      <w:color w:val="auto"/>
                      <w:sz w:val="21"/>
                      <w:szCs w:val="21"/>
                    </w:rPr>
                  </w:pPr>
                  <w:r>
                    <w:rPr>
                      <w:rFonts w:hint="eastAsia" w:ascii="Times New Roman" w:hAnsi="Times New Roman"/>
                      <w:b/>
                      <w:bCs/>
                      <w:color w:val="auto"/>
                      <w:sz w:val="21"/>
                      <w:szCs w:val="21"/>
                      <w:lang w:val="en-US" w:eastAsia="zh-CN"/>
                    </w:rPr>
                    <w:t>最大</w:t>
                  </w:r>
                  <w:r>
                    <w:rPr>
                      <w:rFonts w:ascii="Times New Roman" w:hAnsi="Times New Roman"/>
                      <w:b/>
                      <w:bCs/>
                      <w:color w:val="auto"/>
                      <w:sz w:val="21"/>
                      <w:szCs w:val="21"/>
                    </w:rPr>
                    <w:t>储存量（</w:t>
                  </w:r>
                  <w:r>
                    <w:rPr>
                      <w:rFonts w:hint="eastAsia" w:ascii="Times New Roman" w:hAnsi="Times New Roman"/>
                      <w:b/>
                      <w:bCs/>
                      <w:color w:val="auto"/>
                      <w:sz w:val="21"/>
                      <w:szCs w:val="21"/>
                      <w:lang w:val="en-US" w:eastAsia="zh-CN"/>
                    </w:rPr>
                    <w:t>吨</w:t>
                  </w:r>
                  <w:r>
                    <w:rPr>
                      <w:rFonts w:ascii="Times New Roman" w:hAnsi="Times New Roman"/>
                      <w:b/>
                      <w:bCs/>
                      <w:color w:val="auto"/>
                      <w:sz w:val="21"/>
                      <w:szCs w:val="21"/>
                    </w:rPr>
                    <w:t>）</w:t>
                  </w:r>
                </w:p>
              </w:tc>
              <w:tc>
                <w:tcPr>
                  <w:tcW w:w="1097" w:type="pct"/>
                  <w:tcBorders>
                    <w:top w:val="single" w:color="auto" w:sz="4" w:space="0"/>
                    <w:left w:val="single" w:color="auto" w:sz="4" w:space="0"/>
                    <w:bottom w:val="nil"/>
                    <w:right w:val="nil"/>
                  </w:tcBorders>
                  <w:vAlign w:val="center"/>
                </w:tcPr>
                <w:p>
                  <w:pPr>
                    <w:pStyle w:val="46"/>
                    <w:spacing w:line="240" w:lineRule="auto"/>
                    <w:jc w:val="center"/>
                    <w:rPr>
                      <w:rFonts w:ascii="Times New Roman" w:hAnsi="Times New Roman"/>
                      <w:b/>
                      <w:bCs/>
                      <w:color w:val="auto"/>
                      <w:sz w:val="21"/>
                      <w:szCs w:val="21"/>
                    </w:rPr>
                  </w:pPr>
                  <w:r>
                    <w:rPr>
                      <w:rFonts w:ascii="Times New Roman" w:hAnsi="Times New Roman"/>
                      <w:b/>
                      <w:bCs/>
                      <w:color w:val="auto"/>
                      <w:sz w:val="21"/>
                      <w:szCs w:val="21"/>
                    </w:rPr>
                    <w:t>临界量（</w:t>
                  </w:r>
                  <w:r>
                    <w:rPr>
                      <w:rFonts w:hint="eastAsia" w:ascii="Times New Roman" w:hAnsi="Times New Roman"/>
                      <w:b/>
                      <w:bCs/>
                      <w:color w:val="auto"/>
                      <w:sz w:val="21"/>
                      <w:szCs w:val="21"/>
                      <w:lang w:val="en-US" w:eastAsia="zh-CN"/>
                    </w:rPr>
                    <w:t>吨</w:t>
                  </w:r>
                  <w:r>
                    <w:rPr>
                      <w:rFonts w:ascii="Times New Roman" w:hAnsi="Times New Roman"/>
                      <w:b/>
                      <w:bCs/>
                      <w:color w:val="auto"/>
                      <w:sz w:val="21"/>
                      <w:szCs w:val="21"/>
                    </w:rPr>
                    <w:t>）</w:t>
                  </w:r>
                </w:p>
              </w:tc>
              <w:tc>
                <w:tcPr>
                  <w:tcW w:w="1110" w:type="pct"/>
                  <w:tcBorders>
                    <w:top w:val="single" w:color="auto" w:sz="4" w:space="0"/>
                    <w:left w:val="single" w:color="auto" w:sz="4" w:space="0"/>
                    <w:bottom w:val="nil"/>
                    <w:right w:val="single" w:color="auto" w:sz="4" w:space="0"/>
                  </w:tcBorders>
                  <w:vAlign w:val="center"/>
                </w:tcPr>
                <w:p>
                  <w:pPr>
                    <w:pStyle w:val="46"/>
                    <w:spacing w:line="240" w:lineRule="auto"/>
                    <w:jc w:val="center"/>
                    <w:rPr>
                      <w:rFonts w:ascii="Times New Roman" w:hAnsi="Times New Roman"/>
                      <w:b/>
                      <w:bCs/>
                      <w:color w:val="auto"/>
                      <w:sz w:val="21"/>
                      <w:szCs w:val="21"/>
                    </w:rPr>
                  </w:pPr>
                  <w:r>
                    <w:rPr>
                      <w:rFonts w:ascii="Times New Roman" w:hAnsi="Times New Roman"/>
                      <w:b/>
                      <w:bCs/>
                      <w:color w:val="auto"/>
                      <w:sz w:val="21"/>
                      <w:szCs w:val="21"/>
                    </w:rPr>
                    <w:t>qn/Qn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7" w:hRule="atLeast"/>
                <w:jc w:val="center"/>
              </w:trPr>
              <w:tc>
                <w:tcPr>
                  <w:tcW w:w="406" w:type="pct"/>
                  <w:tcBorders>
                    <w:top w:val="single" w:color="auto" w:sz="4" w:space="0"/>
                    <w:left w:val="single" w:color="auto" w:sz="4" w:space="0"/>
                    <w:bottom w:val="single" w:color="auto" w:sz="4" w:space="0"/>
                    <w:right w:val="nil"/>
                  </w:tcBorders>
                  <w:vAlign w:val="center"/>
                </w:tcPr>
                <w:p>
                  <w:pPr>
                    <w:pStyle w:val="46"/>
                    <w:spacing w:line="240" w:lineRule="auto"/>
                    <w:jc w:val="center"/>
                    <w:rPr>
                      <w:rFonts w:ascii="Times New Roman" w:hAnsi="Times New Roman"/>
                      <w:color w:val="auto"/>
                      <w:sz w:val="21"/>
                      <w:szCs w:val="21"/>
                    </w:rPr>
                  </w:pPr>
                  <w:r>
                    <w:rPr>
                      <w:rFonts w:ascii="Times New Roman" w:hAnsi="Times New Roman"/>
                      <w:color w:val="auto"/>
                      <w:sz w:val="21"/>
                      <w:szCs w:val="21"/>
                    </w:rPr>
                    <w:t>1</w:t>
                  </w:r>
                </w:p>
              </w:tc>
              <w:tc>
                <w:tcPr>
                  <w:tcW w:w="1394" w:type="pct"/>
                  <w:tcBorders>
                    <w:top w:val="single" w:color="auto" w:sz="4" w:space="0"/>
                    <w:left w:val="single" w:color="auto" w:sz="4" w:space="0"/>
                    <w:bottom w:val="single" w:color="auto" w:sz="4" w:space="0"/>
                    <w:right w:val="nil"/>
                  </w:tcBorders>
                  <w:vAlign w:val="center"/>
                </w:tcPr>
                <w:p>
                  <w:pPr>
                    <w:pStyle w:val="46"/>
                    <w:spacing w:line="240" w:lineRule="auto"/>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矿物油</w:t>
                  </w:r>
                </w:p>
              </w:tc>
              <w:tc>
                <w:tcPr>
                  <w:tcW w:w="991" w:type="pct"/>
                  <w:tcBorders>
                    <w:top w:val="single" w:color="auto" w:sz="4" w:space="0"/>
                    <w:left w:val="single" w:color="auto" w:sz="4" w:space="0"/>
                    <w:bottom w:val="single" w:color="auto" w:sz="4" w:space="0"/>
                    <w:right w:val="nil"/>
                  </w:tcBorders>
                  <w:vAlign w:val="center"/>
                </w:tcPr>
                <w:p>
                  <w:pPr>
                    <w:pStyle w:val="46"/>
                    <w:spacing w:line="240" w:lineRule="auto"/>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0.2</w:t>
                  </w:r>
                </w:p>
              </w:tc>
              <w:tc>
                <w:tcPr>
                  <w:tcW w:w="1097" w:type="pct"/>
                  <w:tcBorders>
                    <w:top w:val="single" w:color="auto" w:sz="4" w:space="0"/>
                    <w:left w:val="single" w:color="auto" w:sz="4" w:space="0"/>
                    <w:bottom w:val="single" w:color="auto" w:sz="4" w:space="0"/>
                    <w:right w:val="nil"/>
                  </w:tcBorders>
                  <w:vAlign w:val="center"/>
                </w:tcPr>
                <w:p>
                  <w:pPr>
                    <w:pStyle w:val="46"/>
                    <w:spacing w:line="240" w:lineRule="auto"/>
                    <w:jc w:val="center"/>
                    <w:rPr>
                      <w:rFonts w:ascii="Times New Roman" w:hAnsi="Times New Roman"/>
                      <w:color w:val="auto"/>
                      <w:sz w:val="21"/>
                      <w:szCs w:val="21"/>
                    </w:rPr>
                  </w:pPr>
                  <w:r>
                    <w:rPr>
                      <w:rFonts w:ascii="Times New Roman" w:hAnsi="Times New Roman"/>
                      <w:color w:val="auto"/>
                      <w:sz w:val="21"/>
                      <w:szCs w:val="21"/>
                    </w:rPr>
                    <w:t>2500</w:t>
                  </w:r>
                </w:p>
              </w:tc>
              <w:tc>
                <w:tcPr>
                  <w:tcW w:w="1110" w:type="pct"/>
                  <w:tcBorders>
                    <w:top w:val="single" w:color="auto" w:sz="4" w:space="0"/>
                    <w:left w:val="single" w:color="auto" w:sz="4" w:space="0"/>
                    <w:bottom w:val="single" w:color="auto" w:sz="4" w:space="0"/>
                    <w:right w:val="single" w:color="auto" w:sz="4" w:space="0"/>
                  </w:tcBorders>
                  <w:vAlign w:val="center"/>
                </w:tcPr>
                <w:p>
                  <w:pPr>
                    <w:pStyle w:val="46"/>
                    <w:spacing w:line="240" w:lineRule="auto"/>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0.00008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7" w:hRule="atLeast"/>
                <w:jc w:val="center"/>
              </w:trPr>
              <w:tc>
                <w:tcPr>
                  <w:tcW w:w="406" w:type="pct"/>
                  <w:tcBorders>
                    <w:top w:val="single" w:color="auto" w:sz="4" w:space="0"/>
                    <w:left w:val="single" w:color="auto" w:sz="4" w:space="0"/>
                    <w:bottom w:val="single" w:color="auto" w:sz="4" w:space="0"/>
                    <w:right w:val="nil"/>
                  </w:tcBorders>
                  <w:vAlign w:val="center"/>
                </w:tcPr>
                <w:p>
                  <w:pPr>
                    <w:pStyle w:val="46"/>
                    <w:spacing w:line="240" w:lineRule="auto"/>
                    <w:jc w:val="center"/>
                    <w:rPr>
                      <w:rFonts w:hint="eastAsia"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2</w:t>
                  </w:r>
                </w:p>
              </w:tc>
              <w:tc>
                <w:tcPr>
                  <w:tcW w:w="1394" w:type="pct"/>
                  <w:tcBorders>
                    <w:top w:val="single" w:color="auto" w:sz="4" w:space="0"/>
                    <w:left w:val="single" w:color="auto" w:sz="4" w:space="0"/>
                    <w:bottom w:val="single" w:color="auto" w:sz="4" w:space="0"/>
                    <w:right w:val="nil"/>
                  </w:tcBorders>
                  <w:vAlign w:val="center"/>
                </w:tcPr>
                <w:p>
                  <w:pPr>
                    <w:pStyle w:val="46"/>
                    <w:spacing w:line="240" w:lineRule="auto"/>
                    <w:jc w:val="center"/>
                    <w:rPr>
                      <w:rFonts w:hint="eastAsia" w:ascii="Times New Roman" w:hAnsi="Times New Roman"/>
                      <w:color w:val="auto"/>
                      <w:sz w:val="21"/>
                      <w:szCs w:val="21"/>
                      <w:lang w:val="en-US" w:eastAsia="zh-CN"/>
                    </w:rPr>
                  </w:pPr>
                  <w:r>
                    <w:rPr>
                      <w:rFonts w:hint="eastAsia" w:ascii="Times New Roman" w:hAnsi="Times New Roman" w:cs="Times New Roman"/>
                      <w:color w:val="auto"/>
                      <w:sz w:val="21"/>
                      <w:szCs w:val="21"/>
                      <w:lang w:val="en-US" w:eastAsia="zh-CN"/>
                    </w:rPr>
                    <w:t>废含油劳保用品</w:t>
                  </w:r>
                </w:p>
              </w:tc>
              <w:tc>
                <w:tcPr>
                  <w:tcW w:w="991" w:type="pct"/>
                  <w:tcBorders>
                    <w:top w:val="single" w:color="auto" w:sz="4" w:space="0"/>
                    <w:left w:val="single" w:color="auto" w:sz="4" w:space="0"/>
                    <w:bottom w:val="single" w:color="auto" w:sz="4" w:space="0"/>
                    <w:right w:val="nil"/>
                  </w:tcBorders>
                  <w:vAlign w:val="center"/>
                </w:tcPr>
                <w:p>
                  <w:pPr>
                    <w:pStyle w:val="46"/>
                    <w:spacing w:line="240" w:lineRule="auto"/>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0.02</w:t>
                  </w:r>
                </w:p>
              </w:tc>
              <w:tc>
                <w:tcPr>
                  <w:tcW w:w="1097" w:type="pct"/>
                  <w:tcBorders>
                    <w:top w:val="single" w:color="auto" w:sz="4" w:space="0"/>
                    <w:left w:val="single" w:color="auto" w:sz="4" w:space="0"/>
                    <w:bottom w:val="single" w:color="auto" w:sz="4" w:space="0"/>
                    <w:right w:val="nil"/>
                  </w:tcBorders>
                  <w:vAlign w:val="center"/>
                </w:tcPr>
                <w:p>
                  <w:pPr>
                    <w:pStyle w:val="46"/>
                    <w:spacing w:line="240" w:lineRule="auto"/>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50</w:t>
                  </w:r>
                  <w:r>
                    <w:rPr>
                      <w:rFonts w:hint="eastAsia" w:ascii="Times New Roman" w:hAnsi="Times New Roman"/>
                      <w:color w:val="auto"/>
                      <w:sz w:val="21"/>
                      <w:szCs w:val="21"/>
                      <w:vertAlign w:val="superscript"/>
                      <w:lang w:val="en-US" w:eastAsia="zh-CN"/>
                    </w:rPr>
                    <w:t>②</w:t>
                  </w:r>
                </w:p>
              </w:tc>
              <w:tc>
                <w:tcPr>
                  <w:tcW w:w="1110" w:type="pct"/>
                  <w:tcBorders>
                    <w:top w:val="single" w:color="auto" w:sz="4" w:space="0"/>
                    <w:left w:val="single" w:color="auto" w:sz="4" w:space="0"/>
                    <w:bottom w:val="single" w:color="auto" w:sz="4" w:space="0"/>
                    <w:right w:val="single" w:color="auto" w:sz="4" w:space="0"/>
                  </w:tcBorders>
                  <w:vAlign w:val="center"/>
                </w:tcPr>
                <w:p>
                  <w:pPr>
                    <w:pStyle w:val="46"/>
                    <w:spacing w:line="240" w:lineRule="auto"/>
                    <w:jc w:val="center"/>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0.0004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7" w:hRule="atLeast"/>
                <w:jc w:val="center"/>
              </w:trPr>
              <w:tc>
                <w:tcPr>
                  <w:tcW w:w="3889" w:type="pct"/>
                  <w:gridSpan w:val="4"/>
                  <w:tcBorders>
                    <w:top w:val="single" w:color="auto" w:sz="4" w:space="0"/>
                    <w:left w:val="single" w:color="auto" w:sz="4" w:space="0"/>
                    <w:bottom w:val="single" w:color="auto" w:sz="4" w:space="0"/>
                    <w:right w:val="nil"/>
                  </w:tcBorders>
                  <w:vAlign w:val="center"/>
                </w:tcPr>
                <w:p>
                  <w:pPr>
                    <w:pStyle w:val="46"/>
                    <w:spacing w:line="240" w:lineRule="auto"/>
                    <w:jc w:val="center"/>
                    <w:rPr>
                      <w:rFonts w:hint="eastAsia"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合计</w:t>
                  </w:r>
                </w:p>
              </w:tc>
              <w:tc>
                <w:tcPr>
                  <w:tcW w:w="1110" w:type="pct"/>
                  <w:tcBorders>
                    <w:top w:val="single" w:color="auto" w:sz="4" w:space="0"/>
                    <w:left w:val="single" w:color="auto" w:sz="4" w:space="0"/>
                    <w:bottom w:val="single" w:color="auto" w:sz="4" w:space="0"/>
                    <w:right w:val="single" w:color="auto" w:sz="4" w:space="0"/>
                  </w:tcBorders>
                  <w:vAlign w:val="center"/>
                </w:tcPr>
                <w:p>
                  <w:pPr>
                    <w:pStyle w:val="46"/>
                    <w:spacing w:line="240" w:lineRule="auto"/>
                    <w:jc w:val="center"/>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0.00048</w:t>
                  </w:r>
                </w:p>
              </w:tc>
            </w:tr>
          </w:tbl>
          <w:p>
            <w:pPr>
              <w:pStyle w:val="47"/>
              <w:ind w:firstLine="480"/>
              <w:rPr>
                <w:color w:val="auto"/>
                <w:sz w:val="24"/>
                <w:szCs w:val="24"/>
                <w:highlight w:val="none"/>
              </w:rPr>
            </w:pPr>
            <w:r>
              <w:rPr>
                <w:rFonts w:hint="eastAsia"/>
                <w:color w:val="auto"/>
                <w:sz w:val="24"/>
                <w:szCs w:val="24"/>
                <w:highlight w:val="none"/>
              </w:rPr>
              <w:t>注：①临界量数据参照《危险化学品重大危险源辨识》（GB18218-2018）危害水环境物质（急性毒性类别：急性1，慢性毒性类别：慢性1）；②临界量数据参照《危险化学品重大危险源辨识》（GB18218-2018）健康危险急性毒性物质（类别2，类别3）。</w:t>
            </w:r>
          </w:p>
          <w:p>
            <w:pPr>
              <w:pStyle w:val="47"/>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w:t>
            </w:r>
            <w:r>
              <w:rPr>
                <w:rFonts w:hint="default" w:ascii="Times New Roman" w:hAnsi="Times New Roman" w:eastAsia="宋体" w:cs="Times New Roman"/>
                <w:color w:val="auto"/>
                <w:sz w:val="24"/>
                <w:szCs w:val="24"/>
                <w:highlight w:val="none"/>
                <w:lang w:val="en-US" w:eastAsia="zh-CN"/>
              </w:rPr>
              <w:t>表4-</w:t>
            </w:r>
            <w:r>
              <w:rPr>
                <w:rFonts w:hint="eastAsia" w:cs="Times New Roman"/>
                <w:color w:val="auto"/>
                <w:sz w:val="24"/>
                <w:szCs w:val="24"/>
                <w:highlight w:val="none"/>
                <w:lang w:val="en-US" w:eastAsia="zh-CN"/>
              </w:rPr>
              <w:t>17</w:t>
            </w:r>
            <w:r>
              <w:rPr>
                <w:rFonts w:hint="default" w:ascii="Times New Roman" w:hAnsi="Times New Roman" w:eastAsia="宋体" w:cs="Times New Roman"/>
                <w:color w:val="auto"/>
                <w:sz w:val="24"/>
                <w:szCs w:val="24"/>
                <w:lang w:val="en-US" w:eastAsia="zh-CN"/>
              </w:rPr>
              <w:t>中对项目风险物质的Q值的统计，本项目危险物质及临界量的比值Q值为</w:t>
            </w:r>
            <w:r>
              <w:rPr>
                <w:rFonts w:hint="eastAsia" w:cs="Times New Roman"/>
                <w:color w:val="auto"/>
                <w:sz w:val="24"/>
                <w:szCs w:val="24"/>
                <w:lang w:val="en-US" w:eastAsia="zh-CN"/>
              </w:rPr>
              <w:t>0.00048</w:t>
            </w:r>
            <w:r>
              <w:rPr>
                <w:rFonts w:hint="default" w:ascii="Times New Roman" w:hAnsi="Times New Roman" w:eastAsia="宋体" w:cs="Times New Roman"/>
                <w:color w:val="auto"/>
                <w:sz w:val="24"/>
                <w:szCs w:val="24"/>
                <w:lang w:val="en-US" w:eastAsia="zh-CN"/>
              </w:rPr>
              <w:t>，因为</w:t>
            </w:r>
            <w:r>
              <w:rPr>
                <w:rFonts w:hint="eastAsia" w:cs="Times New Roman"/>
                <w:color w:val="auto"/>
                <w:sz w:val="24"/>
                <w:szCs w:val="24"/>
                <w:lang w:val="en-US" w:eastAsia="zh-CN"/>
              </w:rPr>
              <w:t>0.00048</w:t>
            </w:r>
            <w:r>
              <w:rPr>
                <w:rFonts w:hint="default" w:ascii="Times New Roman" w:hAnsi="Times New Roman" w:eastAsia="宋体" w:cs="Times New Roman"/>
                <w:color w:val="auto"/>
                <w:sz w:val="24"/>
                <w:szCs w:val="24"/>
                <w:lang w:val="en-US" w:eastAsia="zh-CN"/>
              </w:rPr>
              <w:t>＜1，所以直接判定该项目</w:t>
            </w:r>
            <w:r>
              <w:rPr>
                <w:rFonts w:hint="eastAsia" w:ascii="Times New Roman" w:hAnsi="Times New Roman" w:eastAsia="宋体" w:cs="Times New Roman"/>
                <w:color w:val="auto"/>
                <w:sz w:val="24"/>
                <w:szCs w:val="24"/>
                <w:lang w:val="en-US" w:eastAsia="zh-CN"/>
              </w:rPr>
              <w:t>无重大风险</w:t>
            </w:r>
            <w:r>
              <w:rPr>
                <w:rFonts w:hint="default" w:ascii="Times New Roman" w:hAnsi="Times New Roman" w:eastAsia="宋体" w:cs="Times New Roman"/>
                <w:color w:val="auto"/>
                <w:sz w:val="24"/>
                <w:szCs w:val="24"/>
                <w:lang w:val="en-US" w:eastAsia="zh-CN"/>
              </w:rPr>
              <w:t>。</w:t>
            </w:r>
          </w:p>
          <w:p>
            <w:pPr>
              <w:pStyle w:val="47"/>
              <w:ind w:left="0" w:leftChars="0" w:firstLine="0" w:firstLineChars="0"/>
              <w:jc w:val="both"/>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6.2</w:t>
            </w:r>
            <w:r>
              <w:rPr>
                <w:rFonts w:hint="default" w:ascii="Times New Roman" w:hAnsi="Times New Roman" w:eastAsia="宋体" w:cs="Times New Roman"/>
                <w:b/>
                <w:bCs/>
                <w:color w:val="auto"/>
                <w:sz w:val="24"/>
                <w:szCs w:val="24"/>
                <w:lang w:val="en-US" w:eastAsia="zh-CN"/>
              </w:rPr>
              <w:t>环境风险识别</w:t>
            </w:r>
          </w:p>
          <w:p>
            <w:pPr>
              <w:pStyle w:val="47"/>
              <w:ind w:firstLine="480"/>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lang w:val="en-US" w:eastAsia="zh-CN"/>
              </w:rPr>
              <w:t>拟建项目主要危险物质及分布情况，可能影响环境的途径详见</w:t>
            </w:r>
            <w:r>
              <w:rPr>
                <w:rFonts w:hint="default" w:ascii="Times New Roman" w:hAnsi="Times New Roman" w:eastAsia="宋体" w:cs="Times New Roman"/>
                <w:color w:val="auto"/>
                <w:sz w:val="24"/>
                <w:szCs w:val="24"/>
                <w:highlight w:val="none"/>
                <w:lang w:val="en-US" w:eastAsia="zh-CN"/>
              </w:rPr>
              <w:t>表4-</w:t>
            </w:r>
            <w:r>
              <w:rPr>
                <w:rFonts w:hint="eastAsia" w:cs="Times New Roman"/>
                <w:color w:val="auto"/>
                <w:sz w:val="24"/>
                <w:szCs w:val="24"/>
                <w:highlight w:val="none"/>
                <w:lang w:val="en-US" w:eastAsia="zh-CN"/>
              </w:rPr>
              <w:t>18</w:t>
            </w:r>
            <w:r>
              <w:rPr>
                <w:rFonts w:hint="default" w:ascii="Times New Roman" w:hAnsi="Times New Roman" w:eastAsia="宋体" w:cs="Times New Roman"/>
                <w:color w:val="auto"/>
                <w:sz w:val="24"/>
                <w:szCs w:val="24"/>
                <w:highlight w:val="none"/>
                <w:lang w:val="en-US" w:eastAsia="zh-CN"/>
              </w:rPr>
              <w:t>。</w:t>
            </w:r>
          </w:p>
          <w:p>
            <w:pPr>
              <w:pStyle w:val="50"/>
              <w:spacing w:line="240" w:lineRule="auto"/>
              <w:ind w:left="1589" w:firstLine="843" w:firstLineChars="40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表4-</w:t>
            </w:r>
            <w:r>
              <w:rPr>
                <w:rFonts w:hint="eastAsia" w:ascii="Times New Roman" w:hAnsi="Times New Roman" w:cs="Times New Roman"/>
                <w:color w:val="auto"/>
                <w:sz w:val="21"/>
                <w:szCs w:val="21"/>
                <w:highlight w:val="none"/>
                <w:lang w:val="en-US" w:eastAsia="zh-CN"/>
              </w:rPr>
              <w:t xml:space="preserve">18   </w:t>
            </w:r>
            <w:r>
              <w:rPr>
                <w:rFonts w:hint="default" w:ascii="Times New Roman" w:hAnsi="Times New Roman" w:eastAsia="宋体" w:cs="Times New Roman"/>
                <w:color w:val="auto"/>
                <w:sz w:val="21"/>
                <w:szCs w:val="21"/>
                <w:highlight w:val="none"/>
                <w:lang w:val="en-US" w:eastAsia="zh-CN"/>
              </w:rPr>
              <w:t>拟建项目主要危险物质及分布情况</w:t>
            </w:r>
          </w:p>
          <w:tbl>
            <w:tblPr>
              <w:tblStyle w:val="24"/>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296"/>
              <w:gridCol w:w="1197"/>
              <w:gridCol w:w="946"/>
              <w:gridCol w:w="1416"/>
              <w:gridCol w:w="1306"/>
              <w:gridCol w:w="1317"/>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62" w:type="pct"/>
                  <w:tcBorders>
                    <w:top w:val="single" w:color="auto" w:sz="4" w:space="0"/>
                    <w:left w:val="single" w:color="auto" w:sz="4" w:space="0"/>
                    <w:bottom w:val="single" w:color="auto" w:sz="4" w:space="0"/>
                    <w:right w:val="single" w:color="auto" w:sz="4" w:space="0"/>
                  </w:tcBorders>
                  <w:noWrap w:val="0"/>
                  <w:vAlign w:val="center"/>
                </w:tcPr>
                <w:p>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709" w:type="pct"/>
                  <w:tcBorders>
                    <w:top w:val="single" w:color="auto" w:sz="4" w:space="0"/>
                    <w:left w:val="single" w:color="auto" w:sz="4" w:space="0"/>
                    <w:bottom w:val="single" w:color="auto" w:sz="4" w:space="0"/>
                    <w:right w:val="single" w:color="auto" w:sz="4" w:space="0"/>
                  </w:tcBorders>
                  <w:noWrap w:val="0"/>
                  <w:vAlign w:val="center"/>
                </w:tcPr>
                <w:p>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装置名称</w:t>
                  </w:r>
                </w:p>
              </w:tc>
              <w:tc>
                <w:tcPr>
                  <w:tcW w:w="655" w:type="pct"/>
                  <w:tcBorders>
                    <w:top w:val="single" w:color="auto" w:sz="4" w:space="0"/>
                    <w:left w:val="single" w:color="auto" w:sz="4" w:space="0"/>
                    <w:bottom w:val="single" w:color="auto" w:sz="4" w:space="0"/>
                    <w:right w:val="single" w:color="auto" w:sz="4" w:space="0"/>
                  </w:tcBorders>
                  <w:noWrap w:val="0"/>
                  <w:vAlign w:val="center"/>
                </w:tcPr>
                <w:p>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物料名称</w:t>
                  </w:r>
                </w:p>
              </w:tc>
              <w:tc>
                <w:tcPr>
                  <w:tcW w:w="518" w:type="pct"/>
                  <w:tcBorders>
                    <w:top w:val="single" w:color="auto" w:sz="4" w:space="0"/>
                    <w:left w:val="single" w:color="auto" w:sz="4" w:space="0"/>
                    <w:bottom w:val="single" w:color="auto" w:sz="4" w:space="0"/>
                    <w:right w:val="single" w:color="auto" w:sz="4" w:space="0"/>
                  </w:tcBorders>
                  <w:noWrap w:val="0"/>
                  <w:vAlign w:val="center"/>
                </w:tcPr>
                <w:p>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储存量</w:t>
                  </w:r>
                  <w:r>
                    <w:rPr>
                      <w:rFonts w:hint="default" w:ascii="Times New Roman" w:hAnsi="Times New Roman" w:eastAsia="宋体" w:cs="Times New Roman"/>
                      <w:b/>
                      <w:bCs/>
                      <w:color w:val="auto"/>
                      <w:sz w:val="21"/>
                      <w:szCs w:val="21"/>
                      <w:highlight w:val="none"/>
                      <w:lang w:val="en-US" w:eastAsia="zh-CN"/>
                    </w:rPr>
                    <w:t>t</w:t>
                  </w:r>
                  <w:r>
                    <w:rPr>
                      <w:rFonts w:hint="eastAsia" w:ascii="Times New Roman" w:hAnsi="Times New Roman" w:eastAsia="宋体" w:cs="Times New Roman"/>
                      <w:b/>
                      <w:bCs/>
                      <w:color w:val="auto"/>
                      <w:sz w:val="21"/>
                      <w:szCs w:val="21"/>
                      <w:highlight w:val="none"/>
                      <w:lang w:val="en-US" w:eastAsia="zh-CN"/>
                    </w:rPr>
                    <w:t>/a</w:t>
                  </w:r>
                </w:p>
              </w:tc>
              <w:tc>
                <w:tcPr>
                  <w:tcW w:w="775" w:type="pct"/>
                  <w:tcBorders>
                    <w:top w:val="single" w:color="auto" w:sz="4" w:space="0"/>
                    <w:left w:val="single" w:color="auto" w:sz="4" w:space="0"/>
                    <w:bottom w:val="single" w:color="auto" w:sz="4" w:space="0"/>
                    <w:right w:val="single" w:color="auto" w:sz="4" w:space="0"/>
                  </w:tcBorders>
                  <w:noWrap w:val="0"/>
                  <w:vAlign w:val="center"/>
                </w:tcPr>
                <w:p>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储存位置</w:t>
                  </w:r>
                </w:p>
              </w:tc>
              <w:tc>
                <w:tcPr>
                  <w:tcW w:w="715" w:type="pct"/>
                  <w:tcBorders>
                    <w:top w:val="single" w:color="auto" w:sz="4" w:space="0"/>
                    <w:left w:val="single" w:color="auto" w:sz="4" w:space="0"/>
                    <w:bottom w:val="single" w:color="auto" w:sz="4" w:space="0"/>
                    <w:right w:val="single" w:color="auto" w:sz="4" w:space="0"/>
                  </w:tcBorders>
                  <w:noWrap w:val="0"/>
                  <w:vAlign w:val="center"/>
                </w:tcPr>
                <w:p>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包装方式</w:t>
                  </w:r>
                </w:p>
              </w:tc>
              <w:tc>
                <w:tcPr>
                  <w:tcW w:w="721" w:type="pct"/>
                  <w:tcBorders>
                    <w:top w:val="single" w:color="auto" w:sz="4" w:space="0"/>
                    <w:left w:val="single" w:color="auto" w:sz="4" w:space="0"/>
                    <w:bottom w:val="single" w:color="auto" w:sz="4" w:space="0"/>
                    <w:right w:val="single" w:color="auto" w:sz="4" w:space="0"/>
                  </w:tcBorders>
                  <w:noWrap w:val="0"/>
                  <w:vAlign w:val="center"/>
                </w:tcPr>
                <w:p>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危险因素</w:t>
                  </w:r>
                </w:p>
              </w:tc>
              <w:tc>
                <w:tcPr>
                  <w:tcW w:w="541" w:type="pct"/>
                  <w:tcBorders>
                    <w:top w:val="single" w:color="auto" w:sz="4" w:space="0"/>
                    <w:left w:val="single" w:color="auto" w:sz="4" w:space="0"/>
                    <w:bottom w:val="single" w:color="auto" w:sz="4" w:space="0"/>
                    <w:right w:val="single" w:color="auto" w:sz="4" w:space="0"/>
                  </w:tcBorders>
                  <w:noWrap w:val="0"/>
                  <w:vAlign w:val="center"/>
                </w:tcPr>
                <w:p>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62" w:type="pct"/>
                  <w:tcBorders>
                    <w:top w:val="single" w:color="auto" w:sz="4" w:space="0"/>
                    <w:left w:val="single" w:color="auto" w:sz="4" w:space="0"/>
                    <w:bottom w:val="single" w:color="auto" w:sz="4" w:space="0"/>
                    <w:right w:val="single" w:color="auto" w:sz="4" w:space="0"/>
                  </w:tcBorders>
                  <w:noWrap w:val="0"/>
                  <w:vAlign w:val="center"/>
                </w:tcPr>
                <w:p>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1</w:t>
                  </w:r>
                </w:p>
              </w:tc>
              <w:tc>
                <w:tcPr>
                  <w:tcW w:w="709"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设备维修保养</w:t>
                  </w:r>
                </w:p>
              </w:tc>
              <w:tc>
                <w:tcPr>
                  <w:tcW w:w="655" w:type="pct"/>
                  <w:tcBorders>
                    <w:top w:val="single" w:color="auto" w:sz="4" w:space="0"/>
                    <w:left w:val="single" w:color="auto" w:sz="4" w:space="0"/>
                    <w:bottom w:val="single" w:color="auto" w:sz="4" w:space="0"/>
                    <w:right w:val="single" w:color="auto" w:sz="4" w:space="0"/>
                  </w:tcBorders>
                  <w:noWrap w:val="0"/>
                  <w:vAlign w:val="center"/>
                </w:tcPr>
                <w:p>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废</w:t>
                  </w:r>
                  <w:r>
                    <w:rPr>
                      <w:rFonts w:hint="eastAsia" w:ascii="Times New Roman" w:hAnsi="Times New Roman" w:eastAsia="宋体" w:cs="Times New Roman"/>
                      <w:color w:val="auto"/>
                      <w:sz w:val="21"/>
                      <w:szCs w:val="21"/>
                      <w:highlight w:val="none"/>
                      <w:lang w:val="en-US" w:eastAsia="zh-CN"/>
                    </w:rPr>
                    <w:t>矿物油</w:t>
                  </w:r>
                </w:p>
              </w:tc>
              <w:tc>
                <w:tcPr>
                  <w:tcW w:w="518" w:type="pct"/>
                  <w:tcBorders>
                    <w:top w:val="single" w:color="auto" w:sz="4" w:space="0"/>
                    <w:left w:val="single" w:color="auto" w:sz="4" w:space="0"/>
                    <w:bottom w:val="single" w:color="auto" w:sz="4" w:space="0"/>
                    <w:right w:val="single" w:color="auto" w:sz="4" w:space="0"/>
                  </w:tcBorders>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10" w:firstLineChars="100"/>
                    <w:jc w:val="both"/>
                    <w:textAlignment w:val="auto"/>
                    <w:rPr>
                      <w:rFonts w:hint="default" w:ascii="Times New Roman" w:hAnsi="Times New Roman" w:eastAsia="宋体" w:cs="Times New Roman"/>
                      <w:color w:val="auto"/>
                      <w:kern w:val="2"/>
                      <w:sz w:val="21"/>
                      <w:szCs w:val="21"/>
                      <w:lang w:val="en-US" w:eastAsia="zh-CN" w:bidi="zh-CN"/>
                    </w:rPr>
                  </w:pPr>
                  <w:r>
                    <w:rPr>
                      <w:rFonts w:hint="eastAsia" w:ascii="Times New Roman" w:hAnsi="Times New Roman" w:cs="Times New Roman"/>
                      <w:color w:val="auto"/>
                      <w:sz w:val="21"/>
                      <w:szCs w:val="21"/>
                      <w:lang w:val="en-US" w:eastAsia="zh-CN"/>
                    </w:rPr>
                    <w:t>0.2</w:t>
                  </w:r>
                </w:p>
              </w:tc>
              <w:tc>
                <w:tcPr>
                  <w:tcW w:w="775"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危废暂存间</w:t>
                  </w:r>
                </w:p>
              </w:tc>
              <w:tc>
                <w:tcPr>
                  <w:tcW w:w="715" w:type="pct"/>
                  <w:tcBorders>
                    <w:top w:val="single" w:color="auto" w:sz="4" w:space="0"/>
                    <w:left w:val="single" w:color="auto" w:sz="4" w:space="0"/>
                    <w:bottom w:val="single" w:color="auto" w:sz="4" w:space="0"/>
                    <w:right w:val="single" w:color="auto" w:sz="4" w:space="0"/>
                  </w:tcBorders>
                  <w:noWrap w:val="0"/>
                  <w:vAlign w:val="center"/>
                </w:tcPr>
                <w:p>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液态、桶装</w:t>
                  </w:r>
                </w:p>
              </w:tc>
              <w:tc>
                <w:tcPr>
                  <w:tcW w:w="721" w:type="pct"/>
                  <w:tcBorders>
                    <w:top w:val="single" w:color="auto" w:sz="4" w:space="0"/>
                    <w:left w:val="single" w:color="auto" w:sz="4" w:space="0"/>
                    <w:bottom w:val="single" w:color="auto" w:sz="4" w:space="0"/>
                    <w:right w:val="single" w:color="auto" w:sz="4" w:space="0"/>
                  </w:tcBorders>
                  <w:noWrap w:val="0"/>
                  <w:vAlign w:val="center"/>
                </w:tcPr>
                <w:p>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color w:val="auto"/>
                      <w:sz w:val="21"/>
                      <w:szCs w:val="21"/>
                      <w:highlight w:val="none"/>
                      <w:lang w:eastAsia="zh-CN"/>
                    </w:rPr>
                    <w:t>泄漏</w:t>
                  </w:r>
                  <w:r>
                    <w:rPr>
                      <w:rFonts w:hint="default" w:ascii="Times New Roman" w:hAnsi="Times New Roman" w:eastAsia="宋体" w:cs="Times New Roman"/>
                      <w:b w:val="0"/>
                      <w:bCs w:val="0"/>
                      <w:color w:val="auto"/>
                      <w:sz w:val="21"/>
                      <w:szCs w:val="21"/>
                      <w:highlight w:val="none"/>
                    </w:rPr>
                    <w:t>、火灾</w:t>
                  </w:r>
                </w:p>
              </w:tc>
              <w:tc>
                <w:tcPr>
                  <w:tcW w:w="541" w:type="pct"/>
                  <w:vMerge w:val="restart"/>
                  <w:tcBorders>
                    <w:top w:val="single" w:color="auto" w:sz="4" w:space="0"/>
                    <w:left w:val="single" w:color="auto" w:sz="4" w:space="0"/>
                    <w:right w:val="single" w:color="auto" w:sz="4" w:space="0"/>
                  </w:tcBorders>
                  <w:noWrap w:val="0"/>
                  <w:vAlign w:val="center"/>
                </w:tcPr>
                <w:p>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污染土壤环境与大气环境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362" w:type="pct"/>
                  <w:tcBorders>
                    <w:top w:val="single" w:color="auto" w:sz="4" w:space="0"/>
                    <w:left w:val="single" w:color="auto" w:sz="4" w:space="0"/>
                    <w:bottom w:val="single" w:color="auto" w:sz="4" w:space="0"/>
                    <w:right w:val="single" w:color="auto" w:sz="4" w:space="0"/>
                  </w:tcBorders>
                  <w:noWrap w:val="0"/>
                  <w:vAlign w:val="center"/>
                </w:tcPr>
                <w:p>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w:t>
                  </w:r>
                </w:p>
              </w:tc>
              <w:tc>
                <w:tcPr>
                  <w:tcW w:w="709"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c>
                <w:tcPr>
                  <w:tcW w:w="655" w:type="pct"/>
                  <w:tcBorders>
                    <w:top w:val="single" w:color="auto" w:sz="4" w:space="0"/>
                    <w:left w:val="single" w:color="auto" w:sz="4" w:space="0"/>
                    <w:bottom w:val="single" w:color="auto" w:sz="4" w:space="0"/>
                    <w:right w:val="single" w:color="auto" w:sz="4" w:space="0"/>
                  </w:tcBorders>
                  <w:noWrap w:val="0"/>
                  <w:vAlign w:val="center"/>
                </w:tcPr>
                <w:p>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lang w:val="en-US" w:eastAsia="zh-CN"/>
                    </w:rPr>
                    <w:t>废含油劳保用品</w:t>
                  </w:r>
                </w:p>
              </w:tc>
              <w:tc>
                <w:tcPr>
                  <w:tcW w:w="518" w:type="pct"/>
                  <w:tcBorders>
                    <w:top w:val="single" w:color="auto" w:sz="4" w:space="0"/>
                    <w:left w:val="single" w:color="auto" w:sz="4" w:space="0"/>
                    <w:bottom w:val="single" w:color="auto" w:sz="4" w:space="0"/>
                    <w:right w:val="single" w:color="auto" w:sz="4" w:space="0"/>
                  </w:tcBorders>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10" w:firstLineChars="100"/>
                    <w:jc w:val="both"/>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0.02</w:t>
                  </w:r>
                </w:p>
              </w:tc>
              <w:tc>
                <w:tcPr>
                  <w:tcW w:w="775"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c>
                <w:tcPr>
                  <w:tcW w:w="715" w:type="pct"/>
                  <w:tcBorders>
                    <w:top w:val="single" w:color="auto" w:sz="4" w:space="0"/>
                    <w:left w:val="single" w:color="auto" w:sz="4" w:space="0"/>
                    <w:bottom w:val="single" w:color="auto" w:sz="4" w:space="0"/>
                    <w:right w:val="single" w:color="auto" w:sz="4" w:space="0"/>
                  </w:tcBorders>
                  <w:noWrap w:val="0"/>
                  <w:vAlign w:val="center"/>
                </w:tcPr>
                <w:p>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塑料桶</w:t>
                  </w:r>
                </w:p>
              </w:tc>
              <w:tc>
                <w:tcPr>
                  <w:tcW w:w="721" w:type="pct"/>
                  <w:tcBorders>
                    <w:top w:val="single" w:color="auto" w:sz="4" w:space="0"/>
                    <w:left w:val="single" w:color="auto" w:sz="4" w:space="0"/>
                    <w:bottom w:val="single" w:color="auto" w:sz="4" w:space="0"/>
                    <w:right w:val="single" w:color="auto" w:sz="4" w:space="0"/>
                  </w:tcBorders>
                  <w:noWrap w:val="0"/>
                  <w:vAlign w:val="center"/>
                </w:tcPr>
                <w:p>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火灾</w:t>
                  </w:r>
                </w:p>
              </w:tc>
              <w:tc>
                <w:tcPr>
                  <w:tcW w:w="541" w:type="pct"/>
                  <w:vMerge w:val="continue"/>
                  <w:tcBorders>
                    <w:left w:val="single" w:color="auto" w:sz="4" w:space="0"/>
                    <w:right w:val="single" w:color="auto" w:sz="4" w:space="0"/>
                  </w:tcBorders>
                  <w:noWrap w:val="0"/>
                  <w:vAlign w:val="center"/>
                </w:tcPr>
                <w:p>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r>
          </w:tbl>
          <w:p>
            <w:pPr>
              <w:pStyle w:val="47"/>
              <w:ind w:left="0" w:leftChars="0" w:firstLine="0" w:firstLineChars="0"/>
              <w:jc w:val="both"/>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6.3</w:t>
            </w:r>
            <w:r>
              <w:rPr>
                <w:rFonts w:hint="default" w:ascii="Times New Roman" w:hAnsi="Times New Roman" w:eastAsia="宋体" w:cs="Times New Roman"/>
                <w:b/>
                <w:bCs/>
                <w:color w:val="auto"/>
                <w:sz w:val="24"/>
                <w:szCs w:val="24"/>
                <w:lang w:val="en-US" w:eastAsia="zh-CN"/>
              </w:rPr>
              <w:t>风险分析</w:t>
            </w:r>
          </w:p>
          <w:p>
            <w:pPr>
              <w:pStyle w:val="47"/>
              <w:ind w:firstLine="48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拟建项目营运期风险主要是在储存和生产过程中存在着</w:t>
            </w:r>
            <w:r>
              <w:rPr>
                <w:rFonts w:hint="eastAsia" w:ascii="Times New Roman" w:hAnsi="Times New Roman" w:eastAsia="宋体" w:cs="Times New Roman"/>
                <w:color w:val="auto"/>
                <w:sz w:val="24"/>
                <w:szCs w:val="24"/>
                <w:lang w:val="en-US" w:eastAsia="zh-CN"/>
              </w:rPr>
              <w:t>危废类</w:t>
            </w:r>
            <w:r>
              <w:rPr>
                <w:rFonts w:hint="default" w:ascii="Times New Roman" w:hAnsi="Times New Roman" w:eastAsia="宋体" w:cs="Times New Roman"/>
                <w:color w:val="auto"/>
                <w:sz w:val="24"/>
                <w:szCs w:val="24"/>
                <w:lang w:val="en-US" w:eastAsia="zh-CN"/>
              </w:rPr>
              <w:t>泄漏及火灾事故。事故一旦发生，所泄漏的</w:t>
            </w:r>
            <w:r>
              <w:rPr>
                <w:rFonts w:hint="eastAsia" w:ascii="Times New Roman" w:hAnsi="Times New Roman" w:eastAsia="宋体" w:cs="Times New Roman"/>
                <w:color w:val="auto"/>
                <w:sz w:val="24"/>
                <w:szCs w:val="24"/>
                <w:lang w:val="en-US" w:eastAsia="zh-CN"/>
              </w:rPr>
              <w:t>矿物油会产生</w:t>
            </w:r>
            <w:r>
              <w:rPr>
                <w:rFonts w:hint="default" w:ascii="Times New Roman" w:hAnsi="Times New Roman" w:eastAsia="宋体" w:cs="Times New Roman"/>
                <w:color w:val="auto"/>
                <w:sz w:val="24"/>
                <w:szCs w:val="24"/>
                <w:lang w:val="en-US" w:eastAsia="zh-CN"/>
              </w:rPr>
              <w:t>烃类废气，从而对人体造成一定的危害，同时，</w:t>
            </w:r>
            <w:r>
              <w:rPr>
                <w:rFonts w:hint="eastAsia" w:ascii="Times New Roman" w:hAnsi="Times New Roman" w:eastAsia="宋体" w:cs="Times New Roman"/>
                <w:color w:val="auto"/>
                <w:sz w:val="24"/>
                <w:szCs w:val="24"/>
                <w:lang w:val="en-US" w:eastAsia="zh-CN"/>
              </w:rPr>
              <w:t>废矿物油</w:t>
            </w:r>
            <w:r>
              <w:rPr>
                <w:rFonts w:hint="eastAsia" w:cs="Times New Roman"/>
                <w:color w:val="auto"/>
                <w:sz w:val="24"/>
                <w:szCs w:val="24"/>
                <w:lang w:val="en-US" w:eastAsia="zh-CN"/>
              </w:rPr>
              <w:t>泄漏</w:t>
            </w:r>
            <w:r>
              <w:rPr>
                <w:rFonts w:hint="default" w:ascii="Times New Roman" w:hAnsi="Times New Roman" w:eastAsia="宋体" w:cs="Times New Roman"/>
                <w:color w:val="auto"/>
                <w:sz w:val="24"/>
                <w:szCs w:val="24"/>
                <w:lang w:val="en-US" w:eastAsia="zh-CN"/>
              </w:rPr>
              <w:t>也容易产生火灾。</w:t>
            </w:r>
          </w:p>
          <w:p>
            <w:pPr>
              <w:pStyle w:val="47"/>
              <w:ind w:firstLine="48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火灾事故</w:t>
            </w:r>
          </w:p>
          <w:p>
            <w:pPr>
              <w:pStyle w:val="47"/>
              <w:ind w:firstLine="480"/>
              <w:jc w:val="both"/>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废矿物油</w:t>
            </w:r>
            <w:r>
              <w:rPr>
                <w:rFonts w:hint="default" w:ascii="Times New Roman" w:hAnsi="Times New Roman" w:eastAsia="宋体" w:cs="Times New Roman"/>
                <w:color w:val="auto"/>
                <w:sz w:val="24"/>
                <w:szCs w:val="24"/>
                <w:lang w:val="en-US" w:eastAsia="zh-CN"/>
              </w:rPr>
              <w:t>储罐若由于维护不当</w:t>
            </w:r>
            <w:r>
              <w:rPr>
                <w:rFonts w:hint="eastAsia" w:ascii="Times New Roman" w:hAnsi="Times New Roman" w:eastAsia="宋体" w:cs="Times New Roman"/>
                <w:color w:val="auto"/>
                <w:sz w:val="24"/>
                <w:szCs w:val="24"/>
                <w:lang w:val="en-US" w:eastAsia="zh-CN"/>
              </w:rPr>
              <w:t>、操作不当</w:t>
            </w:r>
            <w:r>
              <w:rPr>
                <w:rFonts w:hint="default" w:ascii="Times New Roman" w:hAnsi="Times New Roman" w:eastAsia="宋体" w:cs="Times New Roman"/>
                <w:color w:val="auto"/>
                <w:sz w:val="24"/>
                <w:szCs w:val="24"/>
                <w:lang w:val="en-US" w:eastAsia="zh-CN"/>
              </w:rPr>
              <w:t>出现</w:t>
            </w:r>
            <w:r>
              <w:rPr>
                <w:rFonts w:hint="eastAsia" w:ascii="Times New Roman" w:hAnsi="Times New Roman" w:eastAsia="宋体" w:cs="Times New Roman"/>
                <w:color w:val="auto"/>
                <w:sz w:val="24"/>
                <w:szCs w:val="24"/>
                <w:lang w:val="en-US" w:eastAsia="zh-CN"/>
              </w:rPr>
              <w:t>破损</w:t>
            </w:r>
            <w:r>
              <w:rPr>
                <w:rFonts w:hint="default" w:ascii="Times New Roman" w:hAnsi="Times New Roman" w:eastAsia="宋体" w:cs="Times New Roman"/>
                <w:color w:val="auto"/>
                <w:sz w:val="24"/>
                <w:szCs w:val="24"/>
                <w:lang w:val="en-US" w:eastAsia="zh-CN"/>
              </w:rPr>
              <w:t>，造成大量泄漏，再遇到明火源可能导致火灾。</w:t>
            </w:r>
          </w:p>
          <w:p>
            <w:pPr>
              <w:pStyle w:val="47"/>
              <w:jc w:val="both"/>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泄漏事故</w:t>
            </w:r>
          </w:p>
          <w:p>
            <w:pPr>
              <w:pStyle w:val="47"/>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由于操作人员的工作失误导致生产过程中出现“</w:t>
            </w:r>
            <w:r>
              <w:rPr>
                <w:rFonts w:hint="eastAsia" w:ascii="Times New Roman" w:hAnsi="Times New Roman" w:eastAsia="宋体" w:cs="Times New Roman"/>
                <w:color w:val="auto"/>
                <w:sz w:val="24"/>
                <w:szCs w:val="24"/>
                <w:lang w:val="en-US" w:eastAsia="zh-CN"/>
              </w:rPr>
              <w:t>跑、冒、低、漏</w:t>
            </w:r>
            <w:r>
              <w:rPr>
                <w:rFonts w:hint="default" w:ascii="Times New Roman" w:hAnsi="Times New Roman" w:eastAsia="宋体" w:cs="Times New Roman"/>
                <w:color w:val="auto"/>
                <w:sz w:val="24"/>
                <w:szCs w:val="24"/>
                <w:lang w:val="en-US" w:eastAsia="zh-CN"/>
              </w:rPr>
              <w:t>”事故</w:t>
            </w:r>
            <w:r>
              <w:rPr>
                <w:rFonts w:hint="eastAsia" w:ascii="Times New Roman" w:hAnsi="Times New Roman" w:eastAsia="宋体" w:cs="Times New Roman"/>
                <w:color w:val="auto"/>
                <w:sz w:val="24"/>
                <w:szCs w:val="24"/>
                <w:lang w:val="en-US" w:eastAsia="zh-CN"/>
              </w:rPr>
              <w:t>对地下水及土壤造成的污染问题</w:t>
            </w:r>
            <w:r>
              <w:rPr>
                <w:rFonts w:hint="default" w:ascii="Times New Roman" w:hAnsi="Times New Roman" w:eastAsia="宋体" w:cs="Times New Roman"/>
                <w:color w:val="auto"/>
                <w:sz w:val="24"/>
                <w:szCs w:val="24"/>
                <w:lang w:val="en-US" w:eastAsia="zh-CN"/>
              </w:rPr>
              <w:t>。</w:t>
            </w:r>
          </w:p>
          <w:p>
            <w:pPr>
              <w:pStyle w:val="47"/>
              <w:ind w:firstLine="48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（3）料仓爆仓</w:t>
            </w:r>
          </w:p>
          <w:p>
            <w:pPr>
              <w:pStyle w:val="47"/>
              <w:ind w:firstLine="48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料仓爆仓引起大量粉尘逸出，从而引发粉尘爆炸或火灾，对周边环境造成严重影响，因此在操作过程中应加强管理。项目生产过程中产生粉尘，在输送、投料、运输车辆、筒库呼吸孔和搅拌过程产生的粉尘均按环保要求采取环保措施</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在正常情况下运行时，粉尘排放达标。但是在生产过程中布袋除尘器出现破损或常年运行未定期维护管理等，造成除尘器效率低，粉尘超标排放，会造成严重的大气污染，严重影响项目周边环境敏感点的大气环境。因此，操作人员定期对除尘设施的运行进行查看，在操作中严格按照除尘设施的设定运行参数进行操作和监控及时发现和掌握运行中的参数变化，调整参数至正常运行范围，使其保持在最佳运行状态。当判断除尘器现场故障时，应及时通知巡检人员和专业技术人员进行处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default" w:ascii="Times New Roman" w:hAnsi="Times New Roman" w:cs="Times New Roman"/>
                <w:b/>
                <w:bCs w:val="0"/>
                <w:color w:val="auto"/>
                <w:spacing w:val="0"/>
                <w:sz w:val="24"/>
                <w:szCs w:val="24"/>
                <w:lang w:val="en-US" w:eastAsia="zh-CN"/>
              </w:rPr>
            </w:pPr>
            <w:r>
              <w:rPr>
                <w:rFonts w:hint="eastAsia" w:ascii="Times New Roman" w:hAnsi="Times New Roman" w:cs="Times New Roman"/>
                <w:b/>
                <w:bCs w:val="0"/>
                <w:color w:val="auto"/>
                <w:spacing w:val="0"/>
                <w:sz w:val="24"/>
                <w:szCs w:val="24"/>
                <w:lang w:val="en-US" w:eastAsia="zh-CN"/>
              </w:rPr>
              <w:t>6.4</w:t>
            </w:r>
            <w:r>
              <w:rPr>
                <w:rFonts w:hint="default" w:ascii="Times New Roman" w:hAnsi="Times New Roman" w:cs="Times New Roman"/>
                <w:b/>
                <w:bCs w:val="0"/>
                <w:color w:val="auto"/>
                <w:spacing w:val="0"/>
                <w:sz w:val="24"/>
                <w:szCs w:val="24"/>
                <w:lang w:val="en-US" w:eastAsia="zh-CN"/>
              </w:rPr>
              <w:t xml:space="preserve"> 环境风险防范措施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bCs/>
                <w:color w:val="auto"/>
                <w:spacing w:val="0"/>
                <w:sz w:val="24"/>
                <w:szCs w:val="24"/>
                <w:lang w:val="en-US" w:eastAsia="zh-CN"/>
              </w:rPr>
            </w:pPr>
            <w:r>
              <w:rPr>
                <w:rFonts w:hint="default" w:ascii="Times New Roman" w:hAnsi="Times New Roman" w:cs="Times New Roman"/>
                <w:bCs/>
                <w:color w:val="auto"/>
                <w:spacing w:val="0"/>
                <w:sz w:val="24"/>
                <w:szCs w:val="24"/>
                <w:lang w:val="en-US" w:eastAsia="zh-CN"/>
              </w:rPr>
              <w:t>为了</w:t>
            </w:r>
            <w:r>
              <w:rPr>
                <w:rFonts w:hint="eastAsia" w:cs="Times New Roman"/>
                <w:bCs/>
                <w:color w:val="auto"/>
                <w:spacing w:val="0"/>
                <w:sz w:val="24"/>
                <w:szCs w:val="24"/>
                <w:lang w:val="en-US" w:eastAsia="zh-CN"/>
              </w:rPr>
              <w:t>减少</w:t>
            </w:r>
            <w:r>
              <w:rPr>
                <w:rFonts w:hint="default" w:ascii="Times New Roman" w:hAnsi="Times New Roman" w:cs="Times New Roman"/>
                <w:bCs/>
                <w:color w:val="auto"/>
                <w:spacing w:val="0"/>
                <w:sz w:val="24"/>
                <w:szCs w:val="24"/>
                <w:lang w:val="en-US" w:eastAsia="zh-CN"/>
              </w:rPr>
              <w:t>事故的概率以及产生的影响。本项目将提出以下一系列防范措施：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bCs/>
                <w:color w:val="auto"/>
                <w:spacing w:val="0"/>
                <w:sz w:val="24"/>
                <w:szCs w:val="24"/>
                <w:lang w:val="en-US" w:eastAsia="zh-CN"/>
              </w:rPr>
            </w:pPr>
            <w:r>
              <w:rPr>
                <w:rFonts w:hint="default" w:ascii="Times New Roman" w:hAnsi="Times New Roman" w:cs="Times New Roman"/>
                <w:bCs/>
                <w:color w:val="auto"/>
                <w:spacing w:val="0"/>
                <w:sz w:val="24"/>
                <w:szCs w:val="24"/>
                <w:lang w:val="en-US" w:eastAsia="zh-CN"/>
              </w:rPr>
              <w:t>（1）加强职工的安全教育，</w:t>
            </w:r>
            <w:r>
              <w:rPr>
                <w:rFonts w:hint="eastAsia" w:cs="Times New Roman"/>
                <w:bCs/>
                <w:color w:val="auto"/>
                <w:spacing w:val="0"/>
                <w:sz w:val="24"/>
                <w:szCs w:val="24"/>
                <w:lang w:val="en-US" w:eastAsia="zh-CN"/>
              </w:rPr>
              <w:t>增强</w:t>
            </w:r>
            <w:r>
              <w:rPr>
                <w:rFonts w:hint="default" w:ascii="Times New Roman" w:hAnsi="Times New Roman" w:cs="Times New Roman"/>
                <w:bCs/>
                <w:color w:val="auto"/>
                <w:spacing w:val="0"/>
                <w:sz w:val="24"/>
                <w:szCs w:val="24"/>
                <w:lang w:val="en-US" w:eastAsia="zh-CN"/>
              </w:rPr>
              <w:t>安全防范风险的意识，一旦发生泄漏事故</w:t>
            </w:r>
            <w:r>
              <w:rPr>
                <w:rFonts w:hint="eastAsia" w:ascii="Times New Roman" w:hAnsi="Times New Roman" w:cs="Times New Roman"/>
                <w:bCs/>
                <w:color w:val="auto"/>
                <w:spacing w:val="0"/>
                <w:sz w:val="24"/>
                <w:szCs w:val="24"/>
                <w:lang w:val="en-US" w:eastAsia="zh-CN"/>
              </w:rPr>
              <w:t>，</w:t>
            </w:r>
            <w:r>
              <w:rPr>
                <w:rFonts w:hint="default" w:ascii="Times New Roman" w:hAnsi="Times New Roman" w:cs="Times New Roman"/>
                <w:bCs/>
                <w:color w:val="auto"/>
                <w:spacing w:val="0"/>
                <w:sz w:val="24"/>
                <w:szCs w:val="24"/>
                <w:lang w:val="en-US" w:eastAsia="zh-CN"/>
              </w:rPr>
              <w:t>则应积极组织应急处置，并做好相关善后恢复措施。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bCs/>
                <w:color w:val="auto"/>
                <w:spacing w:val="0"/>
                <w:sz w:val="24"/>
                <w:szCs w:val="24"/>
                <w:lang w:val="en-US" w:eastAsia="zh-CN"/>
              </w:rPr>
            </w:pPr>
            <w:r>
              <w:rPr>
                <w:rFonts w:hint="default" w:ascii="Times New Roman" w:hAnsi="Times New Roman" w:cs="Times New Roman"/>
                <w:bCs/>
                <w:color w:val="auto"/>
                <w:spacing w:val="0"/>
                <w:sz w:val="24"/>
                <w:szCs w:val="24"/>
                <w:lang w:val="en-US" w:eastAsia="zh-CN"/>
              </w:rPr>
              <w:t>（2）针对运营中可能发生的异常现象和存在的安全隐患，设置合理可行的技术措施，制定严格的操作规程。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bCs/>
                <w:color w:val="auto"/>
                <w:spacing w:val="0"/>
                <w:sz w:val="24"/>
                <w:szCs w:val="24"/>
                <w:lang w:val="en-US" w:eastAsia="zh-CN"/>
              </w:rPr>
            </w:pPr>
            <w:r>
              <w:rPr>
                <w:rFonts w:hint="default" w:ascii="Times New Roman" w:hAnsi="Times New Roman" w:cs="Times New Roman"/>
                <w:bCs/>
                <w:color w:val="auto"/>
                <w:spacing w:val="0"/>
                <w:sz w:val="24"/>
                <w:szCs w:val="24"/>
                <w:lang w:val="en-US" w:eastAsia="zh-CN"/>
              </w:rPr>
              <w:t>（3）对易发生泄漏的部位实行定期的巡检制度，及时发现问题，尽快解决。严格执行防火、防爆、防雷击、防毒害等各项要求。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bCs/>
                <w:color w:val="auto"/>
                <w:spacing w:val="0"/>
                <w:sz w:val="24"/>
                <w:szCs w:val="24"/>
                <w:lang w:val="en-US" w:eastAsia="zh-CN"/>
              </w:rPr>
            </w:pPr>
            <w:r>
              <w:rPr>
                <w:rFonts w:hint="default" w:ascii="Times New Roman" w:hAnsi="Times New Roman" w:cs="Times New Roman"/>
                <w:bCs/>
                <w:color w:val="auto"/>
                <w:spacing w:val="0"/>
                <w:sz w:val="24"/>
                <w:szCs w:val="24"/>
                <w:lang w:val="en-US" w:eastAsia="zh-CN"/>
              </w:rPr>
              <w:t>（4）在可能泄漏、柴油等可燃</w:t>
            </w:r>
            <w:r>
              <w:rPr>
                <w:rFonts w:hint="eastAsia" w:ascii="Times New Roman" w:hAnsi="Times New Roman" w:cs="Times New Roman"/>
                <w:bCs/>
                <w:color w:val="auto"/>
                <w:spacing w:val="0"/>
                <w:sz w:val="24"/>
                <w:szCs w:val="24"/>
                <w:lang w:val="en-US" w:eastAsia="zh-CN"/>
              </w:rPr>
              <w:t>物</w:t>
            </w:r>
            <w:r>
              <w:rPr>
                <w:rFonts w:hint="default" w:ascii="Times New Roman" w:hAnsi="Times New Roman" w:cs="Times New Roman"/>
                <w:bCs/>
                <w:color w:val="auto"/>
                <w:spacing w:val="0"/>
                <w:sz w:val="24"/>
                <w:szCs w:val="24"/>
                <w:lang w:val="en-US" w:eastAsia="zh-CN"/>
              </w:rPr>
              <w:t>的危险区域，以及可能发生火灾的区域，设置</w:t>
            </w:r>
            <w:r>
              <w:rPr>
                <w:rFonts w:hint="eastAsia" w:ascii="Times New Roman" w:hAnsi="Times New Roman" w:cs="Times New Roman"/>
                <w:bCs/>
                <w:color w:val="auto"/>
                <w:spacing w:val="0"/>
                <w:sz w:val="24"/>
                <w:szCs w:val="24"/>
                <w:lang w:val="en-US" w:eastAsia="zh-CN"/>
              </w:rPr>
              <w:t>警示</w:t>
            </w:r>
            <w:r>
              <w:rPr>
                <w:rFonts w:hint="default" w:ascii="Times New Roman" w:hAnsi="Times New Roman" w:cs="Times New Roman"/>
                <w:bCs/>
                <w:color w:val="auto"/>
                <w:spacing w:val="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bCs/>
                <w:color w:val="auto"/>
                <w:spacing w:val="0"/>
                <w:sz w:val="24"/>
                <w:szCs w:val="24"/>
                <w:lang w:val="en-US" w:eastAsia="zh-CN"/>
              </w:rPr>
            </w:pPr>
            <w:r>
              <w:rPr>
                <w:rFonts w:hint="default" w:ascii="Times New Roman" w:hAnsi="Times New Roman" w:cs="Times New Roman"/>
                <w:bCs/>
                <w:color w:val="auto"/>
                <w:spacing w:val="0"/>
                <w:sz w:val="24"/>
                <w:szCs w:val="24"/>
                <w:lang w:val="en-US" w:eastAsia="zh-CN"/>
              </w:rPr>
              <w:t>（5）建立健全安全、环境管理体系及高效的安全生产</w:t>
            </w:r>
            <w:r>
              <w:rPr>
                <w:rFonts w:hint="eastAsia" w:cs="Times New Roman"/>
                <w:bCs/>
                <w:color w:val="auto"/>
                <w:spacing w:val="0"/>
                <w:sz w:val="24"/>
                <w:szCs w:val="24"/>
                <w:lang w:val="en-US" w:eastAsia="zh-CN"/>
              </w:rPr>
              <w:t>机制</w:t>
            </w:r>
            <w:r>
              <w:rPr>
                <w:rFonts w:hint="default" w:ascii="Times New Roman" w:hAnsi="Times New Roman" w:cs="Times New Roman"/>
                <w:bCs/>
                <w:color w:val="auto"/>
                <w:spacing w:val="0"/>
                <w:sz w:val="24"/>
                <w:szCs w:val="24"/>
                <w:lang w:val="en-US" w:eastAsia="zh-CN"/>
              </w:rPr>
              <w:t>，一旦发生事故，要做到快速、高效、安全处置。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Cs/>
                <w:color w:val="auto"/>
                <w:spacing w:val="0"/>
                <w:sz w:val="24"/>
                <w:szCs w:val="24"/>
                <w:lang w:val="en-US" w:eastAsia="zh-CN"/>
              </w:rPr>
            </w:pPr>
            <w:r>
              <w:rPr>
                <w:rFonts w:hint="default" w:ascii="Times New Roman" w:hAnsi="Times New Roman" w:cs="Times New Roman"/>
                <w:bCs/>
                <w:color w:val="auto"/>
                <w:spacing w:val="0"/>
                <w:sz w:val="24"/>
                <w:szCs w:val="24"/>
                <w:lang w:val="en-US" w:eastAsia="zh-CN"/>
              </w:rPr>
              <w:t>（6）厂区内的电气设备严格按照防爆区划分配置。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Cs/>
                <w:color w:val="auto"/>
                <w:spacing w:val="0"/>
                <w:sz w:val="24"/>
                <w:szCs w:val="24"/>
                <w:lang w:val="en-US" w:eastAsia="zh-CN"/>
              </w:rPr>
            </w:pPr>
            <w:r>
              <w:rPr>
                <w:rFonts w:hint="default" w:ascii="Times New Roman" w:hAnsi="Times New Roman" w:cs="Times New Roman"/>
                <w:bCs/>
                <w:color w:val="auto"/>
                <w:spacing w:val="0"/>
                <w:sz w:val="24"/>
                <w:szCs w:val="24"/>
                <w:lang w:val="en-US" w:eastAsia="zh-CN"/>
              </w:rPr>
              <w:t>（7）危废暂存间附近严禁明火，全厂配置足量的灭火器</w:t>
            </w:r>
            <w:r>
              <w:rPr>
                <w:rFonts w:hint="eastAsia" w:ascii="Times New Roman" w:hAnsi="Times New Roman" w:cs="Times New Roman"/>
                <w:bCs/>
                <w:color w:val="auto"/>
                <w:spacing w:val="0"/>
                <w:sz w:val="24"/>
                <w:szCs w:val="24"/>
                <w:lang w:val="en-US" w:eastAsia="zh-CN"/>
              </w:rPr>
              <w:t>、</w:t>
            </w:r>
            <w:r>
              <w:rPr>
                <w:rFonts w:hint="default" w:ascii="Times New Roman" w:hAnsi="Times New Roman" w:cs="Times New Roman"/>
                <w:bCs/>
                <w:color w:val="auto"/>
                <w:spacing w:val="0"/>
                <w:sz w:val="24"/>
                <w:szCs w:val="24"/>
                <w:lang w:val="en-US" w:eastAsia="zh-CN"/>
              </w:rPr>
              <w:t>消防栓等相应的应急物资。在沥青储存区设立警告牌（严禁烟火）。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Cs/>
                <w:color w:val="auto"/>
                <w:spacing w:val="0"/>
                <w:sz w:val="24"/>
                <w:szCs w:val="24"/>
                <w:lang w:val="en-US" w:eastAsia="zh-CN"/>
              </w:rPr>
            </w:pPr>
            <w:r>
              <w:rPr>
                <w:rFonts w:hint="default" w:ascii="Times New Roman" w:hAnsi="Times New Roman" w:cs="Times New Roman"/>
                <w:bCs/>
                <w:color w:val="auto"/>
                <w:spacing w:val="0"/>
                <w:sz w:val="24"/>
                <w:szCs w:val="24"/>
                <w:lang w:val="en-US" w:eastAsia="zh-CN"/>
              </w:rPr>
              <w:t>（8）主动控制，即从源头控制措施，防止和降低污染物跑、冒、滴、漏，将污染物泄漏的环境风险事故降到最低程度。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cs="Times New Roman"/>
                <w:b/>
                <w:bCs w:val="0"/>
                <w:color w:val="auto"/>
                <w:spacing w:val="0"/>
                <w:sz w:val="24"/>
                <w:szCs w:val="24"/>
                <w:lang w:val="en-US" w:eastAsia="zh-CN"/>
              </w:rPr>
            </w:pPr>
            <w:r>
              <w:rPr>
                <w:rFonts w:hint="eastAsia" w:ascii="Times New Roman" w:hAnsi="Times New Roman" w:cs="Times New Roman"/>
                <w:b/>
                <w:bCs w:val="0"/>
                <w:color w:val="auto"/>
                <w:spacing w:val="0"/>
                <w:sz w:val="24"/>
                <w:szCs w:val="24"/>
                <w:lang w:val="en-US" w:eastAsia="zh-CN"/>
              </w:rPr>
              <w:t>6.5</w:t>
            </w:r>
            <w:r>
              <w:rPr>
                <w:rFonts w:hint="default" w:ascii="Times New Roman" w:hAnsi="Times New Roman" w:cs="Times New Roman"/>
                <w:b/>
                <w:bCs w:val="0"/>
                <w:color w:val="auto"/>
                <w:spacing w:val="0"/>
                <w:sz w:val="24"/>
                <w:szCs w:val="24"/>
                <w:lang w:val="en-US" w:eastAsia="zh-CN"/>
              </w:rPr>
              <w:t>环境风险分析结论</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cs="Times New Roman"/>
                <w:bCs/>
                <w:color w:val="auto"/>
                <w:spacing w:val="0"/>
                <w:sz w:val="24"/>
                <w:szCs w:val="24"/>
                <w:lang w:val="en-US" w:eastAsia="zh-CN"/>
              </w:rPr>
            </w:pPr>
            <w:r>
              <w:rPr>
                <w:rFonts w:hint="default" w:ascii="Times New Roman" w:hAnsi="Times New Roman" w:cs="Times New Roman"/>
                <w:bCs/>
                <w:color w:val="auto"/>
                <w:spacing w:val="0"/>
                <w:sz w:val="24"/>
                <w:szCs w:val="24"/>
                <w:lang w:val="en-US" w:eastAsia="zh-CN"/>
              </w:rPr>
              <w:t>本项目风险事故主要为</w:t>
            </w:r>
            <w:r>
              <w:rPr>
                <w:rFonts w:hint="eastAsia" w:ascii="Times New Roman" w:hAnsi="Times New Roman" w:cs="Times New Roman"/>
                <w:bCs/>
                <w:color w:val="auto"/>
                <w:spacing w:val="0"/>
                <w:sz w:val="24"/>
                <w:szCs w:val="24"/>
                <w:lang w:val="en-US" w:eastAsia="zh-CN"/>
              </w:rPr>
              <w:t>危险废物</w:t>
            </w:r>
            <w:r>
              <w:rPr>
                <w:rFonts w:hint="eastAsia" w:cs="Times New Roman"/>
                <w:bCs/>
                <w:color w:val="auto"/>
                <w:spacing w:val="0"/>
                <w:sz w:val="24"/>
                <w:szCs w:val="24"/>
                <w:lang w:val="en-US" w:eastAsia="zh-CN"/>
              </w:rPr>
              <w:t>泄漏</w:t>
            </w:r>
            <w:r>
              <w:rPr>
                <w:rFonts w:hint="default" w:ascii="Times New Roman" w:hAnsi="Times New Roman" w:cs="Times New Roman"/>
                <w:bCs/>
                <w:color w:val="auto"/>
                <w:spacing w:val="0"/>
                <w:sz w:val="24"/>
                <w:szCs w:val="24"/>
                <w:lang w:val="en-US" w:eastAsia="zh-CN"/>
              </w:rPr>
              <w:t>造成的地下水环境污染和火灾事故导致大气环境污染。项目应严格落实本评价提出的各项环境风险防范措施，严格</w:t>
            </w:r>
            <w:r>
              <w:rPr>
                <w:rFonts w:hint="eastAsia" w:cs="Times New Roman"/>
                <w:bCs/>
                <w:color w:val="auto"/>
                <w:spacing w:val="0"/>
                <w:sz w:val="24"/>
                <w:szCs w:val="24"/>
                <w:lang w:val="en-US" w:eastAsia="zh-CN"/>
              </w:rPr>
              <w:t>按照</w:t>
            </w:r>
            <w:r>
              <w:rPr>
                <w:rFonts w:hint="default" w:ascii="Times New Roman" w:hAnsi="Times New Roman" w:cs="Times New Roman"/>
                <w:bCs/>
                <w:color w:val="auto"/>
                <w:spacing w:val="0"/>
                <w:sz w:val="24"/>
                <w:szCs w:val="24"/>
                <w:lang w:val="en-US" w:eastAsia="zh-CN"/>
              </w:rPr>
              <w:t>国家有关环保、安全处理的要求，规范工程设计，落实有关安全、环保设施“三同时”，制定相应的环保及安全处理规章制度及应急预案；处理过程中，加强处理管理，注意做好</w:t>
            </w:r>
            <w:r>
              <w:rPr>
                <w:rFonts w:hint="eastAsia" w:ascii="Times New Roman" w:hAnsi="Times New Roman" w:cs="Times New Roman"/>
                <w:bCs/>
                <w:color w:val="auto"/>
                <w:spacing w:val="0"/>
                <w:sz w:val="24"/>
                <w:szCs w:val="24"/>
                <w:lang w:val="en-US" w:eastAsia="zh-CN"/>
              </w:rPr>
              <w:t>危废</w:t>
            </w:r>
            <w:r>
              <w:rPr>
                <w:rFonts w:hint="default" w:ascii="Times New Roman" w:hAnsi="Times New Roman" w:cs="Times New Roman"/>
                <w:bCs/>
                <w:color w:val="auto"/>
                <w:spacing w:val="0"/>
                <w:sz w:val="24"/>
                <w:szCs w:val="24"/>
                <w:lang w:val="en-US" w:eastAsia="zh-CN"/>
              </w:rPr>
              <w:t>在运输、使用过程中的风险事故防范工作，避免火灾等事故的发生。评价认为，在采取相应的防范控制及应急措施后，项目风险处于可接受水平，不会对项目周围环境产生明显影响，项目提出的风险管理措施可靠、有效，在认真落实本评价针对安全处理以及风险事故提出的具体防范对策及应急措施的情况下，从环境风险角度，项目在拟建地实施是可行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default" w:ascii="Times New Roman" w:hAnsi="Times New Roman" w:cs="Times New Roman"/>
                <w:b/>
                <w:bCs w:val="0"/>
                <w:color w:val="auto"/>
                <w:spacing w:val="0"/>
                <w:sz w:val="24"/>
                <w:szCs w:val="24"/>
                <w:lang w:val="en-US" w:eastAsia="zh-CN"/>
              </w:rPr>
            </w:pPr>
            <w:r>
              <w:rPr>
                <w:rFonts w:hint="eastAsia" w:ascii="Times New Roman" w:hAnsi="Times New Roman" w:cs="Times New Roman"/>
                <w:b/>
                <w:bCs w:val="0"/>
                <w:color w:val="auto"/>
                <w:spacing w:val="0"/>
                <w:sz w:val="24"/>
                <w:szCs w:val="24"/>
                <w:lang w:val="en-US" w:eastAsia="zh-CN"/>
              </w:rPr>
              <w:t>7.</w:t>
            </w:r>
            <w:r>
              <w:rPr>
                <w:rFonts w:hint="default" w:ascii="Times New Roman" w:hAnsi="Times New Roman" w:cs="Times New Roman"/>
                <w:b/>
                <w:bCs w:val="0"/>
                <w:color w:val="auto"/>
                <w:spacing w:val="0"/>
                <w:sz w:val="24"/>
                <w:szCs w:val="24"/>
                <w:lang w:val="en-US" w:eastAsia="zh-CN"/>
              </w:rPr>
              <w:t>环境管理要求</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（1）环境管理</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为了贯彻执行国家和地方环境保护法律、法规、政策与标准，及时掌握和了解污染控制措施的效果，以及项目所在区域环境质量的变化情况，更好地监控环保设施的运行情况，协调与地方环保职能部门</w:t>
            </w:r>
            <w:r>
              <w:rPr>
                <w:rFonts w:hint="eastAsia" w:cs="Times New Roman"/>
                <w:color w:val="auto"/>
                <w:kern w:val="0"/>
                <w:sz w:val="24"/>
                <w:szCs w:val="24"/>
                <w:highlight w:val="none"/>
                <w:lang w:val="en-US" w:eastAsia="zh-CN" w:bidi="ar"/>
              </w:rPr>
              <w:t>和其他</w:t>
            </w:r>
            <w:r>
              <w:rPr>
                <w:rFonts w:hint="default" w:ascii="Times New Roman" w:hAnsi="Times New Roman" w:eastAsia="宋体" w:cs="Times New Roman"/>
                <w:color w:val="auto"/>
                <w:kern w:val="0"/>
                <w:sz w:val="24"/>
                <w:szCs w:val="24"/>
                <w:highlight w:val="none"/>
                <w:lang w:val="en-US" w:eastAsia="zh-CN" w:bidi="ar"/>
              </w:rPr>
              <w:t>有关部门的工作，同时保证企业生产管理和环境管理的正常运作，建立环境管理体系与监测制度是非常必要和重要的。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环境管理体系与监测机构的建立能够帮助企业及早发现问题，使企业在发展生产的同时节约能源、降低原材料的消耗，控制污染物排放量，减轻污染物排放对环境产生的影响，为企业创造更好的经济效益和环境效益，树立良好的社会形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（2）排污口管理要求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①建设单位应如实填写《中华人民共和国规范化排污口标志登记证》的有关内容，由环保主管部门签发登记证。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②建设单位应将有关排污口的情况</w:t>
            </w:r>
            <w:r>
              <w:rPr>
                <w:rFonts w:hint="eastAsia" w:cs="Times New Roman"/>
                <w:color w:val="auto"/>
                <w:kern w:val="0"/>
                <w:sz w:val="24"/>
                <w:szCs w:val="24"/>
                <w:highlight w:val="none"/>
                <w:lang w:val="en-US" w:eastAsia="zh-CN" w:bidi="ar"/>
              </w:rPr>
              <w:t>如下</w:t>
            </w:r>
            <w:r>
              <w:rPr>
                <w:rFonts w:hint="default" w:ascii="Times New Roman" w:hAnsi="Times New Roman" w:eastAsia="宋体" w:cs="Times New Roman"/>
                <w:color w:val="auto"/>
                <w:kern w:val="0"/>
                <w:sz w:val="24"/>
                <w:szCs w:val="24"/>
                <w:highlight w:val="none"/>
                <w:lang w:val="en-US" w:eastAsia="zh-CN" w:bidi="ar"/>
              </w:rPr>
              <w:t>：排污口的性质、编号、排污口的位置；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③主要排放的污染物种类、数量、浓度、排放规律、排放去向；污染治理设施的运行情况等进行建档管理，并报送环保主管部门备案。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（3）污染物排放口（源）挂牌标识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本</w:t>
            </w:r>
            <w:r>
              <w:rPr>
                <w:rFonts w:hint="default" w:ascii="Times New Roman" w:hAnsi="Times New Roman" w:eastAsia="宋体" w:cs="Times New Roman"/>
                <w:color w:val="auto"/>
                <w:kern w:val="0"/>
                <w:sz w:val="24"/>
                <w:szCs w:val="24"/>
                <w:highlight w:val="none"/>
                <w:lang w:val="en-US" w:eastAsia="zh-CN" w:bidi="ar"/>
              </w:rPr>
              <w:t>项目应按《环境保护图形标志—排放口（源）》（GB15562.1-1995）和国</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家环保总局《排污口规范化整治要求（试行）》的技术要求，在废气排放口、噪声排放源</w:t>
            </w:r>
            <w:r>
              <w:rPr>
                <w:rFonts w:hint="eastAsia" w:ascii="Times New Roman" w:hAnsi="Times New Roman" w:eastAsia="宋体" w:cs="Times New Roman"/>
                <w:color w:val="auto"/>
                <w:kern w:val="0"/>
                <w:sz w:val="24"/>
                <w:szCs w:val="24"/>
                <w:highlight w:val="none"/>
                <w:lang w:val="en-US" w:eastAsia="zh-CN" w:bidi="ar"/>
              </w:rPr>
              <w:t>和危废暂存间</w:t>
            </w:r>
            <w:r>
              <w:rPr>
                <w:rFonts w:hint="default" w:ascii="Times New Roman" w:hAnsi="Times New Roman" w:eastAsia="宋体" w:cs="Times New Roman"/>
                <w:color w:val="auto"/>
                <w:kern w:val="0"/>
                <w:sz w:val="24"/>
                <w:szCs w:val="24"/>
                <w:highlight w:val="none"/>
                <w:lang w:val="en-US" w:eastAsia="zh-CN" w:bidi="ar"/>
              </w:rPr>
              <w:t>设置环境保护图形标志。环境保护图形标志具体设置图形见表4-</w:t>
            </w:r>
            <w:r>
              <w:rPr>
                <w:rFonts w:hint="eastAsia" w:cs="Times New Roman"/>
                <w:color w:val="auto"/>
                <w:kern w:val="0"/>
                <w:sz w:val="24"/>
                <w:szCs w:val="24"/>
                <w:highlight w:val="none"/>
                <w:lang w:val="en-US" w:eastAsia="zh-CN" w:bidi="ar"/>
              </w:rPr>
              <w:t>19</w:t>
            </w:r>
            <w:r>
              <w:rPr>
                <w:rFonts w:hint="default" w:ascii="Times New Roman" w:hAnsi="Times New Roman" w:eastAsia="宋体" w:cs="Times New Roman"/>
                <w:color w:val="auto"/>
                <w:kern w:val="0"/>
                <w:sz w:val="24"/>
                <w:szCs w:val="24"/>
                <w:highlight w:val="none"/>
                <w:lang w:val="en-US" w:eastAsia="zh-CN" w:bidi="ar"/>
              </w:rPr>
              <w:t>。</w:t>
            </w:r>
          </w:p>
          <w:p>
            <w:pPr>
              <w:keepNext w:val="0"/>
              <w:keepLines w:val="0"/>
              <w:widowControl/>
              <w:suppressLineNumbers w:val="0"/>
              <w:spacing w:line="240" w:lineRule="auto"/>
              <w:jc w:val="center"/>
              <w:rPr>
                <w:rFonts w:hint="default" w:ascii="Times New Roman" w:hAnsi="Times New Roman" w:eastAsia="宋体" w:cs="Times New Roman"/>
                <w:b/>
                <w:bCs/>
                <w:color w:val="auto"/>
                <w:sz w:val="21"/>
                <w:szCs w:val="21"/>
                <w:lang w:val="en-US"/>
              </w:rPr>
            </w:pPr>
            <w:r>
              <w:rPr>
                <w:rFonts w:hint="default" w:ascii="Times New Roman" w:hAnsi="Times New Roman" w:eastAsia="宋体" w:cs="Times New Roman"/>
                <w:b/>
                <w:bCs/>
                <w:color w:val="auto"/>
                <w:sz w:val="21"/>
                <w:szCs w:val="21"/>
                <w:highlight w:val="none"/>
                <w:lang w:val="en-US" w:eastAsia="zh-CN"/>
              </w:rPr>
              <w:t>表4-</w:t>
            </w:r>
            <w:r>
              <w:rPr>
                <w:rFonts w:hint="eastAsia" w:cs="Times New Roman"/>
                <w:b/>
                <w:bCs/>
                <w:color w:val="auto"/>
                <w:sz w:val="21"/>
                <w:szCs w:val="21"/>
                <w:highlight w:val="none"/>
                <w:lang w:val="en-US" w:eastAsia="zh-CN"/>
              </w:rPr>
              <w:t>19</w:t>
            </w:r>
            <w:r>
              <w:rPr>
                <w:rFonts w:hint="default" w:ascii="Times New Roman" w:hAnsi="Times New Roman" w:eastAsia="宋体" w:cs="Times New Roman"/>
                <w:b/>
                <w:bCs/>
                <w:color w:val="auto"/>
                <w:sz w:val="21"/>
                <w:szCs w:val="21"/>
                <w:lang w:val="en-US" w:eastAsia="zh-CN"/>
              </w:rPr>
              <w:t>环境保护图形标志设置图形表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813"/>
              <w:gridCol w:w="1502"/>
              <w:gridCol w:w="1557"/>
              <w:gridCol w:w="1544"/>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59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排放口</w:t>
                  </w:r>
                </w:p>
              </w:tc>
              <w:tc>
                <w:tcPr>
                  <w:tcW w:w="9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废水排口</w:t>
                  </w:r>
                </w:p>
              </w:tc>
              <w:tc>
                <w:tcPr>
                  <w:tcW w:w="8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废气排口</w:t>
                  </w:r>
                </w:p>
              </w:tc>
              <w:tc>
                <w:tcPr>
                  <w:tcW w:w="8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固废</w:t>
                  </w:r>
                </w:p>
              </w:tc>
              <w:tc>
                <w:tcPr>
                  <w:tcW w:w="84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噪声源</w:t>
                  </w:r>
                </w:p>
              </w:tc>
              <w:tc>
                <w:tcPr>
                  <w:tcW w:w="89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图形符号</w:t>
                  </w:r>
                </w:p>
              </w:tc>
              <w:tc>
                <w:tcPr>
                  <w:tcW w:w="99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drawing>
                      <wp:inline distT="0" distB="0" distL="114300" distR="114300">
                        <wp:extent cx="631190" cy="631190"/>
                        <wp:effectExtent l="0" t="0" r="8890" b="8890"/>
                        <wp:docPr id="5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
                                <pic:cNvPicPr>
                                  <a:picLocks noChangeAspect="1"/>
                                </pic:cNvPicPr>
                              </pic:nvPicPr>
                              <pic:blipFill>
                                <a:blip r:embed="rId25"/>
                                <a:stretch>
                                  <a:fillRect/>
                                </a:stretch>
                              </pic:blipFill>
                              <pic:spPr>
                                <a:xfrm>
                                  <a:off x="0" y="0"/>
                                  <a:ext cx="631190" cy="631190"/>
                                </a:xfrm>
                                <a:prstGeom prst="rect">
                                  <a:avLst/>
                                </a:prstGeom>
                                <a:noFill/>
                                <a:ln>
                                  <a:noFill/>
                                </a:ln>
                              </pic:spPr>
                            </pic:pic>
                          </a:graphicData>
                        </a:graphic>
                      </wp:inline>
                    </w:drawing>
                  </w:r>
                </w:p>
              </w:tc>
              <w:tc>
                <w:tcPr>
                  <w:tcW w:w="82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drawing>
                      <wp:inline distT="0" distB="0" distL="114300" distR="114300">
                        <wp:extent cx="640715" cy="640715"/>
                        <wp:effectExtent l="0" t="0" r="14605" b="14605"/>
                        <wp:docPr id="5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6"/>
                                <pic:cNvPicPr>
                                  <a:picLocks noChangeAspect="1"/>
                                </pic:cNvPicPr>
                              </pic:nvPicPr>
                              <pic:blipFill>
                                <a:blip r:embed="rId26"/>
                                <a:stretch>
                                  <a:fillRect/>
                                </a:stretch>
                              </pic:blipFill>
                              <pic:spPr>
                                <a:xfrm>
                                  <a:off x="0" y="0"/>
                                  <a:ext cx="640715" cy="640715"/>
                                </a:xfrm>
                                <a:prstGeom prst="rect">
                                  <a:avLst/>
                                </a:prstGeom>
                                <a:noFill/>
                                <a:ln>
                                  <a:noFill/>
                                </a:ln>
                              </pic:spPr>
                            </pic:pic>
                          </a:graphicData>
                        </a:graphic>
                      </wp:inline>
                    </w:drawing>
                  </w:r>
                </w:p>
              </w:tc>
              <w:tc>
                <w:tcPr>
                  <w:tcW w:w="85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drawing>
                      <wp:inline distT="0" distB="0" distL="114300" distR="114300">
                        <wp:extent cx="669290" cy="642620"/>
                        <wp:effectExtent l="0" t="0" r="1270" b="12700"/>
                        <wp:docPr id="4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7"/>
                                <pic:cNvPicPr>
                                  <a:picLocks noChangeAspect="1"/>
                                </pic:cNvPicPr>
                              </pic:nvPicPr>
                              <pic:blipFill>
                                <a:blip r:embed="rId27"/>
                                <a:stretch>
                                  <a:fillRect/>
                                </a:stretch>
                              </pic:blipFill>
                              <pic:spPr>
                                <a:xfrm>
                                  <a:off x="0" y="0"/>
                                  <a:ext cx="669290" cy="642620"/>
                                </a:xfrm>
                                <a:prstGeom prst="rect">
                                  <a:avLst/>
                                </a:prstGeom>
                                <a:noFill/>
                                <a:ln>
                                  <a:noFill/>
                                </a:ln>
                              </pic:spPr>
                            </pic:pic>
                          </a:graphicData>
                        </a:graphic>
                      </wp:inline>
                    </w:drawing>
                  </w:r>
                </w:p>
              </w:tc>
              <w:tc>
                <w:tcPr>
                  <w:tcW w:w="84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drawing>
                      <wp:inline distT="0" distB="0" distL="114300" distR="114300">
                        <wp:extent cx="659130" cy="645160"/>
                        <wp:effectExtent l="0" t="0" r="11430" b="10160"/>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pic:cNvPicPr>
                              </pic:nvPicPr>
                              <pic:blipFill>
                                <a:blip r:embed="rId28"/>
                                <a:stretch>
                                  <a:fillRect/>
                                </a:stretch>
                              </pic:blipFill>
                              <pic:spPr>
                                <a:xfrm>
                                  <a:off x="0" y="0"/>
                                  <a:ext cx="659130" cy="645160"/>
                                </a:xfrm>
                                <a:prstGeom prst="rect">
                                  <a:avLst/>
                                </a:prstGeom>
                                <a:noFill/>
                                <a:ln>
                                  <a:noFill/>
                                </a:ln>
                              </pic:spPr>
                            </pic:pic>
                          </a:graphicData>
                        </a:graphic>
                      </wp:inline>
                    </w:drawing>
                  </w:r>
                </w:p>
              </w:tc>
              <w:tc>
                <w:tcPr>
                  <w:tcW w:w="89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drawing>
                      <wp:inline distT="0" distB="0" distL="114300" distR="114300">
                        <wp:extent cx="774700" cy="677545"/>
                        <wp:effectExtent l="0" t="0" r="2540" b="8255"/>
                        <wp:docPr id="26" name="图片 9" descr="ae94750712d8a7d5f75ec4c5be9f7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9" descr="ae94750712d8a7d5f75ec4c5be9f7e18"/>
                                <pic:cNvPicPr>
                                  <a:picLocks noChangeAspect="1"/>
                                </pic:cNvPicPr>
                              </pic:nvPicPr>
                              <pic:blipFill>
                                <a:blip r:embed="rId29"/>
                                <a:stretch>
                                  <a:fillRect/>
                                </a:stretch>
                              </pic:blipFill>
                              <pic:spPr>
                                <a:xfrm>
                                  <a:off x="0" y="0"/>
                                  <a:ext cx="774700" cy="67754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背景颜色</w:t>
                  </w:r>
                </w:p>
              </w:tc>
              <w:tc>
                <w:tcPr>
                  <w:tcW w:w="3511" w:type="pct"/>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绿色</w:t>
                  </w:r>
                </w:p>
              </w:tc>
              <w:tc>
                <w:tcPr>
                  <w:tcW w:w="89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9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图形颜色</w:t>
                  </w:r>
                </w:p>
              </w:tc>
              <w:tc>
                <w:tcPr>
                  <w:tcW w:w="3511" w:type="pct"/>
                  <w:gridSpan w:val="4"/>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白色</w:t>
                  </w:r>
                </w:p>
              </w:tc>
              <w:tc>
                <w:tcPr>
                  <w:tcW w:w="89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黑色</w:t>
                  </w:r>
                </w:p>
              </w:tc>
            </w:tr>
          </w:tbl>
          <w:p>
            <w:pPr>
              <w:wordWrap w:val="0"/>
              <w:ind w:left="0" w:leftChars="0" w:firstLine="0" w:firstLineChars="0"/>
              <w:jc w:val="left"/>
              <w:rPr>
                <w:rFonts w:hint="default" w:ascii="Times New Roman" w:hAnsi="Times New Roman" w:eastAsia="宋体" w:cs="Times New Roman"/>
                <w:b/>
                <w:bCs/>
                <w:szCs w:val="21"/>
              </w:rPr>
            </w:pPr>
            <w:r>
              <w:rPr>
                <w:rFonts w:hint="eastAsia" w:cs="Times New Roman"/>
                <w:b/>
                <w:bCs/>
                <w:szCs w:val="21"/>
                <w:lang w:val="en-US" w:eastAsia="zh-CN"/>
              </w:rPr>
              <w:t>8</w:t>
            </w:r>
            <w:r>
              <w:rPr>
                <w:rFonts w:hint="default" w:ascii="Times New Roman" w:hAnsi="Times New Roman" w:eastAsia="宋体" w:cs="Times New Roman"/>
                <w:b/>
                <w:bCs/>
                <w:szCs w:val="21"/>
                <w:lang w:val="en-US" w:eastAsia="zh-CN"/>
              </w:rPr>
              <w:t>.</w:t>
            </w:r>
            <w:r>
              <w:rPr>
                <w:rFonts w:hint="default" w:ascii="Times New Roman" w:hAnsi="Times New Roman" w:eastAsia="宋体" w:cs="Times New Roman"/>
                <w:b/>
                <w:bCs/>
                <w:szCs w:val="21"/>
              </w:rPr>
              <w:t>染物排放及环保措施标准一览表</w:t>
            </w:r>
          </w:p>
          <w:p>
            <w:pPr>
              <w:wordWrap w:val="0"/>
              <w:spacing w:line="240" w:lineRule="auto"/>
              <w:jc w:val="center"/>
              <w:rPr>
                <w:rFonts w:hint="default" w:ascii="Times New Roman" w:hAnsi="Times New Roman" w:cs="Times New Roman"/>
                <w:b/>
                <w:bCs/>
                <w:color w:val="auto"/>
                <w:sz w:val="21"/>
                <w:szCs w:val="18"/>
                <w:highlight w:val="none"/>
              </w:rPr>
            </w:pPr>
            <w:r>
              <w:rPr>
                <w:rFonts w:hint="default" w:ascii="Times New Roman" w:hAnsi="Times New Roman" w:cs="Times New Roman"/>
                <w:b/>
                <w:bCs/>
                <w:color w:val="auto"/>
                <w:sz w:val="21"/>
                <w:szCs w:val="18"/>
                <w:highlight w:val="none"/>
              </w:rPr>
              <w:t>表4-</w:t>
            </w:r>
            <w:r>
              <w:rPr>
                <w:rFonts w:hint="eastAsia" w:cs="Times New Roman"/>
                <w:b/>
                <w:bCs/>
                <w:color w:val="auto"/>
                <w:sz w:val="21"/>
                <w:szCs w:val="18"/>
                <w:highlight w:val="none"/>
                <w:lang w:val="en-US" w:eastAsia="zh-CN"/>
              </w:rPr>
              <w:t>20</w:t>
            </w:r>
            <w:r>
              <w:rPr>
                <w:rFonts w:hint="default" w:ascii="Times New Roman" w:hAnsi="Times New Roman" w:cs="Times New Roman"/>
                <w:b/>
                <w:bCs/>
                <w:color w:val="auto"/>
                <w:sz w:val="21"/>
                <w:szCs w:val="18"/>
                <w:highlight w:val="none"/>
              </w:rPr>
              <w:t>污染物排放及环保措施、标准一览表</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100"/>
              <w:gridCol w:w="1170"/>
              <w:gridCol w:w="1278"/>
              <w:gridCol w:w="2595"/>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85"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污染源</w:t>
                  </w:r>
                </w:p>
              </w:tc>
              <w:tc>
                <w:tcPr>
                  <w:tcW w:w="602"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污染物</w:t>
                  </w:r>
                </w:p>
              </w:tc>
              <w:tc>
                <w:tcPr>
                  <w:tcW w:w="640"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产生量</w:t>
                  </w:r>
                </w:p>
              </w:tc>
              <w:tc>
                <w:tcPr>
                  <w:tcW w:w="699"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排放量</w:t>
                  </w:r>
                </w:p>
              </w:tc>
              <w:tc>
                <w:tcPr>
                  <w:tcW w:w="1420"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环保措施</w:t>
                  </w:r>
                </w:p>
              </w:tc>
              <w:tc>
                <w:tcPr>
                  <w:tcW w:w="1151"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485" w:type="pct"/>
                  <w:vMerge w:val="restart"/>
                  <w:tcBorders>
                    <w:top w:val="single" w:color="auto" w:sz="4" w:space="0"/>
                    <w:left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大气</w:t>
                  </w:r>
                </w:p>
                <w:p>
                  <w:pPr>
                    <w:wordWrap w:val="0"/>
                    <w:spacing w:line="240" w:lineRule="auto"/>
                    <w:ind w:left="0" w:lef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污染</w:t>
                  </w:r>
                </w:p>
                <w:p>
                  <w:pPr>
                    <w:wordWrap w:val="0"/>
                    <w:spacing w:line="240" w:lineRule="auto"/>
                    <w:ind w:left="0" w:lef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物</w:t>
                  </w:r>
                </w:p>
              </w:tc>
              <w:tc>
                <w:tcPr>
                  <w:tcW w:w="602"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颗粒物</w:t>
                  </w:r>
                </w:p>
              </w:tc>
              <w:tc>
                <w:tcPr>
                  <w:tcW w:w="640" w:type="pct"/>
                  <w:tcBorders>
                    <w:top w:val="single" w:color="auto" w:sz="4" w:space="0"/>
                    <w:left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446.267</w:t>
                  </w:r>
                  <w:r>
                    <w:rPr>
                      <w:rFonts w:hint="default" w:ascii="Times New Roman" w:hAnsi="Times New Roman" w:eastAsia="宋体" w:cs="Times New Roman"/>
                      <w:color w:val="auto"/>
                      <w:sz w:val="21"/>
                      <w:szCs w:val="21"/>
                      <w:highlight w:val="none"/>
                      <w:lang w:val="en-US" w:eastAsia="zh-CN"/>
                    </w:rPr>
                    <w:t>t/a</w:t>
                  </w:r>
                </w:p>
              </w:tc>
              <w:tc>
                <w:tcPr>
                  <w:tcW w:w="699" w:type="pct"/>
                  <w:tcBorders>
                    <w:top w:val="single" w:color="auto" w:sz="4" w:space="0"/>
                    <w:left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r>
                    <w:rPr>
                      <w:rFonts w:hint="eastAsia" w:cs="Times New Roman"/>
                      <w:color w:val="auto"/>
                      <w:sz w:val="21"/>
                      <w:szCs w:val="21"/>
                      <w:highlight w:val="none"/>
                      <w:lang w:val="en-US" w:eastAsia="zh-CN"/>
                    </w:rPr>
                    <w:t>625</w:t>
                  </w:r>
                  <w:r>
                    <w:rPr>
                      <w:rFonts w:hint="default" w:ascii="Times New Roman" w:hAnsi="Times New Roman" w:eastAsia="宋体" w:cs="Times New Roman"/>
                      <w:color w:val="auto"/>
                      <w:sz w:val="21"/>
                      <w:szCs w:val="21"/>
                      <w:highlight w:val="none"/>
                      <w:lang w:val="en-US" w:eastAsia="zh-CN"/>
                    </w:rPr>
                    <w:t>t/a</w:t>
                  </w:r>
                </w:p>
              </w:tc>
              <w:tc>
                <w:tcPr>
                  <w:tcW w:w="1420" w:type="pct"/>
                  <w:tcBorders>
                    <w:top w:val="single" w:color="auto" w:sz="4" w:space="0"/>
                    <w:left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筒仓、搅拌楼</w:t>
                  </w:r>
                  <w:r>
                    <w:rPr>
                      <w:rFonts w:hint="default" w:ascii="Times New Roman" w:hAnsi="Times New Roman" w:cs="Times New Roman"/>
                      <w:color w:val="auto"/>
                      <w:sz w:val="21"/>
                      <w:szCs w:val="21"/>
                      <w:highlight w:val="none"/>
                      <w:lang w:eastAsia="zh-CN"/>
                    </w:rPr>
                    <w:t>废气经</w:t>
                  </w:r>
                  <w:r>
                    <w:rPr>
                      <w:rFonts w:hint="default" w:ascii="Times New Roman" w:hAnsi="Times New Roman" w:cs="Times New Roman"/>
                      <w:color w:val="auto"/>
                      <w:sz w:val="21"/>
                      <w:szCs w:val="21"/>
                      <w:highlight w:val="none"/>
                    </w:rPr>
                    <w:t>袋式除尘器</w:t>
                  </w:r>
                  <w:r>
                    <w:rPr>
                      <w:rFonts w:hint="default" w:ascii="Times New Roman" w:hAnsi="Times New Roman" w:cs="Times New Roman"/>
                      <w:color w:val="auto"/>
                      <w:sz w:val="21"/>
                      <w:szCs w:val="21"/>
                      <w:highlight w:val="none"/>
                      <w:lang w:eastAsia="zh-CN"/>
                    </w:rPr>
                    <w:t>处理后排放、搅拌楼</w:t>
                  </w:r>
                  <w:r>
                    <w:rPr>
                      <w:rFonts w:hint="default" w:ascii="Times New Roman" w:hAnsi="Times New Roman" w:cs="Times New Roman"/>
                      <w:color w:val="auto"/>
                      <w:sz w:val="21"/>
                      <w:szCs w:val="21"/>
                      <w:highlight w:val="none"/>
                      <w:lang w:val="en-US" w:eastAsia="zh-CN"/>
                    </w:rPr>
                    <w:t>封闭、皮带运输封闭，砂子小石堆场全封闭</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大石堆场半封闭+防风抑尘网并定期洒水降尘，进出车辆冲洗，道路</w:t>
                  </w:r>
                  <w:r>
                    <w:rPr>
                      <w:rFonts w:hint="default" w:ascii="Times New Roman" w:hAnsi="Times New Roman" w:cs="Times New Roman"/>
                      <w:color w:val="auto"/>
                      <w:sz w:val="21"/>
                      <w:szCs w:val="21"/>
                      <w:highlight w:val="none"/>
                    </w:rPr>
                    <w:t>洒水降尘</w:t>
                  </w:r>
                </w:p>
              </w:tc>
              <w:tc>
                <w:tcPr>
                  <w:tcW w:w="1151" w:type="pct"/>
                  <w:tcBorders>
                    <w:top w:val="single" w:color="auto" w:sz="4" w:space="0"/>
                    <w:left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《水泥工业大气污染物排放标准</w:t>
                  </w:r>
                  <w:r>
                    <w:rPr>
                      <w:rFonts w:hint="default" w:ascii="Times New Roman" w:hAnsi="Times New Roman"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（GB4915-2013）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485" w:type="pct"/>
                  <w:vMerge w:val="continue"/>
                  <w:tcBorders>
                    <w:left w:val="single" w:color="auto" w:sz="4" w:space="0"/>
                    <w:right w:val="single" w:color="auto" w:sz="4" w:space="0"/>
                  </w:tcBorders>
                  <w:vAlign w:val="center"/>
                </w:tcPr>
                <w:p>
                  <w:pPr>
                    <w:wordWrap w:val="0"/>
                    <w:spacing w:line="240" w:lineRule="auto"/>
                    <w:jc w:val="center"/>
                    <w:rPr>
                      <w:rFonts w:hint="default" w:ascii="Times New Roman" w:hAnsi="Times New Roman" w:cs="Times New Roman"/>
                      <w:color w:val="auto"/>
                      <w:sz w:val="21"/>
                      <w:szCs w:val="21"/>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油烟</w:t>
                  </w:r>
                </w:p>
              </w:tc>
              <w:tc>
                <w:tcPr>
                  <w:tcW w:w="640" w:type="pct"/>
                  <w:tcBorders>
                    <w:top w:val="single" w:color="auto" w:sz="4" w:space="0"/>
                    <w:left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0.256</w:t>
                  </w:r>
                  <w:r>
                    <w:rPr>
                      <w:rFonts w:hint="default" w:ascii="Times New Roman" w:hAnsi="Times New Roman" w:cs="Times New Roman"/>
                      <w:color w:val="auto"/>
                      <w:sz w:val="21"/>
                      <w:szCs w:val="21"/>
                      <w:highlight w:val="none"/>
                      <w:lang w:val="en-US" w:eastAsia="zh-CN"/>
                    </w:rPr>
                    <w:t>kg</w:t>
                  </w:r>
                  <w:r>
                    <w:rPr>
                      <w:rFonts w:hint="default" w:ascii="Times New Roman" w:hAnsi="Times New Roman" w:eastAsia="宋体" w:cs="Times New Roman"/>
                      <w:color w:val="auto"/>
                      <w:sz w:val="21"/>
                      <w:szCs w:val="21"/>
                      <w:highlight w:val="none"/>
                      <w:lang w:val="en-US" w:eastAsia="zh-CN"/>
                    </w:rPr>
                    <w:t>/a</w:t>
                  </w:r>
                </w:p>
              </w:tc>
              <w:tc>
                <w:tcPr>
                  <w:tcW w:w="699" w:type="pct"/>
                  <w:tcBorders>
                    <w:top w:val="single" w:color="auto" w:sz="4" w:space="0"/>
                    <w:left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w:t>
                  </w:r>
                  <w:r>
                    <w:rPr>
                      <w:rFonts w:hint="eastAsia" w:cs="Times New Roman"/>
                      <w:color w:val="auto"/>
                      <w:sz w:val="21"/>
                      <w:szCs w:val="21"/>
                      <w:highlight w:val="none"/>
                      <w:lang w:val="en-US" w:eastAsia="zh-CN"/>
                    </w:rPr>
                    <w:t>896</w:t>
                  </w:r>
                  <w:r>
                    <w:rPr>
                      <w:rFonts w:hint="default" w:ascii="Times New Roman" w:hAnsi="Times New Roman" w:cs="Times New Roman"/>
                      <w:color w:val="auto"/>
                      <w:sz w:val="21"/>
                      <w:szCs w:val="21"/>
                      <w:highlight w:val="none"/>
                      <w:lang w:val="en-US" w:eastAsia="zh-CN"/>
                    </w:rPr>
                    <w:t>kg</w:t>
                  </w:r>
                  <w:r>
                    <w:rPr>
                      <w:rFonts w:hint="default" w:ascii="Times New Roman" w:hAnsi="Times New Roman" w:eastAsia="宋体" w:cs="Times New Roman"/>
                      <w:color w:val="auto"/>
                      <w:sz w:val="21"/>
                      <w:szCs w:val="21"/>
                      <w:highlight w:val="none"/>
                      <w:lang w:val="en-US" w:eastAsia="zh-CN"/>
                    </w:rPr>
                    <w:t>/a</w:t>
                  </w:r>
                </w:p>
              </w:tc>
              <w:tc>
                <w:tcPr>
                  <w:tcW w:w="1420" w:type="pct"/>
                  <w:tcBorders>
                    <w:top w:val="single" w:color="auto" w:sz="4" w:space="0"/>
                    <w:left w:val="single" w:color="auto" w:sz="4" w:space="0"/>
                    <w:right w:val="single" w:color="auto" w:sz="4" w:space="0"/>
                  </w:tcBorders>
                  <w:vAlign w:val="center"/>
                </w:tcPr>
                <w:p>
                  <w:pPr>
                    <w:wordWrap w:val="0"/>
                    <w:spacing w:line="240" w:lineRule="auto"/>
                    <w:ind w:left="0" w:leftChars="0" w:firstLine="840" w:firstLineChars="400"/>
                    <w:jc w:val="both"/>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抽油烟机</w:t>
                  </w:r>
                </w:p>
              </w:tc>
              <w:tc>
                <w:tcPr>
                  <w:tcW w:w="1151" w:type="pct"/>
                  <w:tcBorders>
                    <w:top w:val="single" w:color="auto" w:sz="4" w:space="0"/>
                    <w:left w:val="single" w:color="auto" w:sz="4" w:space="0"/>
                    <w:right w:val="single" w:color="auto" w:sz="4" w:space="0"/>
                  </w:tcBorders>
                  <w:vAlign w:val="center"/>
                </w:tcPr>
                <w:p>
                  <w:pPr>
                    <w:pStyle w:val="37"/>
                    <w:wordWrap w:val="0"/>
                    <w:autoSpaceDE/>
                    <w:autoSpaceDN/>
                    <w:adjustRightInd/>
                    <w:spacing w:line="240" w:lineRule="auto"/>
                    <w:ind w:left="0" w:lef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《饮食业油烟排放标准》（试行）</w:t>
                  </w:r>
                  <w:r>
                    <w:rPr>
                      <w:rFonts w:hint="eastAsia"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GB18483-2001）标准2.0m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/mg要求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5" w:type="pct"/>
                  <w:tcBorders>
                    <w:left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水污染物</w:t>
                  </w:r>
                </w:p>
              </w:tc>
              <w:tc>
                <w:tcPr>
                  <w:tcW w:w="602"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生活</w:t>
                  </w:r>
                </w:p>
                <w:p>
                  <w:pPr>
                    <w:wordWrap w:val="0"/>
                    <w:spacing w:line="240" w:lineRule="auto"/>
                    <w:ind w:left="0" w:leftChars="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污水</w:t>
                  </w:r>
                </w:p>
              </w:tc>
              <w:tc>
                <w:tcPr>
                  <w:tcW w:w="640" w:type="pct"/>
                  <w:tcBorders>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528</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/a</w:t>
                  </w:r>
                </w:p>
              </w:tc>
              <w:tc>
                <w:tcPr>
                  <w:tcW w:w="699" w:type="pct"/>
                  <w:tcBorders>
                    <w:left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528</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/a</w:t>
                  </w:r>
                </w:p>
              </w:tc>
              <w:tc>
                <w:tcPr>
                  <w:tcW w:w="1420" w:type="pct"/>
                  <w:tcBorders>
                    <w:left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防渗</w:t>
                  </w:r>
                  <w:r>
                    <w:rPr>
                      <w:rFonts w:hint="default" w:ascii="Times New Roman" w:hAnsi="Times New Roman" w:cs="Times New Roman"/>
                      <w:color w:val="auto"/>
                      <w:sz w:val="21"/>
                      <w:szCs w:val="21"/>
                      <w:highlight w:val="none"/>
                    </w:rPr>
                    <w:t>化粪池处理后，拉运至</w:t>
                  </w:r>
                  <w:r>
                    <w:rPr>
                      <w:rFonts w:hint="default" w:ascii="Times New Roman" w:hAnsi="Times New Roman" w:cs="Times New Roman"/>
                      <w:color w:val="auto"/>
                      <w:sz w:val="21"/>
                      <w:szCs w:val="21"/>
                      <w:highlight w:val="none"/>
                      <w:lang w:eastAsia="zh-CN"/>
                    </w:rPr>
                    <w:t>托</w:t>
                  </w:r>
                  <w:r>
                    <w:rPr>
                      <w:rFonts w:hint="eastAsia" w:cs="Times New Roman"/>
                      <w:color w:val="auto"/>
                      <w:sz w:val="21"/>
                      <w:szCs w:val="21"/>
                      <w:highlight w:val="none"/>
                      <w:lang w:eastAsia="zh-CN"/>
                    </w:rPr>
                    <w:t>伊拉湖镇污水处理厂</w:t>
                  </w:r>
                </w:p>
              </w:tc>
              <w:tc>
                <w:tcPr>
                  <w:tcW w:w="1151" w:type="pct"/>
                  <w:tcBorders>
                    <w:left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《污水综合排放标准》（GB8978-1996）中三级标准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85" w:type="pct"/>
                  <w:vMerge w:val="restart"/>
                  <w:tcBorders>
                    <w:top w:val="single" w:color="auto" w:sz="4" w:space="0"/>
                    <w:left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固体</w:t>
                  </w:r>
                </w:p>
                <w:p>
                  <w:pPr>
                    <w:wordWrap w:val="0"/>
                    <w:spacing w:line="240" w:lineRule="auto"/>
                    <w:ind w:left="0" w:lef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废弃</w:t>
                  </w:r>
                </w:p>
                <w:p>
                  <w:pPr>
                    <w:wordWrap w:val="0"/>
                    <w:spacing w:line="240" w:lineRule="auto"/>
                    <w:ind w:left="0" w:lef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物</w:t>
                  </w:r>
                </w:p>
              </w:tc>
              <w:tc>
                <w:tcPr>
                  <w:tcW w:w="602"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生活垃圾</w:t>
                  </w:r>
                </w:p>
              </w:tc>
              <w:tc>
                <w:tcPr>
                  <w:tcW w:w="640"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4.1</w:t>
                  </w:r>
                  <w:r>
                    <w:rPr>
                      <w:rFonts w:hint="default" w:ascii="Times New Roman" w:hAnsi="Times New Roman" w:eastAsia="宋体" w:cs="Times New Roman"/>
                      <w:color w:val="auto"/>
                      <w:sz w:val="21"/>
                      <w:szCs w:val="21"/>
                      <w:highlight w:val="none"/>
                      <w:lang w:val="en-US" w:eastAsia="zh-CN"/>
                    </w:rPr>
                    <w:t>t/a</w:t>
                  </w:r>
                </w:p>
              </w:tc>
              <w:tc>
                <w:tcPr>
                  <w:tcW w:w="699"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4.1</w:t>
                  </w:r>
                  <w:r>
                    <w:rPr>
                      <w:rFonts w:hint="default" w:ascii="Times New Roman" w:hAnsi="Times New Roman" w:eastAsia="宋体" w:cs="Times New Roman"/>
                      <w:color w:val="auto"/>
                      <w:sz w:val="21"/>
                      <w:szCs w:val="21"/>
                      <w:highlight w:val="none"/>
                      <w:lang w:val="en-US" w:eastAsia="zh-CN"/>
                    </w:rPr>
                    <w:t>t/a</w:t>
                  </w:r>
                </w:p>
              </w:tc>
              <w:tc>
                <w:tcPr>
                  <w:tcW w:w="1420"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垃圾箱集中收集，</w:t>
                  </w:r>
                  <w:r>
                    <w:rPr>
                      <w:rFonts w:hint="default" w:ascii="Times New Roman" w:hAnsi="Times New Roman" w:cs="Times New Roman"/>
                      <w:color w:val="auto"/>
                      <w:sz w:val="21"/>
                      <w:szCs w:val="21"/>
                      <w:highlight w:val="none"/>
                      <w:lang w:eastAsia="zh-CN"/>
                    </w:rPr>
                    <w:t>定期清运至生活垃圾填埋场</w:t>
                  </w:r>
                </w:p>
              </w:tc>
              <w:tc>
                <w:tcPr>
                  <w:tcW w:w="1151" w:type="pct"/>
                  <w:tcBorders>
                    <w:top w:val="single" w:color="auto" w:sz="4" w:space="0"/>
                    <w:left w:val="single" w:color="auto" w:sz="4" w:space="0"/>
                    <w:right w:val="single" w:color="auto" w:sz="4" w:space="0"/>
                  </w:tcBorders>
                  <w:vAlign w:val="center"/>
                </w:tcPr>
                <w:p>
                  <w:pPr>
                    <w:wordWrap w:val="0"/>
                    <w:spacing w:line="240" w:lineRule="auto"/>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85" w:type="pct"/>
                  <w:vMerge w:val="continue"/>
                  <w:tcBorders>
                    <w:left w:val="single" w:color="auto" w:sz="4" w:space="0"/>
                    <w:right w:val="single" w:color="auto" w:sz="4" w:space="0"/>
                  </w:tcBorders>
                  <w:vAlign w:val="center"/>
                </w:tcPr>
                <w:p>
                  <w:pPr>
                    <w:wordWrap w:val="0"/>
                    <w:spacing w:line="240" w:lineRule="auto"/>
                    <w:jc w:val="center"/>
                    <w:rPr>
                      <w:rFonts w:hint="default" w:ascii="Times New Roman" w:hAnsi="Times New Roman" w:cs="Times New Roman"/>
                      <w:color w:val="auto"/>
                      <w:sz w:val="21"/>
                      <w:szCs w:val="21"/>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除尘灰</w:t>
                  </w:r>
                </w:p>
              </w:tc>
              <w:tc>
                <w:tcPr>
                  <w:tcW w:w="640"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119.64</w:t>
                  </w:r>
                  <w:r>
                    <w:rPr>
                      <w:rFonts w:hint="default" w:ascii="Times New Roman" w:hAnsi="Times New Roman" w:eastAsia="宋体" w:cs="Times New Roman"/>
                      <w:color w:val="auto"/>
                      <w:sz w:val="21"/>
                      <w:szCs w:val="21"/>
                      <w:highlight w:val="none"/>
                      <w:lang w:val="en-US" w:eastAsia="zh-CN"/>
                    </w:rPr>
                    <w:t>t/a</w:t>
                  </w:r>
                </w:p>
              </w:tc>
              <w:tc>
                <w:tcPr>
                  <w:tcW w:w="699"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119.64</w:t>
                  </w:r>
                  <w:r>
                    <w:rPr>
                      <w:rFonts w:hint="default" w:ascii="Times New Roman" w:hAnsi="Times New Roman" w:eastAsia="宋体" w:cs="Times New Roman"/>
                      <w:color w:val="auto"/>
                      <w:sz w:val="21"/>
                      <w:szCs w:val="21"/>
                      <w:highlight w:val="none"/>
                      <w:lang w:val="en-US" w:eastAsia="zh-CN"/>
                    </w:rPr>
                    <w:t>t/a</w:t>
                  </w:r>
                </w:p>
              </w:tc>
              <w:tc>
                <w:tcPr>
                  <w:tcW w:w="1420"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除尘灰回用于生产线</w:t>
                  </w:r>
                </w:p>
              </w:tc>
              <w:tc>
                <w:tcPr>
                  <w:tcW w:w="1151" w:type="pct"/>
                  <w:vMerge w:val="restart"/>
                  <w:tcBorders>
                    <w:left w:val="single" w:color="auto" w:sz="4" w:space="0"/>
                    <w:right w:val="single" w:color="auto" w:sz="4" w:space="0"/>
                  </w:tcBorders>
                  <w:vAlign w:val="center"/>
                </w:tcPr>
                <w:p>
                  <w:pPr>
                    <w:wordWrap w:val="0"/>
                    <w:spacing w:line="240" w:lineRule="auto"/>
                    <w:ind w:left="0" w:leftChars="0" w:firstLine="0" w:firstLineChars="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《一般工业固体废物贮存和填埋污染控制标准》（GB18599</w:t>
                  </w:r>
                  <w:r>
                    <w:rPr>
                      <w:rFonts w:hint="default" w:ascii="Times New Roman" w:hAnsi="Times New Roman" w:cs="Times New Roman"/>
                      <w:color w:val="auto"/>
                      <w:sz w:val="21"/>
                      <w:szCs w:val="21"/>
                      <w:highlight w:val="none"/>
                      <w:lang w:val="en-US" w:eastAsia="zh-CN"/>
                    </w:rPr>
                    <w:t>-2020</w:t>
                  </w:r>
                  <w:r>
                    <w:rPr>
                      <w:rFonts w:hint="default" w:ascii="Times New Roman" w:hAnsi="Times New Roman" w:cs="Times New Roman"/>
                      <w:color w:val="auto"/>
                      <w:sz w:val="21"/>
                      <w:szCs w:val="21"/>
                      <w:highlight w:val="none"/>
                    </w:rPr>
                    <w:t>）及修改单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85" w:type="pct"/>
                  <w:vMerge w:val="continue"/>
                  <w:tcBorders>
                    <w:left w:val="single" w:color="auto" w:sz="4" w:space="0"/>
                    <w:right w:val="single" w:color="auto" w:sz="4" w:space="0"/>
                  </w:tcBorders>
                  <w:vAlign w:val="center"/>
                </w:tcPr>
                <w:p>
                  <w:pPr>
                    <w:wordWrap w:val="0"/>
                    <w:spacing w:line="240" w:lineRule="auto"/>
                    <w:jc w:val="center"/>
                    <w:rPr>
                      <w:rFonts w:hint="default" w:ascii="Times New Roman" w:hAnsi="Times New Roman" w:cs="Times New Roman"/>
                      <w:color w:val="auto"/>
                      <w:sz w:val="21"/>
                      <w:szCs w:val="21"/>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沉淀池沉渣</w:t>
                  </w:r>
                </w:p>
              </w:tc>
              <w:tc>
                <w:tcPr>
                  <w:tcW w:w="640"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r>
                    <w:rPr>
                      <w:rFonts w:hint="eastAsia" w:cs="Times New Roman"/>
                      <w:color w:val="auto"/>
                      <w:sz w:val="21"/>
                      <w:szCs w:val="21"/>
                      <w:highlight w:val="none"/>
                      <w:lang w:val="en-US" w:eastAsia="zh-CN"/>
                    </w:rPr>
                    <w:t>5</w:t>
                  </w:r>
                  <w:r>
                    <w:rPr>
                      <w:rFonts w:hint="default" w:ascii="Times New Roman" w:hAnsi="Times New Roman"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/a</w:t>
                  </w:r>
                </w:p>
              </w:tc>
              <w:tc>
                <w:tcPr>
                  <w:tcW w:w="699"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w:t>
                  </w:r>
                  <w:r>
                    <w:rPr>
                      <w:rFonts w:hint="eastAsia" w:cs="Times New Roman"/>
                      <w:color w:val="auto"/>
                      <w:sz w:val="21"/>
                      <w:szCs w:val="21"/>
                      <w:highlight w:val="none"/>
                      <w:lang w:val="en-US" w:eastAsia="zh-CN"/>
                    </w:rPr>
                    <w:t>5</w:t>
                  </w:r>
                  <w:r>
                    <w:rPr>
                      <w:rFonts w:hint="default" w:ascii="Times New Roman" w:hAnsi="Times New Roman"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/a</w:t>
                  </w:r>
                </w:p>
              </w:tc>
              <w:tc>
                <w:tcPr>
                  <w:tcW w:w="1420"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回用于生产线</w:t>
                  </w:r>
                </w:p>
              </w:tc>
              <w:tc>
                <w:tcPr>
                  <w:tcW w:w="1151" w:type="pct"/>
                  <w:vMerge w:val="continue"/>
                  <w:tcBorders>
                    <w:left w:val="single" w:color="auto" w:sz="4" w:space="0"/>
                    <w:right w:val="single" w:color="auto" w:sz="4" w:space="0"/>
                  </w:tcBorders>
                  <w:vAlign w:val="center"/>
                </w:tcPr>
                <w:p>
                  <w:pPr>
                    <w:wordWrap w:val="0"/>
                    <w:spacing w:line="240" w:lineRule="auto"/>
                    <w:jc w:val="center"/>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85" w:type="pct"/>
                  <w:vMerge w:val="continue"/>
                  <w:tcBorders>
                    <w:left w:val="single" w:color="auto" w:sz="4" w:space="0"/>
                    <w:right w:val="single" w:color="auto" w:sz="4" w:space="0"/>
                  </w:tcBorders>
                  <w:vAlign w:val="center"/>
                </w:tcPr>
                <w:p>
                  <w:pPr>
                    <w:wordWrap w:val="0"/>
                    <w:spacing w:line="240" w:lineRule="auto"/>
                    <w:jc w:val="center"/>
                    <w:rPr>
                      <w:rFonts w:hint="default" w:ascii="Times New Roman" w:hAnsi="Times New Roman" w:cs="Times New Roman"/>
                      <w:color w:val="auto"/>
                      <w:sz w:val="21"/>
                      <w:szCs w:val="21"/>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废矿物油</w:t>
                  </w:r>
                </w:p>
              </w:tc>
              <w:tc>
                <w:tcPr>
                  <w:tcW w:w="640"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0.2t/a</w:t>
                  </w:r>
                </w:p>
              </w:tc>
              <w:tc>
                <w:tcPr>
                  <w:tcW w:w="699"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0.2t/a</w:t>
                  </w:r>
                </w:p>
              </w:tc>
              <w:tc>
                <w:tcPr>
                  <w:tcW w:w="1420" w:type="pct"/>
                  <w:vMerge w:val="restart"/>
                  <w:tcBorders>
                    <w:top w:val="single" w:color="auto" w:sz="4" w:space="0"/>
                    <w:left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危废暂存间暂存定期交由有资质的单位处置</w:t>
                  </w:r>
                </w:p>
              </w:tc>
              <w:tc>
                <w:tcPr>
                  <w:tcW w:w="1151" w:type="pct"/>
                  <w:vMerge w:val="restart"/>
                  <w:tcBorders>
                    <w:left w:val="single" w:color="auto" w:sz="4" w:space="0"/>
                    <w:right w:val="single" w:color="auto" w:sz="4" w:space="0"/>
                  </w:tcBorders>
                  <w:vAlign w:val="center"/>
                </w:tcPr>
                <w:p>
                  <w:pPr>
                    <w:wordWrap w:val="0"/>
                    <w:spacing w:line="240" w:lineRule="auto"/>
                    <w:ind w:left="0" w:leftChars="0" w:firstLine="0" w:firstLineChars="0"/>
                    <w:jc w:val="both"/>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《危险废物贮存污染控制标准》（GB18597-2023）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85" w:type="pct"/>
                  <w:vMerge w:val="continue"/>
                  <w:tcBorders>
                    <w:left w:val="single" w:color="auto" w:sz="4" w:space="0"/>
                    <w:right w:val="single" w:color="auto" w:sz="4" w:space="0"/>
                  </w:tcBorders>
                  <w:vAlign w:val="center"/>
                </w:tcPr>
                <w:p>
                  <w:pPr>
                    <w:wordWrap w:val="0"/>
                    <w:spacing w:line="240" w:lineRule="auto"/>
                    <w:jc w:val="center"/>
                    <w:rPr>
                      <w:rFonts w:hint="default" w:ascii="Times New Roman" w:hAnsi="Times New Roman" w:cs="Times New Roman"/>
                      <w:color w:val="FF0000"/>
                      <w:sz w:val="21"/>
                      <w:szCs w:val="21"/>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废含油劳保用品</w:t>
                  </w:r>
                </w:p>
              </w:tc>
              <w:tc>
                <w:tcPr>
                  <w:tcW w:w="640"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0.02t/a</w:t>
                  </w:r>
                </w:p>
              </w:tc>
              <w:tc>
                <w:tcPr>
                  <w:tcW w:w="699" w:type="pct"/>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0.02t/a</w:t>
                  </w:r>
                </w:p>
              </w:tc>
              <w:tc>
                <w:tcPr>
                  <w:tcW w:w="1420" w:type="pct"/>
                  <w:vMerge w:val="continue"/>
                  <w:tcBorders>
                    <w:left w:val="single" w:color="auto" w:sz="4" w:space="0"/>
                    <w:right w:val="single" w:color="auto" w:sz="4" w:space="0"/>
                  </w:tcBorders>
                  <w:vAlign w:val="center"/>
                </w:tcPr>
                <w:p>
                  <w:pPr>
                    <w:wordWrap w:val="0"/>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p>
              </w:tc>
              <w:tc>
                <w:tcPr>
                  <w:tcW w:w="1151" w:type="pct"/>
                  <w:vMerge w:val="continue"/>
                  <w:tcBorders>
                    <w:left w:val="single" w:color="auto" w:sz="4" w:space="0"/>
                    <w:right w:val="single" w:color="auto" w:sz="4" w:space="0"/>
                  </w:tcBorders>
                  <w:vAlign w:val="center"/>
                </w:tcPr>
                <w:p>
                  <w:pPr>
                    <w:wordWrap w:val="0"/>
                    <w:spacing w:line="240" w:lineRule="auto"/>
                    <w:ind w:left="0" w:leftChars="0" w:firstLine="0" w:firstLineChars="0"/>
                    <w:jc w:val="both"/>
                    <w:rPr>
                      <w:rFonts w:hint="default" w:ascii="Times New Roman" w:hAnsi="Times New Roman" w:eastAsia="宋体" w:cs="Times New Roman"/>
                      <w:color w:val="auto"/>
                      <w:kern w:val="2"/>
                      <w:sz w:val="21"/>
                      <w:szCs w:val="21"/>
                      <w:lang w:val="en-US" w:eastAsia="zh-CN" w:bidi="ar-SA"/>
                    </w:rPr>
                  </w:pPr>
                </w:p>
              </w:tc>
            </w:tr>
          </w:tbl>
          <w:p>
            <w:pPr>
              <w:wordWrap w:val="0"/>
              <w:spacing w:line="348" w:lineRule="auto"/>
              <w:ind w:left="0" w:leftChars="0" w:firstLine="0" w:firstLineChars="0"/>
              <w:rPr>
                <w:rFonts w:hint="default" w:ascii="Times New Roman" w:hAnsi="Times New Roman" w:cs="Times New Roman"/>
                <w:b/>
                <w:bCs/>
                <w:sz w:val="24"/>
              </w:rPr>
            </w:pPr>
            <w:r>
              <w:rPr>
                <w:rFonts w:hint="default" w:ascii="Times New Roman" w:hAnsi="Times New Roman" w:cs="Times New Roman"/>
                <w:b/>
                <w:bCs/>
                <w:sz w:val="24"/>
                <w:lang w:val="en-US" w:eastAsia="zh-CN"/>
              </w:rPr>
              <w:t>9.</w:t>
            </w:r>
            <w:r>
              <w:rPr>
                <w:rFonts w:hint="default" w:ascii="Times New Roman" w:hAnsi="Times New Roman" w:cs="Times New Roman"/>
                <w:b/>
                <w:bCs/>
                <w:sz w:val="24"/>
              </w:rPr>
              <w:t>环保投资</w:t>
            </w:r>
          </w:p>
          <w:p>
            <w:pPr>
              <w:wordWrap w:val="0"/>
              <w:spacing w:line="348" w:lineRule="auto"/>
              <w:ind w:firstLine="480" w:firstLineChars="200"/>
              <w:rPr>
                <w:rFonts w:hint="default" w:ascii="Times New Roman" w:hAnsi="Times New Roman" w:cs="Times New Roman"/>
                <w:b/>
                <w:bCs/>
                <w:color w:val="auto"/>
                <w:szCs w:val="21"/>
              </w:rPr>
            </w:pPr>
            <w:r>
              <w:rPr>
                <w:rFonts w:hint="default" w:ascii="Times New Roman" w:hAnsi="Times New Roman" w:cs="Times New Roman"/>
                <w:color w:val="auto"/>
                <w:sz w:val="24"/>
              </w:rPr>
              <w:t>本项目总投资</w:t>
            </w:r>
            <w:r>
              <w:rPr>
                <w:rFonts w:hint="default" w:ascii="Times New Roman" w:hAnsi="Times New Roman" w:cs="Times New Roman"/>
                <w:color w:val="auto"/>
                <w:sz w:val="24"/>
                <w:lang w:val="en-US" w:eastAsia="zh-CN"/>
              </w:rPr>
              <w:t>2</w:t>
            </w:r>
            <w:r>
              <w:rPr>
                <w:rFonts w:hint="eastAsia" w:cs="Times New Roman"/>
                <w:color w:val="auto"/>
                <w:sz w:val="24"/>
                <w:lang w:val="en-US" w:eastAsia="zh-CN"/>
              </w:rPr>
              <w:t>5</w:t>
            </w:r>
            <w:r>
              <w:rPr>
                <w:rFonts w:hint="default" w:ascii="Times New Roman" w:hAnsi="Times New Roman" w:cs="Times New Roman"/>
                <w:color w:val="auto"/>
                <w:sz w:val="24"/>
                <w:lang w:val="en-US" w:eastAsia="zh-CN"/>
              </w:rPr>
              <w:t>00</w:t>
            </w:r>
            <w:r>
              <w:rPr>
                <w:rFonts w:hint="default" w:ascii="Times New Roman" w:hAnsi="Times New Roman" w:cs="Times New Roman"/>
                <w:color w:val="auto"/>
                <w:sz w:val="24"/>
              </w:rPr>
              <w:t>万元，环保投资为</w:t>
            </w:r>
            <w:r>
              <w:rPr>
                <w:rFonts w:hint="eastAsia" w:cs="Times New Roman"/>
                <w:color w:val="auto"/>
                <w:sz w:val="24"/>
                <w:lang w:val="en-US" w:eastAsia="zh-CN"/>
              </w:rPr>
              <w:t>98</w:t>
            </w:r>
            <w:r>
              <w:rPr>
                <w:rFonts w:hint="default" w:ascii="Times New Roman" w:hAnsi="Times New Roman" w:cs="Times New Roman"/>
                <w:color w:val="auto"/>
                <w:sz w:val="24"/>
              </w:rPr>
              <w:t>万元，占项目总投资的</w:t>
            </w:r>
            <w:r>
              <w:rPr>
                <w:rFonts w:hint="eastAsia" w:cs="Times New Roman"/>
                <w:color w:val="auto"/>
                <w:sz w:val="24"/>
                <w:lang w:val="en-US" w:eastAsia="zh-CN"/>
              </w:rPr>
              <w:t>3.92</w:t>
            </w:r>
            <w:r>
              <w:rPr>
                <w:rFonts w:hint="default" w:ascii="Times New Roman" w:hAnsi="Times New Roman" w:cs="Times New Roman"/>
                <w:color w:val="auto"/>
                <w:sz w:val="24"/>
              </w:rPr>
              <w:t>%，具体投资见表4-</w:t>
            </w:r>
            <w:r>
              <w:rPr>
                <w:rFonts w:hint="default" w:ascii="Times New Roman" w:hAnsi="Times New Roman" w:cs="Times New Roman"/>
                <w:color w:val="auto"/>
                <w:sz w:val="24"/>
                <w:lang w:val="en-US" w:eastAsia="zh-CN"/>
              </w:rPr>
              <w:t>24</w:t>
            </w:r>
            <w:r>
              <w:rPr>
                <w:rFonts w:hint="default" w:ascii="Times New Roman" w:hAnsi="Times New Roman" w:cs="Times New Roman"/>
                <w:color w:val="auto"/>
                <w:sz w:val="24"/>
              </w:rPr>
              <w:t>。</w:t>
            </w:r>
          </w:p>
          <w:p>
            <w:pPr>
              <w:wordWrap w:val="0"/>
              <w:jc w:val="center"/>
              <w:rPr>
                <w:rFonts w:hint="default" w:ascii="Times New Roman" w:hAnsi="Times New Roman" w:cs="Times New Roman"/>
                <w:b/>
                <w:bCs/>
                <w:color w:val="auto"/>
                <w:sz w:val="21"/>
                <w:szCs w:val="18"/>
              </w:rPr>
            </w:pPr>
            <w:r>
              <w:rPr>
                <w:rFonts w:hint="default" w:ascii="Times New Roman" w:hAnsi="Times New Roman" w:cs="Times New Roman"/>
                <w:b/>
                <w:bCs/>
                <w:color w:val="auto"/>
                <w:sz w:val="21"/>
                <w:szCs w:val="18"/>
              </w:rPr>
              <w:t>表4-</w:t>
            </w:r>
            <w:r>
              <w:rPr>
                <w:rFonts w:hint="default" w:ascii="Times New Roman" w:hAnsi="Times New Roman" w:cs="Times New Roman"/>
                <w:b/>
                <w:bCs/>
                <w:color w:val="auto"/>
                <w:sz w:val="21"/>
                <w:szCs w:val="18"/>
                <w:lang w:val="en-US" w:eastAsia="zh-CN"/>
              </w:rPr>
              <w:t>24</w:t>
            </w:r>
            <w:r>
              <w:rPr>
                <w:rFonts w:hint="default" w:ascii="Times New Roman" w:hAnsi="Times New Roman" w:cs="Times New Roman"/>
                <w:b/>
                <w:bCs/>
                <w:color w:val="auto"/>
                <w:sz w:val="21"/>
                <w:szCs w:val="18"/>
              </w:rPr>
              <w:t xml:space="preserve">  </w:t>
            </w:r>
            <w:bookmarkStart w:id="17" w:name="_Hlk24400886"/>
            <w:r>
              <w:rPr>
                <w:rFonts w:hint="default" w:ascii="Times New Roman" w:hAnsi="Times New Roman" w:cs="Times New Roman"/>
                <w:b/>
                <w:bCs/>
                <w:color w:val="auto"/>
                <w:sz w:val="21"/>
                <w:szCs w:val="18"/>
              </w:rPr>
              <w:t>工程环保设施与投资概算一览表</w:t>
            </w:r>
            <w:bookmarkEnd w:id="17"/>
          </w:p>
          <w:tbl>
            <w:tblPr>
              <w:tblStyle w:val="23"/>
              <w:tblW w:w="495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27"/>
              <w:gridCol w:w="1237"/>
              <w:gridCol w:w="5258"/>
              <w:gridCol w:w="14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1307" w:type="pct"/>
                  <w:gridSpan w:val="2"/>
                  <w:vAlign w:val="center"/>
                </w:tcPr>
                <w:p>
                  <w:pPr>
                    <w:wordWrap w:val="0"/>
                    <w:spacing w:line="360" w:lineRule="auto"/>
                    <w:ind w:left="0" w:leftChars="0"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lang w:eastAsia="zh-CN"/>
                    </w:rPr>
                    <w:t>治理</w:t>
                  </w:r>
                  <w:r>
                    <w:rPr>
                      <w:rFonts w:hint="default" w:ascii="Times New Roman" w:hAnsi="Times New Roman" w:cs="Times New Roman"/>
                      <w:b/>
                      <w:color w:val="auto"/>
                      <w:sz w:val="21"/>
                      <w:szCs w:val="21"/>
                    </w:rPr>
                    <w:t>项目</w:t>
                  </w:r>
                </w:p>
              </w:tc>
              <w:tc>
                <w:tcPr>
                  <w:tcW w:w="2906" w:type="pct"/>
                  <w:vAlign w:val="center"/>
                </w:tcPr>
                <w:p>
                  <w:pPr>
                    <w:wordWrap w:val="0"/>
                    <w:spacing w:line="360" w:lineRule="auto"/>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内  容</w:t>
                  </w:r>
                </w:p>
              </w:tc>
              <w:tc>
                <w:tcPr>
                  <w:tcW w:w="785" w:type="pct"/>
                  <w:vAlign w:val="center"/>
                </w:tcPr>
                <w:p>
                  <w:pPr>
                    <w:wordWrap w:val="0"/>
                    <w:spacing w:line="360" w:lineRule="auto"/>
                    <w:ind w:left="0" w:leftChars="0"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投资（万元）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623" w:type="pct"/>
                  <w:vMerge w:val="restart"/>
                  <w:vAlign w:val="center"/>
                </w:tcPr>
                <w:p>
                  <w:pPr>
                    <w:wordWrap w:val="0"/>
                    <w:spacing w:line="36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运营期</w:t>
                  </w:r>
                </w:p>
              </w:tc>
              <w:tc>
                <w:tcPr>
                  <w:tcW w:w="684" w:type="pct"/>
                  <w:vAlign w:val="center"/>
                </w:tcPr>
                <w:p>
                  <w:pPr>
                    <w:wordWrap w:val="0"/>
                    <w:spacing w:line="36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w:t>
                  </w:r>
                </w:p>
              </w:tc>
              <w:tc>
                <w:tcPr>
                  <w:tcW w:w="2906" w:type="pct"/>
                  <w:vAlign w:val="center"/>
                </w:tcPr>
                <w:p>
                  <w:pPr>
                    <w:wordWrap w:val="0"/>
                    <w:spacing w:line="36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封闭输送带、除尘器、喷淋设施、封闭堆场、围挡</w:t>
                  </w:r>
                </w:p>
              </w:tc>
              <w:tc>
                <w:tcPr>
                  <w:tcW w:w="785" w:type="pct"/>
                  <w:vAlign w:val="center"/>
                </w:tcPr>
                <w:p>
                  <w:pPr>
                    <w:wordWrap/>
                    <w:spacing w:line="36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623" w:type="pct"/>
                  <w:vMerge w:val="continue"/>
                  <w:vAlign w:val="center"/>
                </w:tcPr>
                <w:p>
                  <w:pPr>
                    <w:wordWrap w:val="0"/>
                    <w:spacing w:line="360" w:lineRule="auto"/>
                    <w:jc w:val="center"/>
                    <w:rPr>
                      <w:rFonts w:hint="default" w:ascii="Times New Roman" w:hAnsi="Times New Roman" w:cs="Times New Roman"/>
                      <w:color w:val="auto"/>
                      <w:sz w:val="21"/>
                      <w:szCs w:val="21"/>
                    </w:rPr>
                  </w:pPr>
                </w:p>
              </w:tc>
              <w:tc>
                <w:tcPr>
                  <w:tcW w:w="684" w:type="pct"/>
                  <w:vAlign w:val="center"/>
                </w:tcPr>
                <w:p>
                  <w:pPr>
                    <w:wordWrap w:val="0"/>
                    <w:spacing w:line="36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w:t>
                  </w:r>
                </w:p>
              </w:tc>
              <w:tc>
                <w:tcPr>
                  <w:tcW w:w="2906" w:type="pct"/>
                  <w:vAlign w:val="center"/>
                </w:tcPr>
                <w:p>
                  <w:pPr>
                    <w:wordWrap w:val="0"/>
                    <w:spacing w:line="360" w:lineRule="auto"/>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rPr>
                    <w:t>沉淀池、</w:t>
                  </w:r>
                  <w:r>
                    <w:rPr>
                      <w:rFonts w:hint="default" w:ascii="Times New Roman" w:hAnsi="Times New Roman" w:cs="Times New Roman"/>
                      <w:color w:val="auto"/>
                      <w:sz w:val="21"/>
                      <w:szCs w:val="21"/>
                      <w:lang w:val="en-US" w:eastAsia="zh-CN"/>
                    </w:rPr>
                    <w:t>化粪池</w:t>
                  </w:r>
                </w:p>
              </w:tc>
              <w:tc>
                <w:tcPr>
                  <w:tcW w:w="785" w:type="pct"/>
                  <w:vAlign w:val="center"/>
                </w:tcPr>
                <w:p>
                  <w:pPr>
                    <w:wordWrap/>
                    <w:spacing w:line="36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623" w:type="pct"/>
                  <w:vMerge w:val="continue"/>
                  <w:vAlign w:val="center"/>
                </w:tcPr>
                <w:p>
                  <w:pPr>
                    <w:wordWrap w:val="0"/>
                    <w:spacing w:line="360" w:lineRule="auto"/>
                    <w:jc w:val="center"/>
                    <w:rPr>
                      <w:rFonts w:hint="default" w:ascii="Times New Roman" w:hAnsi="Times New Roman" w:cs="Times New Roman"/>
                      <w:color w:val="auto"/>
                      <w:sz w:val="21"/>
                      <w:szCs w:val="21"/>
                    </w:rPr>
                  </w:pPr>
                </w:p>
              </w:tc>
              <w:tc>
                <w:tcPr>
                  <w:tcW w:w="684" w:type="pct"/>
                  <w:vAlign w:val="center"/>
                </w:tcPr>
                <w:p>
                  <w:pPr>
                    <w:wordWrap w:val="0"/>
                    <w:spacing w:line="36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w:t>
                  </w:r>
                </w:p>
              </w:tc>
              <w:tc>
                <w:tcPr>
                  <w:tcW w:w="2906" w:type="pct"/>
                  <w:vAlign w:val="center"/>
                </w:tcPr>
                <w:p>
                  <w:pPr>
                    <w:wordWrap w:val="0"/>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生活垃圾</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危险废物</w:t>
                  </w:r>
                </w:p>
              </w:tc>
              <w:tc>
                <w:tcPr>
                  <w:tcW w:w="785" w:type="pct"/>
                  <w:vAlign w:val="center"/>
                </w:tcPr>
                <w:p>
                  <w:pPr>
                    <w:wordWrap/>
                    <w:spacing w:line="36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623" w:type="pct"/>
                  <w:vMerge w:val="continue"/>
                  <w:vAlign w:val="center"/>
                </w:tcPr>
                <w:p>
                  <w:pPr>
                    <w:wordWrap w:val="0"/>
                    <w:spacing w:line="360" w:lineRule="auto"/>
                    <w:jc w:val="center"/>
                    <w:rPr>
                      <w:rFonts w:hint="default" w:ascii="Times New Roman" w:hAnsi="Times New Roman" w:cs="Times New Roman"/>
                      <w:color w:val="auto"/>
                      <w:sz w:val="21"/>
                      <w:szCs w:val="21"/>
                    </w:rPr>
                  </w:pPr>
                </w:p>
              </w:tc>
              <w:tc>
                <w:tcPr>
                  <w:tcW w:w="684" w:type="pct"/>
                  <w:vAlign w:val="center"/>
                </w:tcPr>
                <w:p>
                  <w:pPr>
                    <w:wordWrap w:val="0"/>
                    <w:spacing w:line="36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环境风险</w:t>
                  </w:r>
                </w:p>
              </w:tc>
              <w:tc>
                <w:tcPr>
                  <w:tcW w:w="2906" w:type="pct"/>
                  <w:vAlign w:val="center"/>
                </w:tcPr>
                <w:p>
                  <w:pPr>
                    <w:wordWrap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厂区分区防渗</w:t>
                  </w:r>
                </w:p>
              </w:tc>
              <w:tc>
                <w:tcPr>
                  <w:tcW w:w="785" w:type="pct"/>
                  <w:vAlign w:val="center"/>
                </w:tcPr>
                <w:p>
                  <w:pPr>
                    <w:wordWrap/>
                    <w:spacing w:line="36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623" w:type="pct"/>
                  <w:vMerge w:val="continue"/>
                  <w:vAlign w:val="center"/>
                </w:tcPr>
                <w:p>
                  <w:pPr>
                    <w:wordWrap w:val="0"/>
                    <w:spacing w:line="360" w:lineRule="auto"/>
                    <w:jc w:val="center"/>
                    <w:rPr>
                      <w:rFonts w:hint="default" w:ascii="Times New Roman" w:hAnsi="Times New Roman" w:cs="Times New Roman"/>
                      <w:color w:val="auto"/>
                      <w:sz w:val="21"/>
                      <w:szCs w:val="21"/>
                    </w:rPr>
                  </w:pPr>
                </w:p>
              </w:tc>
              <w:tc>
                <w:tcPr>
                  <w:tcW w:w="684" w:type="pct"/>
                  <w:vAlign w:val="center"/>
                </w:tcPr>
                <w:p>
                  <w:pPr>
                    <w:wordWrap w:val="0"/>
                    <w:spacing w:line="36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环境管理</w:t>
                  </w:r>
                </w:p>
              </w:tc>
              <w:tc>
                <w:tcPr>
                  <w:tcW w:w="2906" w:type="pct"/>
                  <w:vAlign w:val="center"/>
                </w:tcPr>
                <w:p>
                  <w:pPr>
                    <w:wordWrap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落实各项环保手续、落实环境监测计划</w:t>
                  </w:r>
                </w:p>
              </w:tc>
              <w:tc>
                <w:tcPr>
                  <w:tcW w:w="785" w:type="pct"/>
                  <w:vAlign w:val="center"/>
                </w:tcPr>
                <w:p>
                  <w:pPr>
                    <w:wordWrap/>
                    <w:spacing w:line="36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2" w:hRule="atLeast"/>
                <w:jc w:val="center"/>
              </w:trPr>
              <w:tc>
                <w:tcPr>
                  <w:tcW w:w="623" w:type="pct"/>
                  <w:vMerge w:val="continue"/>
                  <w:vAlign w:val="center"/>
                </w:tcPr>
                <w:p>
                  <w:pPr>
                    <w:wordWrap w:val="0"/>
                    <w:spacing w:line="360" w:lineRule="auto"/>
                    <w:jc w:val="center"/>
                    <w:rPr>
                      <w:rFonts w:hint="default" w:ascii="Times New Roman" w:hAnsi="Times New Roman" w:cs="Times New Roman"/>
                      <w:color w:val="auto"/>
                      <w:sz w:val="21"/>
                      <w:szCs w:val="21"/>
                    </w:rPr>
                  </w:pPr>
                </w:p>
              </w:tc>
              <w:tc>
                <w:tcPr>
                  <w:tcW w:w="684" w:type="pct"/>
                  <w:vAlign w:val="center"/>
                </w:tcPr>
                <w:p>
                  <w:pPr>
                    <w:wordWrap w:val="0"/>
                    <w:spacing w:line="360" w:lineRule="auto"/>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其他</w:t>
                  </w:r>
                </w:p>
              </w:tc>
              <w:tc>
                <w:tcPr>
                  <w:tcW w:w="2906" w:type="pct"/>
                  <w:vAlign w:val="center"/>
                </w:tcPr>
                <w:p>
                  <w:pPr>
                    <w:wordWrap w:val="0"/>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785" w:type="pct"/>
                  <w:vAlign w:val="center"/>
                </w:tcPr>
                <w:p>
                  <w:pPr>
                    <w:wordWrap/>
                    <w:spacing w:line="36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4214" w:type="pct"/>
                  <w:gridSpan w:val="3"/>
                  <w:vAlign w:val="center"/>
                </w:tcPr>
                <w:p>
                  <w:pPr>
                    <w:wordWrap w:val="0"/>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合计</w:t>
                  </w:r>
                </w:p>
              </w:tc>
              <w:tc>
                <w:tcPr>
                  <w:tcW w:w="785" w:type="pct"/>
                  <w:vAlign w:val="center"/>
                </w:tcPr>
                <w:p>
                  <w:pPr>
                    <w:wordWrap/>
                    <w:spacing w:line="36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98</w:t>
                  </w:r>
                </w:p>
              </w:tc>
            </w:tr>
          </w:tbl>
          <w:p>
            <w:pPr>
              <w:bidi w:val="0"/>
              <w:ind w:left="0" w:leftChars="0" w:firstLine="0" w:firstLineChars="0"/>
              <w:rPr>
                <w:rFonts w:hint="default" w:ascii="Times New Roman" w:hAnsi="Times New Roman" w:cs="Times New Roman"/>
                <w:color w:val="000000" w:themeColor="text1"/>
                <w:lang w:val="en-US" w:eastAsia="zh-CN"/>
                <w14:textFill>
                  <w14:solidFill>
                    <w14:schemeClr w14:val="tx1"/>
                  </w14:solidFill>
                </w14:textFill>
              </w:rPr>
            </w:pPr>
          </w:p>
        </w:tc>
      </w:tr>
    </w:tbl>
    <w:p>
      <w:pPr>
        <w:bidi w:val="0"/>
        <w:rPr>
          <w:rFonts w:hint="eastAsia"/>
          <w:color w:val="000000" w:themeColor="text1"/>
          <w14:textFill>
            <w14:solidFill>
              <w14:schemeClr w14:val="tx1"/>
            </w14:solidFill>
          </w14:textFill>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3"/>
        <w:bidi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五、</w:t>
      </w:r>
      <w:bookmarkStart w:id="18" w:name="_Hlk54167917"/>
      <w:r>
        <w:rPr>
          <w:rFonts w:hint="eastAsia"/>
          <w:color w:val="000000" w:themeColor="text1"/>
          <w14:textFill>
            <w14:solidFill>
              <w14:schemeClr w14:val="tx1"/>
            </w14:solidFill>
          </w14:textFill>
        </w:rPr>
        <w:t>环境保护措施监督检查清单</w:t>
      </w:r>
      <w:bookmarkEnd w:id="18"/>
    </w:p>
    <w:tbl>
      <w:tblPr>
        <w:tblStyle w:val="2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988"/>
        <w:gridCol w:w="1440"/>
        <w:gridCol w:w="2010"/>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497" w:type="dxa"/>
            <w:tcBorders>
              <w:tl2br w:val="nil"/>
              <w:tr2bl w:val="nil"/>
            </w:tcBorders>
            <w:noWrap w:val="0"/>
            <w:vAlign w:val="top"/>
            <mc:AlternateContent>
              <mc:Choice Requires="wpsCustomData">
                <wpsCustomData:diagonals>
                  <wpsCustomData:diagonal from="10000" to="30000">
                    <wpsCustomData:border w:val="single" w:color="auto" w:sz="4" w:space="0"/>
                  </wpsCustomData:diagonal>
                </wpsCustomData:diagonals>
              </mc:Choice>
            </mc:AlternateContent>
          </w:tcPr>
          <w:p>
            <w:pPr>
              <w:pStyle w:val="31"/>
              <w:bidi w:val="0"/>
              <w:snapToGrid w:val="0"/>
              <w:spacing w:line="240" w:lineRule="auto"/>
              <w:jc w:val="left"/>
              <mc:AlternateContent>
                <mc:Choice Requires="wpsCustomData">
                  <wpsCustomData:diagonalParaType/>
                </mc:Choice>
              </mc:AlternateContent>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要素</w:t>
            </w:r>
          </w:p>
          <w:p>
            <w:pPr>
              <w:pStyle w:val="31"/>
              <w:bidi w:val="0"/>
              <w:spacing w:line="240" w:lineRule="auto"/>
              <w:jc w:val="right"/>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内容</w:t>
            </w:r>
          </w:p>
        </w:tc>
        <w:tc>
          <w:tcPr>
            <w:tcW w:w="1988" w:type="dxa"/>
            <w:tcBorders>
              <w:tl2br w:val="nil"/>
              <w:tr2bl w:val="nil"/>
            </w:tcBorders>
            <w:noWrap w:val="0"/>
            <w:vAlign w:val="center"/>
          </w:tcPr>
          <w:p>
            <w:pPr>
              <w:pStyle w:val="31"/>
              <w:bidi w:val="0"/>
              <w:spacing w:line="240" w:lineRule="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排放口</w:t>
            </w:r>
            <w:r>
              <w:rPr>
                <w:rFonts w:hint="eastAsia"/>
                <w:b/>
                <w:bCs/>
                <w:color w:val="000000" w:themeColor="text1"/>
                <w:sz w:val="24"/>
                <w:szCs w:val="24"/>
                <w:lang w:eastAsia="zh-CN"/>
                <w14:textFill>
                  <w14:solidFill>
                    <w14:schemeClr w14:val="tx1"/>
                  </w14:solidFill>
                </w14:textFill>
              </w:rPr>
              <w:t>（</w:t>
            </w:r>
            <w:r>
              <w:rPr>
                <w:rFonts w:hint="eastAsia"/>
                <w:b/>
                <w:bCs/>
                <w:color w:val="000000" w:themeColor="text1"/>
                <w:sz w:val="24"/>
                <w:szCs w:val="24"/>
                <w14:textFill>
                  <w14:solidFill>
                    <w14:schemeClr w14:val="tx1"/>
                  </w14:solidFill>
                </w14:textFill>
              </w:rPr>
              <w:t>编号、名称</w:t>
            </w:r>
            <w:r>
              <w:rPr>
                <w:rFonts w:hint="eastAsia"/>
                <w:b/>
                <w:bCs/>
                <w:color w:val="000000" w:themeColor="text1"/>
                <w:sz w:val="24"/>
                <w:szCs w:val="24"/>
                <w:lang w:eastAsia="zh-CN"/>
                <w14:textFill>
                  <w14:solidFill>
                    <w14:schemeClr w14:val="tx1"/>
                  </w14:solidFill>
                </w14:textFill>
              </w:rPr>
              <w:t>）</w:t>
            </w:r>
            <w:r>
              <w:rPr>
                <w:rFonts w:hint="eastAsia"/>
                <w:b/>
                <w:bCs/>
                <w:color w:val="000000" w:themeColor="text1"/>
                <w:sz w:val="24"/>
                <w:szCs w:val="24"/>
                <w14:textFill>
                  <w14:solidFill>
                    <w14:schemeClr w14:val="tx1"/>
                  </w14:solidFill>
                </w14:textFill>
              </w:rPr>
              <w:t>/污染源</w:t>
            </w:r>
          </w:p>
        </w:tc>
        <w:tc>
          <w:tcPr>
            <w:tcW w:w="1440" w:type="dxa"/>
            <w:tcBorders>
              <w:tl2br w:val="nil"/>
              <w:tr2bl w:val="nil"/>
            </w:tcBorders>
            <w:noWrap w:val="0"/>
            <w:vAlign w:val="center"/>
          </w:tcPr>
          <w:p>
            <w:pPr>
              <w:pStyle w:val="31"/>
              <w:bidi w:val="0"/>
              <w:spacing w:line="240" w:lineRule="auto"/>
              <w:jc w:val="center"/>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污染物项目</w:t>
            </w:r>
          </w:p>
        </w:tc>
        <w:tc>
          <w:tcPr>
            <w:tcW w:w="2010" w:type="dxa"/>
            <w:tcBorders>
              <w:tl2br w:val="nil"/>
              <w:tr2bl w:val="nil"/>
            </w:tcBorders>
            <w:noWrap w:val="0"/>
            <w:vAlign w:val="center"/>
          </w:tcPr>
          <w:p>
            <w:pPr>
              <w:pStyle w:val="31"/>
              <w:bidi w:val="0"/>
              <w:spacing w:line="240" w:lineRule="auto"/>
              <w:jc w:val="center"/>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环境保护措施</w:t>
            </w:r>
          </w:p>
        </w:tc>
        <w:tc>
          <w:tcPr>
            <w:tcW w:w="2419" w:type="dxa"/>
            <w:tcBorders>
              <w:tl2br w:val="nil"/>
              <w:tr2bl w:val="nil"/>
            </w:tcBorders>
            <w:noWrap w:val="0"/>
            <w:vAlign w:val="center"/>
          </w:tcPr>
          <w:p>
            <w:pPr>
              <w:pStyle w:val="31"/>
              <w:bidi w:val="0"/>
              <w:spacing w:line="240" w:lineRule="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97" w:type="dxa"/>
            <w:vMerge w:val="restart"/>
            <w:tcBorders>
              <w:tl2br w:val="nil"/>
              <w:tr2bl w:val="nil"/>
            </w:tcBorders>
            <w:noWrap w:val="0"/>
            <w:vAlign w:val="center"/>
          </w:tcPr>
          <w:p>
            <w:pPr>
              <w:pStyle w:val="31"/>
              <w:bidi w:val="0"/>
              <w:spacing w:line="24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大气环境</w:t>
            </w:r>
          </w:p>
        </w:tc>
        <w:tc>
          <w:tcPr>
            <w:tcW w:w="1988" w:type="dxa"/>
            <w:tcBorders>
              <w:tl2br w:val="nil"/>
              <w:tr2bl w:val="nil"/>
            </w:tcBorders>
            <w:noWrap w:val="0"/>
            <w:vAlign w:val="center"/>
          </w:tcPr>
          <w:p>
            <w:pPr>
              <w:pStyle w:val="30"/>
              <w:bidi w:val="0"/>
              <w:spacing w:line="240" w:lineRule="auto"/>
              <w:ind w:left="0" w:leftChars="0" w:firstLine="0" w:firstLineChars="0"/>
              <w:jc w:val="center"/>
              <w:rPr>
                <w:rFonts w:hint="default" w:ascii="Times New Roman" w:hAnsi="Times New Roman" w:eastAsia="宋体" w:cs="Times New Roman"/>
                <w:b w:val="0"/>
                <w:bCs w:val="0"/>
                <w:color w:val="auto"/>
                <w:kern w:val="2"/>
                <w:sz w:val="24"/>
                <w:szCs w:val="24"/>
                <w:vertAlign w:val="baseline"/>
                <w:lang w:val="en-US" w:eastAsia="zh-CN" w:bidi="ar-SA"/>
              </w:rPr>
            </w:pPr>
            <w:r>
              <w:rPr>
                <w:rFonts w:hint="eastAsia" w:cs="Times New Roman"/>
                <w:b w:val="0"/>
                <w:bCs w:val="0"/>
                <w:color w:val="auto"/>
                <w:kern w:val="2"/>
                <w:sz w:val="24"/>
                <w:szCs w:val="24"/>
                <w:vertAlign w:val="baseline"/>
                <w:lang w:val="en-US" w:eastAsia="zh-CN" w:bidi="ar-SA"/>
              </w:rPr>
              <w:t>DA001搅拌粉尘</w:t>
            </w:r>
          </w:p>
        </w:tc>
        <w:tc>
          <w:tcPr>
            <w:tcW w:w="1440" w:type="dxa"/>
            <w:vMerge w:val="restart"/>
            <w:tcBorders>
              <w:tl2br w:val="nil"/>
              <w:tr2bl w:val="nil"/>
            </w:tcBorders>
            <w:noWrap w:val="0"/>
            <w:vAlign w:val="center"/>
          </w:tcPr>
          <w:p>
            <w:pPr>
              <w:pStyle w:val="31"/>
              <w:bidi w:val="0"/>
              <w:spacing w:line="240" w:lineRule="auto"/>
              <w:jc w:val="center"/>
              <w:rPr>
                <w:rFonts w:hint="default"/>
                <w:sz w:val="24"/>
                <w:szCs w:val="24"/>
                <w:lang w:val="en-US" w:eastAsia="zh-CN"/>
              </w:rPr>
            </w:pPr>
            <w:r>
              <w:rPr>
                <w:rFonts w:hint="eastAsia"/>
                <w:sz w:val="24"/>
                <w:szCs w:val="24"/>
                <w:lang w:val="en-US" w:eastAsia="zh-CN"/>
              </w:rPr>
              <w:t>颗粒物</w:t>
            </w:r>
          </w:p>
        </w:tc>
        <w:tc>
          <w:tcPr>
            <w:tcW w:w="2010" w:type="dxa"/>
            <w:tcBorders>
              <w:tl2br w:val="nil"/>
              <w:tr2bl w:val="nil"/>
            </w:tcBorders>
            <w:noWrap w:val="0"/>
            <w:vAlign w:val="center"/>
          </w:tcPr>
          <w:p>
            <w:pPr>
              <w:pStyle w:val="31"/>
              <w:bidi w:val="0"/>
              <w:spacing w:line="240" w:lineRule="auto"/>
              <w:jc w:val="center"/>
              <w:rPr>
                <w:rFonts w:hint="default"/>
                <w:sz w:val="24"/>
                <w:szCs w:val="24"/>
                <w:lang w:val="en-US" w:eastAsia="zh-CN"/>
              </w:rPr>
            </w:pPr>
            <w:r>
              <w:rPr>
                <w:rFonts w:hint="eastAsia"/>
                <w:color w:val="auto"/>
                <w:szCs w:val="21"/>
              </w:rPr>
              <w:t>搅拌楼密闭，</w:t>
            </w:r>
            <w:r>
              <w:rPr>
                <w:rFonts w:hint="eastAsia"/>
                <w:color w:val="auto"/>
                <w:szCs w:val="21"/>
                <w:lang w:val="en-US" w:eastAsia="zh-CN"/>
              </w:rPr>
              <w:t>集气罩+设备自带的</w:t>
            </w:r>
            <w:r>
              <w:rPr>
                <w:rFonts w:hint="eastAsia"/>
                <w:color w:val="auto"/>
                <w:szCs w:val="21"/>
              </w:rPr>
              <w:t>布袋除尘器</w:t>
            </w:r>
            <w:r>
              <w:rPr>
                <w:rFonts w:hint="eastAsia"/>
                <w:color w:val="auto"/>
                <w:szCs w:val="21"/>
                <w:lang w:val="en-US" w:eastAsia="zh-CN"/>
              </w:rPr>
              <w:t>+15m高排气筒</w:t>
            </w:r>
          </w:p>
        </w:tc>
        <w:tc>
          <w:tcPr>
            <w:tcW w:w="2419" w:type="dxa"/>
            <w:tcBorders>
              <w:tl2br w:val="nil"/>
              <w:tr2bl w:val="nil"/>
            </w:tcBorders>
            <w:noWrap w:val="0"/>
            <w:vAlign w:val="center"/>
          </w:tcPr>
          <w:p>
            <w:pPr>
              <w:pStyle w:val="31"/>
              <w:bidi w:val="0"/>
              <w:spacing w:line="240" w:lineRule="auto"/>
              <w:rPr>
                <w:rFonts w:hint="default"/>
                <w:sz w:val="24"/>
                <w:szCs w:val="24"/>
                <w:lang w:val="en-US" w:eastAsia="zh-CN"/>
              </w:rPr>
            </w:pPr>
            <w:r>
              <w:rPr>
                <w:rFonts w:hint="eastAsia" w:ascii="Times New Roman" w:hAnsi="Times New Roman" w:cs="Times New Roman"/>
                <w:sz w:val="24"/>
                <w:highlight w:val="none"/>
                <w:lang w:val="en-US" w:eastAsia="zh-CN"/>
              </w:rPr>
              <w:t>有</w:t>
            </w:r>
            <w:r>
              <w:rPr>
                <w:rFonts w:hint="default" w:ascii="Times New Roman" w:hAnsi="Times New Roman" w:cs="Times New Roman"/>
                <w:sz w:val="24"/>
                <w:highlight w:val="none"/>
                <w:lang w:val="en-US" w:eastAsia="zh-CN"/>
              </w:rPr>
              <w:t>组织颗粒物的排放浓度</w:t>
            </w:r>
            <w:r>
              <w:rPr>
                <w:rFonts w:hint="default" w:ascii="Times New Roman" w:hAnsi="Times New Roman" w:cs="Times New Roman"/>
                <w:sz w:val="24"/>
                <w:highlight w:val="none"/>
              </w:rPr>
              <w:t>满足</w:t>
            </w:r>
            <w:r>
              <w:rPr>
                <w:rFonts w:hint="eastAsia"/>
                <w:color w:val="auto"/>
                <w:sz w:val="24"/>
                <w:szCs w:val="24"/>
              </w:rPr>
              <w:t>《水泥工业大气污染物排放标准》（GB4915-2013）表</w:t>
            </w:r>
            <w:r>
              <w:rPr>
                <w:rFonts w:hint="eastAsia"/>
                <w:color w:val="auto"/>
                <w:sz w:val="24"/>
                <w:szCs w:val="24"/>
                <w:lang w:val="en-US" w:eastAsia="zh-CN"/>
              </w:rPr>
              <w:t>1</w:t>
            </w:r>
            <w:r>
              <w:rPr>
                <w:rFonts w:hint="eastAsia"/>
                <w:color w:val="auto"/>
                <w:sz w:val="24"/>
                <w:szCs w:val="24"/>
              </w:rPr>
              <w:t>大气污染物</w:t>
            </w:r>
            <w:r>
              <w:rPr>
                <w:rFonts w:hint="eastAsia"/>
                <w:color w:val="auto"/>
                <w:sz w:val="24"/>
                <w:szCs w:val="24"/>
                <w:lang w:val="en-US" w:eastAsia="zh-CN"/>
              </w:rPr>
              <w:t>浓度</w:t>
            </w:r>
            <w:r>
              <w:rPr>
                <w:rFonts w:hint="eastAsia"/>
                <w:color w:val="auto"/>
                <w:sz w:val="24"/>
                <w:szCs w:val="24"/>
              </w:rPr>
              <w:t>排放限值</w:t>
            </w:r>
            <w:r>
              <w:rPr>
                <w:rFonts w:hint="eastAsia"/>
                <w:color w:val="auto"/>
                <w:sz w:val="24"/>
                <w:szCs w:val="24"/>
                <w:lang w:val="en-US" w:eastAsia="zh-CN"/>
              </w:rPr>
              <w:t>20mg/m</w:t>
            </w:r>
            <w:r>
              <w:rPr>
                <w:rFonts w:hint="eastAsia"/>
                <w:color w:val="auto"/>
                <w:sz w:val="24"/>
                <w:szCs w:val="24"/>
                <w:vertAlign w:val="superscript"/>
                <w:lang w:val="en-US" w:eastAsia="zh-CN"/>
              </w:rPr>
              <w:t>3</w:t>
            </w:r>
            <w:r>
              <w:rPr>
                <w:rFonts w:hint="eastAsia"/>
                <w:color w:val="auto"/>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497" w:type="dxa"/>
            <w:vMerge w:val="continue"/>
            <w:tcBorders>
              <w:tl2br w:val="nil"/>
              <w:tr2bl w:val="nil"/>
            </w:tcBorders>
            <w:noWrap w:val="0"/>
            <w:vAlign w:val="center"/>
          </w:tcPr>
          <w:p>
            <w:pPr>
              <w:pStyle w:val="31"/>
              <w:bidi w:val="0"/>
              <w:spacing w:line="240" w:lineRule="auto"/>
              <w:rPr>
                <w:rFonts w:hint="eastAsia"/>
                <w:color w:val="000000" w:themeColor="text1"/>
                <w:sz w:val="24"/>
                <w:szCs w:val="24"/>
                <w14:textFill>
                  <w14:solidFill>
                    <w14:schemeClr w14:val="tx1"/>
                  </w14:solidFill>
                </w14:textFill>
              </w:rPr>
            </w:pPr>
          </w:p>
        </w:tc>
        <w:tc>
          <w:tcPr>
            <w:tcW w:w="1988" w:type="dxa"/>
            <w:tcBorders>
              <w:tl2br w:val="nil"/>
              <w:tr2bl w:val="nil"/>
            </w:tcBorders>
            <w:noWrap w:val="0"/>
            <w:vAlign w:val="center"/>
          </w:tcPr>
          <w:p>
            <w:pPr>
              <w:pStyle w:val="30"/>
              <w:bidi w:val="0"/>
              <w:spacing w:line="240" w:lineRule="auto"/>
              <w:ind w:left="0" w:leftChars="0" w:firstLine="0" w:firstLineChars="0"/>
              <w:jc w:val="center"/>
              <w:rPr>
                <w:rFonts w:hint="eastAsia" w:ascii="Times New Roman" w:hAnsi="Times New Roman" w:eastAsia="宋体" w:cs="Times New Roman"/>
                <w:b w:val="0"/>
                <w:bCs w:val="0"/>
                <w:color w:val="auto"/>
                <w:kern w:val="2"/>
                <w:sz w:val="24"/>
                <w:szCs w:val="24"/>
                <w:vertAlign w:val="baseline"/>
                <w:lang w:val="en-US" w:eastAsia="zh-CN" w:bidi="ar-SA"/>
              </w:rPr>
            </w:pPr>
            <w:r>
              <w:rPr>
                <w:rFonts w:hint="eastAsia"/>
                <w:sz w:val="24"/>
                <w:szCs w:val="24"/>
                <w:lang w:val="en-US" w:eastAsia="zh-CN"/>
              </w:rPr>
              <w:t>筒仓</w:t>
            </w:r>
          </w:p>
        </w:tc>
        <w:tc>
          <w:tcPr>
            <w:tcW w:w="1440" w:type="dxa"/>
            <w:vMerge w:val="continue"/>
            <w:tcBorders>
              <w:tl2br w:val="nil"/>
              <w:tr2bl w:val="nil"/>
            </w:tcBorders>
            <w:noWrap w:val="0"/>
            <w:vAlign w:val="center"/>
          </w:tcPr>
          <w:p>
            <w:pPr>
              <w:pStyle w:val="31"/>
              <w:bidi w:val="0"/>
              <w:spacing w:line="240" w:lineRule="auto"/>
              <w:jc w:val="center"/>
              <w:rPr>
                <w:rFonts w:hint="eastAsia"/>
                <w:sz w:val="24"/>
                <w:szCs w:val="24"/>
                <w:lang w:val="en-US" w:eastAsia="zh-CN"/>
              </w:rPr>
            </w:pPr>
          </w:p>
        </w:tc>
        <w:tc>
          <w:tcPr>
            <w:tcW w:w="2010" w:type="dxa"/>
            <w:tcBorders>
              <w:tl2br w:val="nil"/>
              <w:tr2bl w:val="nil"/>
            </w:tcBorders>
            <w:noWrap w:val="0"/>
            <w:vAlign w:val="center"/>
          </w:tcPr>
          <w:p>
            <w:pPr>
              <w:bidi w:val="0"/>
              <w:spacing w:line="240" w:lineRule="auto"/>
              <w:ind w:left="0" w:leftChars="0" w:firstLine="0" w:firstLineChars="0"/>
              <w:jc w:val="center"/>
              <w:rPr>
                <w:rFonts w:hint="default"/>
                <w:sz w:val="24"/>
                <w:szCs w:val="24"/>
              </w:rPr>
            </w:pPr>
            <w:r>
              <w:rPr>
                <w:rFonts w:hint="eastAsia" w:ascii="Times New Roman" w:hAnsi="Times New Roman" w:eastAsia="宋体" w:cs="Times New Roman"/>
                <w:color w:val="auto"/>
                <w:szCs w:val="21"/>
                <w:lang w:val="en-US" w:eastAsia="zh-CN"/>
              </w:rPr>
              <w:t>筒仓采用配套套脉冲布袋除尘器</w:t>
            </w:r>
          </w:p>
        </w:tc>
        <w:tc>
          <w:tcPr>
            <w:tcW w:w="2419" w:type="dxa"/>
            <w:vMerge w:val="restart"/>
            <w:tcBorders>
              <w:tl2br w:val="nil"/>
              <w:tr2bl w:val="nil"/>
            </w:tcBorders>
            <w:noWrap w:val="0"/>
            <w:vAlign w:val="center"/>
          </w:tcPr>
          <w:p>
            <w:pPr>
              <w:pStyle w:val="31"/>
              <w:bidi w:val="0"/>
              <w:spacing w:line="240" w:lineRule="auto"/>
              <w:jc w:val="center"/>
              <w:rPr>
                <w:rFonts w:hint="default"/>
                <w:sz w:val="24"/>
                <w:szCs w:val="24"/>
              </w:rPr>
            </w:pPr>
            <w:r>
              <w:rPr>
                <w:rFonts w:hint="default" w:ascii="Times New Roman" w:hAnsi="Times New Roman" w:cs="Times New Roman"/>
                <w:sz w:val="24"/>
                <w:highlight w:val="none"/>
                <w:lang w:val="en-US" w:eastAsia="zh-CN"/>
              </w:rPr>
              <w:t>无组织颗粒物的排放浓度</w:t>
            </w:r>
            <w:r>
              <w:rPr>
                <w:rFonts w:hint="default" w:ascii="Times New Roman" w:hAnsi="Times New Roman" w:cs="Times New Roman"/>
                <w:sz w:val="24"/>
                <w:highlight w:val="none"/>
              </w:rPr>
              <w:t>可满足</w:t>
            </w:r>
            <w:r>
              <w:rPr>
                <w:rFonts w:hint="eastAsia"/>
                <w:color w:val="auto"/>
                <w:sz w:val="24"/>
                <w:szCs w:val="24"/>
              </w:rPr>
              <w:t>《水泥工业大气污染物排放标准》（GB4915-2013）表</w:t>
            </w:r>
            <w:r>
              <w:rPr>
                <w:rFonts w:hint="eastAsia"/>
                <w:color w:val="auto"/>
                <w:sz w:val="24"/>
                <w:szCs w:val="24"/>
                <w:lang w:val="en-US" w:eastAsia="zh-CN"/>
              </w:rPr>
              <w:t>3</w:t>
            </w:r>
            <w:r>
              <w:rPr>
                <w:rFonts w:hint="eastAsia"/>
                <w:color w:val="auto"/>
                <w:sz w:val="24"/>
                <w:szCs w:val="24"/>
              </w:rPr>
              <w:t>大气污染物</w:t>
            </w:r>
            <w:r>
              <w:rPr>
                <w:rFonts w:hint="eastAsia"/>
                <w:color w:val="auto"/>
                <w:sz w:val="24"/>
                <w:szCs w:val="24"/>
                <w:lang w:val="en-US" w:eastAsia="zh-CN"/>
              </w:rPr>
              <w:t>无组织</w:t>
            </w:r>
            <w:r>
              <w:rPr>
                <w:rFonts w:hint="eastAsia"/>
                <w:color w:val="auto"/>
                <w:sz w:val="24"/>
                <w:szCs w:val="24"/>
              </w:rPr>
              <w:t>排放</w:t>
            </w:r>
            <w:r>
              <w:rPr>
                <w:rFonts w:hint="eastAsia"/>
                <w:color w:val="auto"/>
                <w:sz w:val="24"/>
                <w:szCs w:val="24"/>
                <w:lang w:val="en-US" w:eastAsia="zh-CN"/>
              </w:rPr>
              <w:t>浓度0.5mg/m</w:t>
            </w:r>
            <w:r>
              <w:rPr>
                <w:rFonts w:hint="eastAsia"/>
                <w:color w:val="auto"/>
                <w:sz w:val="24"/>
                <w:szCs w:val="24"/>
                <w:vertAlign w:val="superscript"/>
                <w:lang w:val="en-US" w:eastAsia="zh-CN"/>
              </w:rPr>
              <w:t>3</w:t>
            </w:r>
            <w:r>
              <w:rPr>
                <w:rFonts w:hint="eastAsia"/>
                <w:color w:val="auto"/>
                <w:sz w:val="24"/>
                <w:szCs w:val="24"/>
                <w:vertAlign w:val="baseline"/>
                <w:lang w:val="en-US" w:eastAsia="zh-CN"/>
              </w:rPr>
              <w:t>的</w:t>
            </w:r>
            <w:r>
              <w:rPr>
                <w:rFonts w:hint="eastAsia"/>
                <w:color w:val="auto"/>
                <w:sz w:val="24"/>
                <w:szCs w:val="24"/>
              </w:rPr>
              <w:t>限值</w:t>
            </w:r>
            <w:r>
              <w:rPr>
                <w:rFonts w:hint="eastAsia"/>
                <w:color w:val="auto"/>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97" w:type="dxa"/>
            <w:vMerge w:val="continue"/>
            <w:tcBorders>
              <w:tl2br w:val="nil"/>
              <w:tr2bl w:val="nil"/>
            </w:tcBorders>
            <w:noWrap w:val="0"/>
            <w:vAlign w:val="center"/>
          </w:tcPr>
          <w:p>
            <w:pPr>
              <w:pStyle w:val="31"/>
              <w:bidi w:val="0"/>
              <w:spacing w:line="240" w:lineRule="auto"/>
              <w:rPr>
                <w:rFonts w:hint="eastAsia"/>
                <w:color w:val="000000" w:themeColor="text1"/>
                <w:sz w:val="24"/>
                <w:szCs w:val="24"/>
                <w14:textFill>
                  <w14:solidFill>
                    <w14:schemeClr w14:val="tx1"/>
                  </w14:solidFill>
                </w14:textFill>
              </w:rPr>
            </w:pPr>
          </w:p>
        </w:tc>
        <w:tc>
          <w:tcPr>
            <w:tcW w:w="1988" w:type="dxa"/>
            <w:tcBorders>
              <w:tl2br w:val="nil"/>
              <w:tr2bl w:val="nil"/>
            </w:tcBorders>
            <w:noWrap w:val="0"/>
            <w:vAlign w:val="center"/>
          </w:tcPr>
          <w:p>
            <w:pPr>
              <w:pStyle w:val="30"/>
              <w:bidi w:val="0"/>
              <w:spacing w:line="240" w:lineRule="auto"/>
              <w:ind w:left="0" w:leftChars="0" w:firstLine="0" w:firstLineChars="0"/>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砂石料堆场</w:t>
            </w:r>
          </w:p>
        </w:tc>
        <w:tc>
          <w:tcPr>
            <w:tcW w:w="1440" w:type="dxa"/>
            <w:vMerge w:val="continue"/>
            <w:tcBorders>
              <w:tl2br w:val="nil"/>
              <w:tr2bl w:val="nil"/>
            </w:tcBorders>
            <w:noWrap w:val="0"/>
            <w:vAlign w:val="center"/>
          </w:tcPr>
          <w:p>
            <w:pPr>
              <w:pStyle w:val="31"/>
              <w:bidi w:val="0"/>
              <w:spacing w:line="240" w:lineRule="auto"/>
              <w:jc w:val="center"/>
              <w:rPr>
                <w:rFonts w:hint="eastAsia"/>
                <w:sz w:val="24"/>
                <w:szCs w:val="24"/>
                <w:lang w:val="en-US" w:eastAsia="zh-CN"/>
              </w:rPr>
            </w:pPr>
          </w:p>
        </w:tc>
        <w:tc>
          <w:tcPr>
            <w:tcW w:w="2010" w:type="dxa"/>
            <w:tcBorders>
              <w:tl2br w:val="nil"/>
              <w:tr2bl w:val="nil"/>
            </w:tcBorders>
            <w:noWrap w:val="0"/>
            <w:vAlign w:val="center"/>
          </w:tcPr>
          <w:p>
            <w:pPr>
              <w:pStyle w:val="30"/>
              <w:bidi w:val="0"/>
              <w:spacing w:line="240" w:lineRule="auto"/>
              <w:ind w:left="0" w:leftChars="0" w:firstLine="0" w:firstLineChars="0"/>
              <w:jc w:val="center"/>
              <w:rPr>
                <w:rFonts w:hint="default" w:ascii="Times New Roman" w:hAnsi="Times New Roman" w:eastAsia="宋体" w:cs="Times New Roman"/>
                <w:color w:val="auto"/>
                <w:kern w:val="2"/>
                <w:sz w:val="24"/>
                <w:szCs w:val="21"/>
                <w:lang w:val="en-US" w:eastAsia="zh-CN" w:bidi="ar-SA"/>
              </w:rPr>
            </w:pPr>
            <w:r>
              <w:rPr>
                <w:rFonts w:hint="eastAsia" w:ascii="Times New Roman" w:hAnsi="Times New Roman" w:eastAsia="宋体" w:cs="Times New Roman"/>
                <w:color w:val="auto"/>
                <w:kern w:val="2"/>
                <w:sz w:val="24"/>
                <w:szCs w:val="21"/>
                <w:lang w:val="en-US" w:eastAsia="zh-CN" w:bidi="ar-SA"/>
              </w:rPr>
              <w:t>砂料、小石堆场全封闭，大石堆场半封闭+防风抑尘网</w:t>
            </w:r>
          </w:p>
        </w:tc>
        <w:tc>
          <w:tcPr>
            <w:tcW w:w="2419" w:type="dxa"/>
            <w:vMerge w:val="continue"/>
            <w:tcBorders>
              <w:tl2br w:val="nil"/>
              <w:tr2bl w:val="nil"/>
            </w:tcBorders>
            <w:noWrap w:val="0"/>
            <w:vAlign w:val="center"/>
          </w:tcPr>
          <w:p>
            <w:pPr>
              <w:pStyle w:val="31"/>
              <w:bidi w:val="0"/>
              <w:spacing w:line="240" w:lineRule="auto"/>
              <w:jc w:val="center"/>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97" w:type="dxa"/>
            <w:vMerge w:val="continue"/>
            <w:tcBorders>
              <w:tl2br w:val="nil"/>
              <w:tr2bl w:val="nil"/>
            </w:tcBorders>
            <w:noWrap w:val="0"/>
            <w:vAlign w:val="center"/>
          </w:tcPr>
          <w:p>
            <w:pPr>
              <w:bidi w:val="0"/>
              <w:spacing w:line="240" w:lineRule="auto"/>
              <w:ind w:firstLine="0" w:firstLineChars="0"/>
              <w:rPr>
                <w:rFonts w:hint="eastAsia"/>
                <w:sz w:val="24"/>
                <w:szCs w:val="24"/>
              </w:rPr>
            </w:pPr>
          </w:p>
        </w:tc>
        <w:tc>
          <w:tcPr>
            <w:tcW w:w="1988" w:type="dxa"/>
            <w:tcBorders>
              <w:tl2br w:val="nil"/>
              <w:tr2bl w:val="nil"/>
            </w:tcBorders>
            <w:noWrap w:val="0"/>
            <w:vAlign w:val="center"/>
          </w:tcPr>
          <w:p>
            <w:pPr>
              <w:pStyle w:val="30"/>
              <w:bidi w:val="0"/>
              <w:spacing w:line="240" w:lineRule="auto"/>
              <w:ind w:left="0" w:leftChars="0" w:firstLine="0" w:firstLineChars="0"/>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搅拌楼逸散粉尘</w:t>
            </w:r>
          </w:p>
        </w:tc>
        <w:tc>
          <w:tcPr>
            <w:tcW w:w="1440" w:type="dxa"/>
            <w:vMerge w:val="continue"/>
            <w:tcBorders>
              <w:tl2br w:val="nil"/>
              <w:tr2bl w:val="nil"/>
            </w:tcBorders>
            <w:noWrap w:val="0"/>
            <w:vAlign w:val="center"/>
          </w:tcPr>
          <w:p>
            <w:pPr>
              <w:pStyle w:val="31"/>
              <w:bidi w:val="0"/>
              <w:spacing w:line="240" w:lineRule="auto"/>
              <w:jc w:val="center"/>
              <w:rPr>
                <w:rFonts w:hint="eastAsia"/>
                <w:sz w:val="24"/>
                <w:szCs w:val="24"/>
              </w:rPr>
            </w:pPr>
          </w:p>
        </w:tc>
        <w:tc>
          <w:tcPr>
            <w:tcW w:w="2010" w:type="dxa"/>
            <w:tcBorders>
              <w:tl2br w:val="nil"/>
              <w:tr2bl w:val="nil"/>
            </w:tcBorders>
            <w:noWrap w:val="0"/>
            <w:vAlign w:val="center"/>
          </w:tcPr>
          <w:p>
            <w:pPr>
              <w:pStyle w:val="30"/>
              <w:bidi w:val="0"/>
              <w:spacing w:line="240" w:lineRule="auto"/>
              <w:ind w:left="0" w:leftChars="0" w:firstLine="0" w:firstLineChars="0"/>
              <w:jc w:val="center"/>
              <w:rPr>
                <w:rFonts w:hint="eastAsia" w:ascii="Times New Roman" w:hAnsi="Times New Roman" w:eastAsia="宋体" w:cs="Times New Roman"/>
                <w:color w:val="auto"/>
                <w:kern w:val="2"/>
                <w:sz w:val="24"/>
                <w:szCs w:val="21"/>
                <w:lang w:val="en-US" w:eastAsia="zh-CN" w:bidi="ar-SA"/>
              </w:rPr>
            </w:pPr>
            <w:r>
              <w:rPr>
                <w:rFonts w:hint="eastAsia" w:ascii="Times New Roman" w:hAnsi="Times New Roman" w:eastAsia="宋体" w:cs="Times New Roman"/>
                <w:color w:val="auto"/>
                <w:kern w:val="2"/>
                <w:sz w:val="24"/>
                <w:szCs w:val="21"/>
                <w:lang w:val="en-US" w:eastAsia="zh-CN" w:bidi="ar-SA"/>
              </w:rPr>
              <w:t>车间密闭</w:t>
            </w:r>
          </w:p>
        </w:tc>
        <w:tc>
          <w:tcPr>
            <w:tcW w:w="2419" w:type="dxa"/>
            <w:vMerge w:val="continue"/>
            <w:tcBorders>
              <w:tl2br w:val="nil"/>
              <w:tr2bl w:val="nil"/>
            </w:tcBorders>
            <w:noWrap w:val="0"/>
            <w:vAlign w:val="center"/>
          </w:tcPr>
          <w:p>
            <w:pPr>
              <w:bidi w:val="0"/>
              <w:spacing w:line="240" w:lineRule="auto"/>
              <w:ind w:firstLine="0" w:firstLineChars="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97" w:type="dxa"/>
            <w:vMerge w:val="continue"/>
            <w:tcBorders>
              <w:tl2br w:val="nil"/>
              <w:tr2bl w:val="nil"/>
            </w:tcBorders>
            <w:noWrap w:val="0"/>
            <w:vAlign w:val="center"/>
          </w:tcPr>
          <w:p>
            <w:pPr>
              <w:bidi w:val="0"/>
              <w:spacing w:line="240" w:lineRule="auto"/>
              <w:ind w:firstLine="0" w:firstLineChars="0"/>
              <w:rPr>
                <w:rFonts w:hint="eastAsia"/>
                <w:sz w:val="24"/>
                <w:szCs w:val="24"/>
              </w:rPr>
            </w:pPr>
          </w:p>
        </w:tc>
        <w:tc>
          <w:tcPr>
            <w:tcW w:w="1988" w:type="dxa"/>
            <w:tcBorders>
              <w:tl2br w:val="nil"/>
              <w:tr2bl w:val="nil"/>
            </w:tcBorders>
            <w:noWrap w:val="0"/>
            <w:vAlign w:val="center"/>
          </w:tcPr>
          <w:p>
            <w:pPr>
              <w:pStyle w:val="30"/>
              <w:bidi w:val="0"/>
              <w:spacing w:line="240" w:lineRule="auto"/>
              <w:ind w:left="0" w:leftChars="0" w:firstLine="0" w:firstLineChars="0"/>
              <w:rPr>
                <w:rFonts w:hint="eastAsia"/>
                <w:sz w:val="24"/>
                <w:szCs w:val="24"/>
                <w:lang w:val="en-US" w:eastAsia="zh-CN"/>
              </w:rPr>
            </w:pPr>
            <w:r>
              <w:rPr>
                <w:rFonts w:hint="eastAsia" w:cs="Times New Roman"/>
                <w:sz w:val="21"/>
                <w:szCs w:val="21"/>
                <w:lang w:val="en-US" w:eastAsia="zh-CN"/>
              </w:rPr>
              <w:t>投料、计量输送粉尘</w:t>
            </w:r>
          </w:p>
        </w:tc>
        <w:tc>
          <w:tcPr>
            <w:tcW w:w="1440" w:type="dxa"/>
            <w:vMerge w:val="continue"/>
            <w:tcBorders>
              <w:tl2br w:val="nil"/>
              <w:tr2bl w:val="nil"/>
            </w:tcBorders>
            <w:noWrap w:val="0"/>
            <w:vAlign w:val="center"/>
          </w:tcPr>
          <w:p>
            <w:pPr>
              <w:pStyle w:val="31"/>
              <w:bidi w:val="0"/>
              <w:spacing w:line="240" w:lineRule="auto"/>
              <w:jc w:val="center"/>
              <w:rPr>
                <w:rFonts w:hint="eastAsia"/>
                <w:sz w:val="24"/>
                <w:szCs w:val="24"/>
              </w:rPr>
            </w:pPr>
          </w:p>
        </w:tc>
        <w:tc>
          <w:tcPr>
            <w:tcW w:w="2010" w:type="dxa"/>
            <w:tcBorders>
              <w:tl2br w:val="nil"/>
              <w:tr2bl w:val="nil"/>
            </w:tcBorders>
            <w:noWrap w:val="0"/>
            <w:vAlign w:val="center"/>
          </w:tcPr>
          <w:p>
            <w:pPr>
              <w:pStyle w:val="30"/>
              <w:bidi w:val="0"/>
              <w:spacing w:line="240" w:lineRule="auto"/>
              <w:ind w:left="0" w:leftChars="0" w:firstLine="0" w:firstLineChars="0"/>
              <w:jc w:val="center"/>
              <w:rPr>
                <w:rFonts w:hint="eastAsia" w:ascii="Times New Roman" w:hAnsi="Times New Roman" w:eastAsia="宋体" w:cs="Times New Roman"/>
                <w:color w:val="auto"/>
                <w:kern w:val="2"/>
                <w:sz w:val="24"/>
                <w:szCs w:val="21"/>
                <w:lang w:val="en-US" w:eastAsia="zh-CN" w:bidi="ar-SA"/>
              </w:rPr>
            </w:pPr>
            <w:r>
              <w:rPr>
                <w:rFonts w:hint="eastAsia" w:ascii="Times New Roman" w:hAnsi="Times New Roman" w:eastAsia="宋体" w:cs="Times New Roman"/>
                <w:color w:val="auto"/>
                <w:kern w:val="2"/>
                <w:sz w:val="24"/>
                <w:szCs w:val="21"/>
                <w:lang w:val="en-US" w:eastAsia="zh-CN" w:bidi="ar-SA"/>
              </w:rPr>
              <w:t>密闭、喷淋</w:t>
            </w:r>
          </w:p>
        </w:tc>
        <w:tc>
          <w:tcPr>
            <w:tcW w:w="2419" w:type="dxa"/>
            <w:vMerge w:val="continue"/>
            <w:tcBorders>
              <w:tl2br w:val="nil"/>
              <w:tr2bl w:val="nil"/>
            </w:tcBorders>
            <w:noWrap w:val="0"/>
            <w:vAlign w:val="center"/>
          </w:tcPr>
          <w:p>
            <w:pPr>
              <w:bidi w:val="0"/>
              <w:spacing w:line="240" w:lineRule="auto"/>
              <w:ind w:firstLine="0" w:firstLineChars="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497" w:type="dxa"/>
            <w:vMerge w:val="continue"/>
            <w:tcBorders>
              <w:tl2br w:val="nil"/>
              <w:tr2bl w:val="nil"/>
            </w:tcBorders>
            <w:noWrap w:val="0"/>
            <w:vAlign w:val="center"/>
          </w:tcPr>
          <w:p>
            <w:pPr>
              <w:bidi w:val="0"/>
              <w:spacing w:line="240" w:lineRule="auto"/>
              <w:ind w:firstLine="0" w:firstLineChars="0"/>
              <w:rPr>
                <w:rFonts w:hint="eastAsia"/>
                <w:sz w:val="24"/>
                <w:szCs w:val="24"/>
              </w:rPr>
            </w:pPr>
          </w:p>
        </w:tc>
        <w:tc>
          <w:tcPr>
            <w:tcW w:w="1988" w:type="dxa"/>
            <w:tcBorders>
              <w:tl2br w:val="nil"/>
              <w:tr2bl w:val="nil"/>
            </w:tcBorders>
            <w:noWrap w:val="0"/>
            <w:vAlign w:val="center"/>
          </w:tcPr>
          <w:p>
            <w:pPr>
              <w:pStyle w:val="30"/>
              <w:bidi w:val="0"/>
              <w:spacing w:line="240" w:lineRule="auto"/>
              <w:ind w:left="0" w:leftChars="0" w:firstLine="0" w:firstLineChars="0"/>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运输扬尘</w:t>
            </w:r>
          </w:p>
        </w:tc>
        <w:tc>
          <w:tcPr>
            <w:tcW w:w="1440" w:type="dxa"/>
            <w:vMerge w:val="continue"/>
            <w:tcBorders>
              <w:tl2br w:val="nil"/>
              <w:tr2bl w:val="nil"/>
            </w:tcBorders>
            <w:noWrap w:val="0"/>
            <w:vAlign w:val="center"/>
          </w:tcPr>
          <w:p>
            <w:pPr>
              <w:pStyle w:val="31"/>
              <w:bidi w:val="0"/>
              <w:spacing w:line="240" w:lineRule="auto"/>
              <w:jc w:val="center"/>
              <w:rPr>
                <w:rFonts w:hint="eastAsia"/>
                <w:sz w:val="24"/>
                <w:szCs w:val="24"/>
              </w:rPr>
            </w:pPr>
          </w:p>
        </w:tc>
        <w:tc>
          <w:tcPr>
            <w:tcW w:w="2010" w:type="dxa"/>
            <w:tcBorders>
              <w:tl2br w:val="nil"/>
              <w:tr2bl w:val="nil"/>
            </w:tcBorders>
            <w:noWrap w:val="0"/>
            <w:vAlign w:val="center"/>
          </w:tcPr>
          <w:p>
            <w:pPr>
              <w:pStyle w:val="30"/>
              <w:bidi w:val="0"/>
              <w:spacing w:line="240" w:lineRule="auto"/>
              <w:ind w:left="0" w:leftChars="0" w:firstLine="0" w:firstLineChars="0"/>
              <w:jc w:val="center"/>
              <w:rPr>
                <w:rFonts w:hint="eastAsia" w:ascii="Times New Roman" w:hAnsi="Times New Roman" w:eastAsia="宋体" w:cs="Times New Roman"/>
                <w:color w:val="auto"/>
                <w:kern w:val="2"/>
                <w:sz w:val="24"/>
                <w:szCs w:val="21"/>
                <w:lang w:val="en-US" w:eastAsia="zh-CN" w:bidi="ar-SA"/>
              </w:rPr>
            </w:pPr>
            <w:r>
              <w:rPr>
                <w:rFonts w:hint="eastAsia" w:ascii="Times New Roman" w:hAnsi="Times New Roman" w:eastAsia="宋体" w:cs="Times New Roman"/>
                <w:color w:val="auto"/>
                <w:kern w:val="2"/>
                <w:sz w:val="24"/>
                <w:szCs w:val="21"/>
                <w:lang w:val="en-US" w:eastAsia="zh-CN" w:bidi="ar-SA"/>
              </w:rPr>
              <w:t>运输车辆要封闭遮盖，粉料采用密闭罐车运输，车辆清洗，地面洒水降尘、及时清扫</w:t>
            </w:r>
          </w:p>
        </w:tc>
        <w:tc>
          <w:tcPr>
            <w:tcW w:w="2419" w:type="dxa"/>
            <w:vMerge w:val="continue"/>
            <w:tcBorders>
              <w:tl2br w:val="nil"/>
              <w:tr2bl w:val="nil"/>
            </w:tcBorders>
            <w:noWrap w:val="0"/>
            <w:vAlign w:val="center"/>
          </w:tcPr>
          <w:p>
            <w:pPr>
              <w:bidi w:val="0"/>
              <w:spacing w:line="240" w:lineRule="auto"/>
              <w:ind w:firstLine="0" w:firstLineChars="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497" w:type="dxa"/>
            <w:vMerge w:val="continue"/>
            <w:tcBorders>
              <w:tl2br w:val="nil"/>
              <w:tr2bl w:val="nil"/>
            </w:tcBorders>
            <w:noWrap w:val="0"/>
            <w:vAlign w:val="center"/>
          </w:tcPr>
          <w:p>
            <w:pPr>
              <w:bidi w:val="0"/>
              <w:spacing w:line="240" w:lineRule="auto"/>
              <w:ind w:firstLine="0" w:firstLineChars="0"/>
              <w:rPr>
                <w:rFonts w:hint="eastAsia"/>
                <w:sz w:val="24"/>
                <w:szCs w:val="24"/>
              </w:rPr>
            </w:pPr>
          </w:p>
        </w:tc>
        <w:tc>
          <w:tcPr>
            <w:tcW w:w="1988" w:type="dxa"/>
            <w:tcBorders>
              <w:tl2br w:val="nil"/>
              <w:tr2bl w:val="nil"/>
            </w:tcBorders>
            <w:noWrap w:val="0"/>
            <w:vAlign w:val="center"/>
          </w:tcPr>
          <w:p>
            <w:pPr>
              <w:pStyle w:val="30"/>
              <w:bidi w:val="0"/>
              <w:spacing w:line="240" w:lineRule="auto"/>
              <w:ind w:left="0" w:leftChars="0" w:firstLine="0" w:firstLineChars="0"/>
              <w:rPr>
                <w:rFonts w:hint="eastAsia"/>
                <w:sz w:val="24"/>
                <w:szCs w:val="24"/>
                <w:lang w:val="en-US" w:eastAsia="zh-CN"/>
              </w:rPr>
            </w:pPr>
            <w:r>
              <w:rPr>
                <w:rFonts w:hint="eastAsia"/>
                <w:sz w:val="24"/>
                <w:szCs w:val="24"/>
                <w:lang w:val="en-US" w:eastAsia="zh-CN"/>
              </w:rPr>
              <w:t>皮带运输</w:t>
            </w:r>
          </w:p>
        </w:tc>
        <w:tc>
          <w:tcPr>
            <w:tcW w:w="1440" w:type="dxa"/>
            <w:vMerge w:val="continue"/>
            <w:tcBorders>
              <w:tl2br w:val="nil"/>
              <w:tr2bl w:val="nil"/>
            </w:tcBorders>
            <w:noWrap w:val="0"/>
            <w:vAlign w:val="center"/>
          </w:tcPr>
          <w:p>
            <w:pPr>
              <w:pStyle w:val="31"/>
              <w:bidi w:val="0"/>
              <w:spacing w:line="240" w:lineRule="auto"/>
              <w:jc w:val="center"/>
              <w:rPr>
                <w:rFonts w:hint="eastAsia"/>
                <w:sz w:val="24"/>
                <w:szCs w:val="24"/>
              </w:rPr>
            </w:pPr>
          </w:p>
        </w:tc>
        <w:tc>
          <w:tcPr>
            <w:tcW w:w="2010" w:type="dxa"/>
            <w:tcBorders>
              <w:tl2br w:val="nil"/>
              <w:tr2bl w:val="nil"/>
            </w:tcBorders>
            <w:noWrap w:val="0"/>
            <w:vAlign w:val="center"/>
          </w:tcPr>
          <w:p>
            <w:pPr>
              <w:pStyle w:val="30"/>
              <w:bidi w:val="0"/>
              <w:spacing w:line="240" w:lineRule="auto"/>
              <w:ind w:left="0" w:leftChars="0" w:firstLine="0" w:firstLineChars="0"/>
              <w:jc w:val="center"/>
              <w:rPr>
                <w:rFonts w:hint="eastAsia"/>
                <w:sz w:val="24"/>
                <w:szCs w:val="24"/>
                <w:lang w:val="en-US" w:eastAsia="zh-CN"/>
              </w:rPr>
            </w:pPr>
            <w:r>
              <w:rPr>
                <w:rFonts w:hint="eastAsia"/>
                <w:sz w:val="24"/>
                <w:szCs w:val="24"/>
                <w:lang w:val="en-US" w:eastAsia="zh-CN"/>
              </w:rPr>
              <w:t>全封闭</w:t>
            </w:r>
          </w:p>
        </w:tc>
        <w:tc>
          <w:tcPr>
            <w:tcW w:w="2419" w:type="dxa"/>
            <w:vMerge w:val="continue"/>
            <w:tcBorders>
              <w:tl2br w:val="nil"/>
              <w:tr2bl w:val="nil"/>
            </w:tcBorders>
            <w:noWrap w:val="0"/>
            <w:vAlign w:val="center"/>
          </w:tcPr>
          <w:p>
            <w:pPr>
              <w:bidi w:val="0"/>
              <w:spacing w:line="240" w:lineRule="auto"/>
              <w:ind w:firstLine="0" w:firstLineChars="0"/>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497" w:type="dxa"/>
            <w:vMerge w:val="continue"/>
            <w:tcBorders>
              <w:tl2br w:val="nil"/>
              <w:tr2bl w:val="nil"/>
            </w:tcBorders>
            <w:noWrap w:val="0"/>
            <w:vAlign w:val="center"/>
          </w:tcPr>
          <w:p>
            <w:pPr>
              <w:bidi w:val="0"/>
              <w:spacing w:line="240" w:lineRule="auto"/>
              <w:ind w:firstLine="0" w:firstLineChars="0"/>
              <w:rPr>
                <w:rFonts w:hint="eastAsia"/>
                <w:sz w:val="24"/>
                <w:szCs w:val="24"/>
              </w:rPr>
            </w:pPr>
          </w:p>
        </w:tc>
        <w:tc>
          <w:tcPr>
            <w:tcW w:w="1988" w:type="dxa"/>
            <w:tcBorders>
              <w:tl2br w:val="nil"/>
              <w:tr2bl w:val="nil"/>
            </w:tcBorders>
            <w:noWrap w:val="0"/>
            <w:vAlign w:val="center"/>
          </w:tcPr>
          <w:p>
            <w:pPr>
              <w:pStyle w:val="30"/>
              <w:bidi w:val="0"/>
              <w:spacing w:line="240" w:lineRule="auto"/>
              <w:ind w:left="0" w:leftChars="0" w:firstLine="0" w:firstLineChars="0"/>
              <w:rPr>
                <w:rFonts w:hint="default"/>
                <w:sz w:val="24"/>
                <w:szCs w:val="24"/>
                <w:lang w:val="en-US" w:eastAsia="zh-CN"/>
              </w:rPr>
            </w:pPr>
            <w:r>
              <w:rPr>
                <w:rFonts w:hint="eastAsia"/>
                <w:sz w:val="24"/>
                <w:szCs w:val="24"/>
                <w:lang w:val="en-US" w:eastAsia="zh-CN"/>
              </w:rPr>
              <w:t>食堂油烟</w:t>
            </w:r>
          </w:p>
        </w:tc>
        <w:tc>
          <w:tcPr>
            <w:tcW w:w="1440" w:type="dxa"/>
            <w:vMerge w:val="continue"/>
            <w:tcBorders>
              <w:tl2br w:val="nil"/>
              <w:tr2bl w:val="nil"/>
            </w:tcBorders>
            <w:noWrap w:val="0"/>
            <w:vAlign w:val="center"/>
          </w:tcPr>
          <w:p>
            <w:pPr>
              <w:pStyle w:val="31"/>
              <w:bidi w:val="0"/>
              <w:spacing w:line="240" w:lineRule="auto"/>
              <w:jc w:val="center"/>
              <w:rPr>
                <w:rFonts w:hint="eastAsia"/>
                <w:sz w:val="24"/>
                <w:szCs w:val="24"/>
              </w:rPr>
            </w:pPr>
          </w:p>
        </w:tc>
        <w:tc>
          <w:tcPr>
            <w:tcW w:w="2010" w:type="dxa"/>
            <w:tcBorders>
              <w:tl2br w:val="nil"/>
              <w:tr2bl w:val="nil"/>
            </w:tcBorders>
            <w:noWrap w:val="0"/>
            <w:vAlign w:val="center"/>
          </w:tcPr>
          <w:p>
            <w:pPr>
              <w:pStyle w:val="30"/>
              <w:bidi w:val="0"/>
              <w:spacing w:line="240" w:lineRule="auto"/>
              <w:ind w:left="0" w:leftChars="0" w:firstLine="0" w:firstLineChars="0"/>
              <w:jc w:val="center"/>
              <w:rPr>
                <w:rFonts w:hint="default"/>
                <w:sz w:val="24"/>
                <w:szCs w:val="24"/>
                <w:lang w:val="en-US" w:eastAsia="zh-CN"/>
              </w:rPr>
            </w:pPr>
            <w:r>
              <w:rPr>
                <w:rFonts w:hint="eastAsia"/>
                <w:sz w:val="24"/>
                <w:szCs w:val="24"/>
                <w:lang w:val="en-US" w:eastAsia="zh-CN"/>
              </w:rPr>
              <w:t>油烟净化装置</w:t>
            </w:r>
          </w:p>
        </w:tc>
        <w:tc>
          <w:tcPr>
            <w:tcW w:w="2419" w:type="dxa"/>
            <w:tcBorders>
              <w:tl2br w:val="nil"/>
              <w:tr2bl w:val="nil"/>
            </w:tcBorders>
            <w:noWrap w:val="0"/>
            <w:vAlign w:val="center"/>
          </w:tcPr>
          <w:p>
            <w:pPr>
              <w:bidi w:val="0"/>
              <w:spacing w:line="240" w:lineRule="auto"/>
              <w:ind w:firstLine="0" w:firstLineChars="0"/>
              <w:jc w:val="center"/>
              <w:rPr>
                <w:rFonts w:hint="eastAsia"/>
                <w:sz w:val="24"/>
                <w:szCs w:val="24"/>
              </w:rPr>
            </w:pPr>
            <w:r>
              <w:rPr>
                <w:rFonts w:hint="default" w:ascii="Times New Roman" w:hAnsi="Times New Roman" w:eastAsia="宋体" w:cs="Times New Roman"/>
                <w:color w:val="auto"/>
                <w:sz w:val="24"/>
              </w:rPr>
              <w:t>《饮食业油烟排放标准》（试行）</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GB18483-2001</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标准2.0mg/m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497" w:type="dxa"/>
            <w:vMerge w:val="restart"/>
            <w:tcBorders>
              <w:tl2br w:val="nil"/>
              <w:tr2bl w:val="nil"/>
            </w:tcBorders>
            <w:noWrap w:val="0"/>
            <w:vAlign w:val="center"/>
          </w:tcPr>
          <w:p>
            <w:pPr>
              <w:pStyle w:val="31"/>
              <w:bidi w:val="0"/>
              <w:spacing w:line="24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地表水环境</w:t>
            </w:r>
          </w:p>
        </w:tc>
        <w:tc>
          <w:tcPr>
            <w:tcW w:w="1988" w:type="dxa"/>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leftChars="0" w:right="0" w:rightChars="0" w:firstLine="0" w:firstLineChars="0"/>
              <w:rPr>
                <w:rFonts w:hint="eastAsia"/>
                <w:sz w:val="24"/>
                <w:szCs w:val="24"/>
                <w:lang w:val="en-US" w:eastAsia="zh-CN"/>
              </w:rPr>
            </w:pPr>
            <w:r>
              <w:rPr>
                <w:rFonts w:hint="eastAsia"/>
                <w:sz w:val="24"/>
                <w:szCs w:val="24"/>
                <w:lang w:val="en-US" w:eastAsia="zh-CN"/>
              </w:rPr>
              <w:t>生活污水</w:t>
            </w:r>
          </w:p>
        </w:tc>
        <w:tc>
          <w:tcPr>
            <w:tcW w:w="1440" w:type="dxa"/>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leftChars="0" w:right="0" w:rightChars="0" w:firstLine="0" w:firstLineChars="0"/>
              <w:jc w:val="center"/>
              <w:rPr>
                <w:rFonts w:hint="eastAsia"/>
                <w:sz w:val="24"/>
                <w:szCs w:val="24"/>
              </w:rPr>
            </w:pPr>
            <w:r>
              <w:rPr>
                <w:rFonts w:hint="default"/>
                <w:sz w:val="24"/>
                <w:szCs w:val="24"/>
                <w:lang w:val="en-US" w:eastAsia="zh-CN"/>
              </w:rPr>
              <w:t>COD、BOD</w:t>
            </w:r>
            <w:r>
              <w:rPr>
                <w:rFonts w:hint="default"/>
                <w:sz w:val="24"/>
                <w:szCs w:val="24"/>
                <w:vertAlign w:val="subscript"/>
                <w:lang w:val="en-US" w:eastAsia="zh-CN"/>
              </w:rPr>
              <w:t>5</w:t>
            </w:r>
            <w:r>
              <w:rPr>
                <w:rFonts w:hint="default"/>
                <w:sz w:val="24"/>
                <w:szCs w:val="24"/>
                <w:lang w:val="en-US" w:eastAsia="zh-CN"/>
              </w:rPr>
              <w:t>、SS、氨氮</w:t>
            </w:r>
            <w:r>
              <w:rPr>
                <w:rFonts w:hint="eastAsia"/>
                <w:sz w:val="24"/>
                <w:szCs w:val="24"/>
                <w:lang w:val="en-US" w:eastAsia="zh-CN"/>
              </w:rPr>
              <w:t>、动植物油</w:t>
            </w:r>
          </w:p>
        </w:tc>
        <w:tc>
          <w:tcPr>
            <w:tcW w:w="2010" w:type="dxa"/>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leftChars="0" w:right="0" w:rightChars="0" w:firstLine="0" w:firstLineChars="0"/>
              <w:jc w:val="center"/>
              <w:rPr>
                <w:rFonts w:hint="eastAsia"/>
                <w:sz w:val="24"/>
                <w:szCs w:val="24"/>
              </w:rPr>
            </w:pPr>
            <w:r>
              <w:rPr>
                <w:rFonts w:hint="eastAsia"/>
                <w:sz w:val="24"/>
                <w:szCs w:val="24"/>
                <w:lang w:val="en-US" w:eastAsia="zh-CN"/>
              </w:rPr>
              <w:t>生活污水排入防渗化粪池，定期抽运至伊拉湖镇污水处理厂进行后续处理</w:t>
            </w:r>
          </w:p>
        </w:tc>
        <w:tc>
          <w:tcPr>
            <w:tcW w:w="2419" w:type="dxa"/>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leftChars="0" w:right="0" w:rightChars="0" w:firstLine="0" w:firstLineChars="0"/>
              <w:rPr>
                <w:rFonts w:hint="default" w:eastAsia="宋体"/>
                <w:sz w:val="24"/>
                <w:szCs w:val="24"/>
                <w:lang w:val="en-US" w:eastAsia="zh-CN"/>
              </w:rPr>
            </w:pPr>
            <w:r>
              <w:rPr>
                <w:rFonts w:hint="eastAsia"/>
                <w:sz w:val="24"/>
                <w:szCs w:val="24"/>
              </w:rPr>
              <w:t>《污水综合排放标准》（GB8978-1996）</w:t>
            </w:r>
            <w:r>
              <w:rPr>
                <w:rFonts w:hint="eastAsia"/>
                <w:sz w:val="24"/>
                <w:szCs w:val="24"/>
                <w:lang w:val="en-US" w:eastAsia="zh-CN"/>
              </w:rPr>
              <w:t>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7" w:type="dxa"/>
            <w:vMerge w:val="continue"/>
            <w:tcBorders>
              <w:tl2br w:val="nil"/>
              <w:tr2bl w:val="nil"/>
            </w:tcBorders>
            <w:noWrap w:val="0"/>
            <w:vAlign w:val="center"/>
          </w:tcPr>
          <w:p>
            <w:pPr>
              <w:pStyle w:val="31"/>
              <w:bidi w:val="0"/>
              <w:spacing w:line="240" w:lineRule="auto"/>
              <w:rPr>
                <w:rFonts w:hint="eastAsia"/>
                <w:color w:val="000000" w:themeColor="text1"/>
                <w:sz w:val="24"/>
                <w:szCs w:val="24"/>
                <w14:textFill>
                  <w14:solidFill>
                    <w14:schemeClr w14:val="tx1"/>
                  </w14:solidFill>
                </w14:textFill>
              </w:rPr>
            </w:pPr>
          </w:p>
        </w:tc>
        <w:tc>
          <w:tcPr>
            <w:tcW w:w="1988" w:type="dxa"/>
            <w:tcBorders>
              <w:tl2br w:val="nil"/>
              <w:tr2bl w:val="nil"/>
            </w:tcBorders>
            <w:noWrap w:val="0"/>
            <w:vAlign w:val="center"/>
          </w:tcPr>
          <w:p>
            <w:pPr>
              <w:pStyle w:val="31"/>
              <w:bidi w:val="0"/>
              <w:spacing w:line="240" w:lineRule="auto"/>
              <w:rPr>
                <w:rFonts w:hint="eastAsia"/>
                <w:sz w:val="24"/>
                <w:szCs w:val="24"/>
                <w:lang w:val="en-US" w:eastAsia="zh-CN"/>
              </w:rPr>
            </w:pPr>
            <w:r>
              <w:rPr>
                <w:rFonts w:hint="eastAsia"/>
                <w:sz w:val="24"/>
                <w:szCs w:val="24"/>
                <w:lang w:val="en-US" w:eastAsia="zh-CN"/>
              </w:rPr>
              <w:t>冲洗废水</w:t>
            </w:r>
          </w:p>
        </w:tc>
        <w:tc>
          <w:tcPr>
            <w:tcW w:w="1440" w:type="dxa"/>
            <w:tcBorders>
              <w:tl2br w:val="nil"/>
              <w:tr2bl w:val="nil"/>
            </w:tcBorders>
            <w:noWrap w:val="0"/>
            <w:vAlign w:val="center"/>
          </w:tcPr>
          <w:p>
            <w:pPr>
              <w:pStyle w:val="31"/>
              <w:bidi w:val="0"/>
              <w:spacing w:line="240" w:lineRule="auto"/>
              <w:jc w:val="center"/>
              <w:rPr>
                <w:rFonts w:hint="default" w:eastAsia="宋体"/>
                <w:sz w:val="24"/>
                <w:szCs w:val="24"/>
                <w:lang w:val="en-US" w:eastAsia="zh-CN"/>
              </w:rPr>
            </w:pPr>
            <w:r>
              <w:rPr>
                <w:rFonts w:hint="eastAsia"/>
                <w:sz w:val="24"/>
                <w:szCs w:val="24"/>
                <w:lang w:val="en-US" w:eastAsia="zh-CN"/>
              </w:rPr>
              <w:t>SS</w:t>
            </w:r>
          </w:p>
        </w:tc>
        <w:tc>
          <w:tcPr>
            <w:tcW w:w="2010" w:type="dxa"/>
            <w:tcBorders>
              <w:tl2br w:val="nil"/>
              <w:tr2bl w:val="nil"/>
            </w:tcBorders>
            <w:noWrap w:val="0"/>
            <w:vAlign w:val="center"/>
          </w:tcPr>
          <w:p>
            <w:pPr>
              <w:pStyle w:val="31"/>
              <w:bidi w:val="0"/>
              <w:spacing w:line="240" w:lineRule="auto"/>
              <w:jc w:val="both"/>
              <w:rPr>
                <w:rFonts w:hint="eastAsia"/>
                <w:sz w:val="24"/>
                <w:szCs w:val="24"/>
                <w:lang w:eastAsia="zh-CN"/>
              </w:rPr>
            </w:pPr>
            <w:r>
              <w:rPr>
                <w:rFonts w:hint="eastAsia"/>
                <w:sz w:val="24"/>
                <w:szCs w:val="24"/>
              </w:rPr>
              <w:t>沉淀</w:t>
            </w:r>
            <w:r>
              <w:rPr>
                <w:rFonts w:hint="eastAsia"/>
                <w:sz w:val="24"/>
                <w:szCs w:val="24"/>
                <w:lang w:val="en-US" w:eastAsia="zh-CN"/>
              </w:rPr>
              <w:t>后</w:t>
            </w:r>
            <w:r>
              <w:rPr>
                <w:rFonts w:hint="eastAsia"/>
                <w:sz w:val="24"/>
                <w:szCs w:val="24"/>
              </w:rPr>
              <w:t>回用生产</w:t>
            </w:r>
          </w:p>
        </w:tc>
        <w:tc>
          <w:tcPr>
            <w:tcW w:w="2419" w:type="dxa"/>
            <w:tcBorders>
              <w:tl2br w:val="nil"/>
              <w:tr2bl w:val="nil"/>
            </w:tcBorders>
            <w:noWrap w:val="0"/>
            <w:vAlign w:val="center"/>
          </w:tcPr>
          <w:p>
            <w:pPr>
              <w:pStyle w:val="31"/>
              <w:keepNext w:val="0"/>
              <w:keepLines w:val="0"/>
              <w:suppressLineNumbers w:val="0"/>
              <w:bidi w:val="0"/>
              <w:spacing w:before="0" w:beforeAutospacing="0" w:after="0" w:afterAutospacing="0" w:line="240" w:lineRule="auto"/>
              <w:ind w:left="0" w:leftChars="0" w:right="0" w:rightChars="0" w:firstLine="0" w:firstLineChars="0"/>
              <w:rPr>
                <w:rFonts w:hint="default"/>
                <w:sz w:val="24"/>
                <w:szCs w:val="24"/>
                <w:lang w:val="en-US" w:eastAsia="zh-CN"/>
              </w:rPr>
            </w:pP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7" w:type="dxa"/>
            <w:tcBorders>
              <w:tl2br w:val="nil"/>
              <w:tr2bl w:val="nil"/>
            </w:tcBorders>
            <w:noWrap w:val="0"/>
            <w:vAlign w:val="center"/>
          </w:tcPr>
          <w:p>
            <w:pPr>
              <w:pStyle w:val="31"/>
              <w:bidi w:val="0"/>
              <w:spacing w:line="24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声环境</w:t>
            </w:r>
          </w:p>
        </w:tc>
        <w:tc>
          <w:tcPr>
            <w:tcW w:w="1988" w:type="dxa"/>
            <w:tcBorders>
              <w:tl2br w:val="nil"/>
              <w:tr2bl w:val="nil"/>
            </w:tcBorders>
            <w:noWrap w:val="0"/>
            <w:vAlign w:val="center"/>
          </w:tcPr>
          <w:p>
            <w:pPr>
              <w:pStyle w:val="31"/>
              <w:bidi w:val="0"/>
              <w:spacing w:line="240" w:lineRule="auto"/>
              <w:rPr>
                <w:rFonts w:hint="default"/>
                <w:sz w:val="24"/>
                <w:szCs w:val="24"/>
                <w:lang w:val="en-US" w:eastAsia="zh-CN"/>
              </w:rPr>
            </w:pPr>
            <w:r>
              <w:rPr>
                <w:rFonts w:hint="eastAsia"/>
                <w:sz w:val="24"/>
                <w:szCs w:val="24"/>
                <w:lang w:val="en-US" w:eastAsia="zh-CN"/>
              </w:rPr>
              <w:t>厂界</w:t>
            </w:r>
          </w:p>
        </w:tc>
        <w:tc>
          <w:tcPr>
            <w:tcW w:w="1440" w:type="dxa"/>
            <w:tcBorders>
              <w:tl2br w:val="nil"/>
              <w:tr2bl w:val="nil"/>
            </w:tcBorders>
            <w:noWrap w:val="0"/>
            <w:vAlign w:val="center"/>
          </w:tcPr>
          <w:p>
            <w:pPr>
              <w:pStyle w:val="31"/>
              <w:bidi w:val="0"/>
              <w:spacing w:line="240" w:lineRule="auto"/>
              <w:jc w:val="center"/>
              <w:rPr>
                <w:rFonts w:hint="eastAsia"/>
                <w:sz w:val="24"/>
                <w:szCs w:val="24"/>
                <w:lang w:val="en-US" w:eastAsia="zh-CN"/>
              </w:rPr>
            </w:pPr>
            <w:r>
              <w:rPr>
                <w:rFonts w:hint="default"/>
                <w:sz w:val="24"/>
                <w:szCs w:val="24"/>
              </w:rPr>
              <w:t>等效A声级</w:t>
            </w:r>
          </w:p>
        </w:tc>
        <w:tc>
          <w:tcPr>
            <w:tcW w:w="2010" w:type="dxa"/>
            <w:tcBorders>
              <w:tl2br w:val="nil"/>
              <w:tr2bl w:val="nil"/>
            </w:tcBorders>
            <w:noWrap w:val="0"/>
            <w:vAlign w:val="center"/>
          </w:tcPr>
          <w:p>
            <w:pPr>
              <w:pStyle w:val="31"/>
              <w:bidi w:val="0"/>
              <w:spacing w:line="240" w:lineRule="auto"/>
              <w:jc w:val="center"/>
              <w:rPr>
                <w:rFonts w:hint="eastAsia"/>
                <w:sz w:val="24"/>
                <w:szCs w:val="24"/>
              </w:rPr>
            </w:pPr>
            <w:r>
              <w:rPr>
                <w:rFonts w:hint="eastAsia"/>
                <w:sz w:val="24"/>
                <w:szCs w:val="24"/>
                <w:lang w:val="en-US" w:eastAsia="zh-CN"/>
              </w:rPr>
              <w:t>选用</w:t>
            </w:r>
            <w:r>
              <w:rPr>
                <w:rFonts w:hint="default"/>
                <w:sz w:val="24"/>
                <w:szCs w:val="24"/>
              </w:rPr>
              <w:t>低噪声设备，</w:t>
            </w:r>
            <w:r>
              <w:rPr>
                <w:rFonts w:hint="default"/>
                <w:sz w:val="24"/>
                <w:szCs w:val="24"/>
                <w:lang w:val="en-US" w:eastAsia="zh-CN"/>
              </w:rPr>
              <w:t>基础减震、</w:t>
            </w:r>
            <w:r>
              <w:rPr>
                <w:rFonts w:hint="default"/>
                <w:sz w:val="24"/>
                <w:szCs w:val="24"/>
              </w:rPr>
              <w:t>隔声</w:t>
            </w:r>
            <w:r>
              <w:rPr>
                <w:rFonts w:hint="default"/>
                <w:sz w:val="24"/>
                <w:szCs w:val="24"/>
                <w:lang w:val="en-US" w:eastAsia="zh-CN"/>
              </w:rPr>
              <w:t>等措施</w:t>
            </w:r>
          </w:p>
        </w:tc>
        <w:tc>
          <w:tcPr>
            <w:tcW w:w="2419" w:type="dxa"/>
            <w:tcBorders>
              <w:tl2br w:val="nil"/>
              <w:tr2bl w:val="nil"/>
            </w:tcBorders>
            <w:noWrap w:val="0"/>
            <w:vAlign w:val="center"/>
          </w:tcPr>
          <w:p>
            <w:pPr>
              <w:pStyle w:val="31"/>
              <w:bidi w:val="0"/>
              <w:spacing w:line="240" w:lineRule="auto"/>
              <w:rPr>
                <w:rFonts w:hint="eastAsia"/>
                <w:sz w:val="24"/>
                <w:szCs w:val="24"/>
              </w:rPr>
            </w:pPr>
            <w:r>
              <w:rPr>
                <w:rFonts w:hint="default"/>
                <w:sz w:val="24"/>
                <w:szCs w:val="24"/>
              </w:rPr>
              <w:t>《工业企业厂界环境噪声排放标准》中</w:t>
            </w:r>
            <w:r>
              <w:rPr>
                <w:rFonts w:hint="eastAsia"/>
                <w:sz w:val="24"/>
                <w:szCs w:val="24"/>
                <w:lang w:val="en-US" w:eastAsia="zh-CN"/>
              </w:rPr>
              <w:t>3</w:t>
            </w:r>
            <w:r>
              <w:rPr>
                <w:rFonts w:hint="default"/>
                <w:sz w:val="24"/>
                <w:szCs w:val="24"/>
              </w:rPr>
              <w:t>类标准限值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7" w:type="dxa"/>
            <w:tcBorders>
              <w:tl2br w:val="nil"/>
              <w:tr2bl w:val="nil"/>
            </w:tcBorders>
            <w:noWrap w:val="0"/>
            <w:vAlign w:val="center"/>
          </w:tcPr>
          <w:p>
            <w:pPr>
              <w:pStyle w:val="31"/>
              <w:bidi w:val="0"/>
              <w:spacing w:line="240" w:lineRule="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电磁辐射</w:t>
            </w:r>
          </w:p>
        </w:tc>
        <w:tc>
          <w:tcPr>
            <w:tcW w:w="1988" w:type="dxa"/>
            <w:tcBorders>
              <w:tl2br w:val="nil"/>
              <w:tr2bl w:val="nil"/>
            </w:tcBorders>
            <w:noWrap w:val="0"/>
            <w:vAlign w:val="center"/>
          </w:tcPr>
          <w:p>
            <w:pPr>
              <w:pStyle w:val="31"/>
              <w:bidi w:val="0"/>
              <w:spacing w:line="240" w:lineRule="auto"/>
              <w:rPr>
                <w:rFonts w:hint="eastAsia"/>
                <w:sz w:val="24"/>
                <w:szCs w:val="24"/>
                <w:lang w:val="en-US" w:eastAsia="zh-CN"/>
              </w:rPr>
            </w:pPr>
            <w:r>
              <w:rPr>
                <w:rFonts w:hint="eastAsia"/>
                <w:sz w:val="24"/>
                <w:szCs w:val="24"/>
                <w:lang w:val="en-US" w:eastAsia="zh-CN"/>
              </w:rPr>
              <w:t>/</w:t>
            </w:r>
          </w:p>
        </w:tc>
        <w:tc>
          <w:tcPr>
            <w:tcW w:w="1440" w:type="dxa"/>
            <w:tcBorders>
              <w:tl2br w:val="nil"/>
              <w:tr2bl w:val="nil"/>
            </w:tcBorders>
            <w:noWrap w:val="0"/>
            <w:vAlign w:val="center"/>
          </w:tcPr>
          <w:p>
            <w:pPr>
              <w:pStyle w:val="31"/>
              <w:bidi w:val="0"/>
              <w:spacing w:line="240" w:lineRule="auto"/>
              <w:rPr>
                <w:rFonts w:hint="eastAsia"/>
                <w:sz w:val="24"/>
                <w:szCs w:val="24"/>
              </w:rPr>
            </w:pPr>
            <w:r>
              <w:rPr>
                <w:rFonts w:hint="eastAsia"/>
                <w:sz w:val="24"/>
                <w:szCs w:val="24"/>
                <w:lang w:val="en-US" w:eastAsia="zh-CN"/>
              </w:rPr>
              <w:t>/</w:t>
            </w:r>
          </w:p>
        </w:tc>
        <w:tc>
          <w:tcPr>
            <w:tcW w:w="2010" w:type="dxa"/>
            <w:tcBorders>
              <w:tl2br w:val="nil"/>
              <w:tr2bl w:val="nil"/>
            </w:tcBorders>
            <w:noWrap w:val="0"/>
            <w:vAlign w:val="center"/>
          </w:tcPr>
          <w:p>
            <w:pPr>
              <w:pStyle w:val="31"/>
              <w:bidi w:val="0"/>
              <w:spacing w:line="240" w:lineRule="auto"/>
              <w:rPr>
                <w:rFonts w:hint="eastAsia"/>
                <w:sz w:val="24"/>
                <w:szCs w:val="24"/>
              </w:rPr>
            </w:pPr>
            <w:r>
              <w:rPr>
                <w:rFonts w:hint="eastAsia"/>
                <w:sz w:val="24"/>
                <w:szCs w:val="24"/>
                <w:lang w:val="en-US" w:eastAsia="zh-CN"/>
              </w:rPr>
              <w:t>/</w:t>
            </w:r>
          </w:p>
        </w:tc>
        <w:tc>
          <w:tcPr>
            <w:tcW w:w="2419" w:type="dxa"/>
            <w:tcBorders>
              <w:tl2br w:val="nil"/>
              <w:tr2bl w:val="nil"/>
            </w:tcBorders>
            <w:noWrap w:val="0"/>
            <w:vAlign w:val="center"/>
          </w:tcPr>
          <w:p>
            <w:pPr>
              <w:pStyle w:val="31"/>
              <w:bidi w:val="0"/>
              <w:spacing w:line="240" w:lineRule="auto"/>
              <w:rPr>
                <w:rFonts w:hint="eastAsia"/>
                <w:sz w:val="24"/>
                <w:szCs w:val="24"/>
              </w:rPr>
            </w:pP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7" w:type="dxa"/>
            <w:tcBorders>
              <w:tl2br w:val="nil"/>
              <w:tr2bl w:val="nil"/>
            </w:tcBorders>
            <w:noWrap w:val="0"/>
            <w:vAlign w:val="center"/>
          </w:tcPr>
          <w:p>
            <w:pPr>
              <w:pStyle w:val="31"/>
              <w:bidi w:val="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固体废物</w:t>
            </w:r>
          </w:p>
        </w:tc>
        <w:tc>
          <w:tcPr>
            <w:tcW w:w="7857" w:type="dxa"/>
            <w:gridSpan w:val="4"/>
            <w:tcBorders>
              <w:tl2br w:val="nil"/>
              <w:tr2bl w:val="nil"/>
            </w:tcBorders>
            <w:noWrap w:val="0"/>
            <w:vAlign w:val="center"/>
          </w:tcPr>
          <w:p>
            <w:pPr>
              <w:keepNext w:val="0"/>
              <w:keepLines w:val="0"/>
              <w:widowControl/>
              <w:suppressLineNumbers w:val="0"/>
              <w:spacing w:line="240" w:lineRule="auto"/>
              <w:ind w:left="0" w:leftChars="0" w:firstLine="480" w:firstLineChars="200"/>
              <w:jc w:val="center"/>
              <w:rPr>
                <w:rFonts w:hint="default"/>
                <w:sz w:val="24"/>
                <w:szCs w:val="24"/>
                <w:lang w:val="en-US"/>
              </w:rPr>
            </w:pPr>
            <w:r>
              <w:rPr>
                <w:rFonts w:hint="eastAsia"/>
                <w:color w:val="auto"/>
                <w:sz w:val="24"/>
                <w:szCs w:val="24"/>
              </w:rPr>
              <w:t>生活垃圾分类收集，集中交由环卫部门统一清运卫生填埋</w:t>
            </w:r>
            <w:r>
              <w:rPr>
                <w:rFonts w:hint="eastAsia"/>
                <w:sz w:val="24"/>
                <w:szCs w:val="24"/>
                <w:lang w:val="en-US" w:eastAsia="zh-CN"/>
              </w:rPr>
              <w:t>。</w:t>
            </w:r>
            <w:r>
              <w:rPr>
                <w:rFonts w:hint="eastAsia" w:ascii="宋体" w:hAnsi="宋体" w:eastAsia="宋体" w:cs="宋体"/>
                <w:color w:val="000000"/>
                <w:kern w:val="0"/>
                <w:sz w:val="24"/>
                <w:szCs w:val="24"/>
                <w:lang w:val="en-US" w:eastAsia="zh-CN" w:bidi="ar"/>
              </w:rPr>
              <w:t>除尘灰</w:t>
            </w:r>
            <w:r>
              <w:rPr>
                <w:rFonts w:hint="eastAsia" w:ascii="宋体" w:hAnsi="宋体" w:cs="宋体"/>
                <w:color w:val="000000"/>
                <w:kern w:val="0"/>
                <w:sz w:val="24"/>
                <w:szCs w:val="24"/>
                <w:lang w:val="en-US" w:eastAsia="zh-CN" w:bidi="ar"/>
              </w:rPr>
              <w:t>、沉淀池沉渣均</w:t>
            </w:r>
            <w:r>
              <w:rPr>
                <w:rFonts w:hint="eastAsia" w:ascii="宋体" w:hAnsi="宋体" w:eastAsia="宋体" w:cs="宋体"/>
                <w:color w:val="000000"/>
                <w:kern w:val="0"/>
                <w:sz w:val="24"/>
                <w:szCs w:val="24"/>
                <w:lang w:val="en-US" w:eastAsia="zh-CN" w:bidi="ar"/>
              </w:rPr>
              <w:t>全部回用于生产，</w:t>
            </w:r>
            <w:r>
              <w:rPr>
                <w:rFonts w:hint="eastAsia" w:ascii="宋体" w:hAnsi="宋体" w:cs="宋体"/>
                <w:color w:val="000000"/>
                <w:kern w:val="0"/>
                <w:sz w:val="24"/>
                <w:szCs w:val="24"/>
                <w:lang w:val="en-US" w:eastAsia="zh-CN" w:bidi="ar"/>
              </w:rPr>
              <w:t>综合利用</w:t>
            </w:r>
            <w:r>
              <w:rPr>
                <w:rFonts w:hint="eastAsia" w:ascii="宋体" w:hAnsi="宋体" w:eastAsia="宋体" w:cs="宋体"/>
                <w:color w:val="000000"/>
                <w:kern w:val="0"/>
                <w:sz w:val="24"/>
                <w:szCs w:val="24"/>
                <w:lang w:val="en-US" w:eastAsia="zh-CN" w:bidi="ar"/>
              </w:rPr>
              <w:t>不外排。</w:t>
            </w:r>
            <w:r>
              <w:rPr>
                <w:rFonts w:hint="eastAsia" w:ascii="宋体" w:hAnsi="宋体" w:cs="宋体"/>
                <w:color w:val="000000"/>
                <w:kern w:val="0"/>
                <w:sz w:val="24"/>
                <w:szCs w:val="24"/>
                <w:lang w:val="en-US" w:eastAsia="zh-CN" w:bidi="ar"/>
              </w:rPr>
              <w:t>危险废物交由有资质的单位处置。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7" w:type="dxa"/>
            <w:tcBorders>
              <w:tl2br w:val="nil"/>
              <w:tr2bl w:val="nil"/>
            </w:tcBorders>
            <w:noWrap w:val="0"/>
            <w:vAlign w:val="center"/>
          </w:tcPr>
          <w:p>
            <w:pPr>
              <w:pStyle w:val="31"/>
              <w:bidi w:val="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土壤及地下水污染防治措施</w:t>
            </w:r>
          </w:p>
        </w:tc>
        <w:tc>
          <w:tcPr>
            <w:tcW w:w="7857" w:type="dxa"/>
            <w:gridSpan w:val="4"/>
            <w:tcBorders>
              <w:tl2br w:val="nil"/>
              <w:tr2bl w:val="nil"/>
            </w:tcBorders>
            <w:noWrap w:val="0"/>
            <w:vAlign w:val="center"/>
          </w:tcPr>
          <w:p>
            <w:pPr>
              <w:bidi w:val="0"/>
              <w:rPr>
                <w:rFonts w:hint="eastAsia"/>
                <w:sz w:val="24"/>
                <w:szCs w:val="24"/>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化粪池、</w:t>
            </w:r>
            <w:r>
              <w:rPr>
                <w:rFonts w:hint="eastAsia" w:cs="Times New Roman"/>
                <w:color w:val="000000" w:themeColor="text1"/>
                <w:kern w:val="2"/>
                <w:sz w:val="24"/>
                <w:szCs w:val="24"/>
                <w:lang w:val="en-US" w:eastAsia="zh-CN" w:bidi="ar-SA"/>
                <w14:textFill>
                  <w14:solidFill>
                    <w14:schemeClr w14:val="tx1"/>
                  </w14:solidFill>
                </w14:textFill>
              </w:rPr>
              <w:t>危废暂存间重点防渗，</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沉淀池</w:t>
            </w:r>
            <w:r>
              <w:rPr>
                <w:rFonts w:hint="eastAsia" w:eastAsia="宋体" w:cs="Times New Roman"/>
                <w:color w:val="000000" w:themeColor="text1"/>
                <w:kern w:val="2"/>
                <w:sz w:val="24"/>
                <w:szCs w:val="24"/>
                <w:lang w:val="en-US" w:eastAsia="zh-CN" w:bidi="ar-SA"/>
                <w14:textFill>
                  <w14:solidFill>
                    <w14:schemeClr w14:val="tx1"/>
                  </w14:solidFill>
                </w14:textFill>
              </w:rPr>
              <w:t>一般防渗</w:t>
            </w:r>
            <w:r>
              <w:rPr>
                <w:rFonts w:hint="eastAsia" w:cs="Times New Roman"/>
                <w:color w:val="000000" w:themeColor="text1"/>
                <w:kern w:val="2"/>
                <w:sz w:val="24"/>
                <w:szCs w:val="24"/>
                <w:lang w:val="en-US" w:eastAsia="zh-CN" w:bidi="ar-SA"/>
                <w14:textFill>
                  <w14:solidFill>
                    <w14:schemeClr w14:val="tx1"/>
                  </w14:solidFill>
                </w14:textFill>
              </w:rPr>
              <w:t>，</w:t>
            </w:r>
            <w:r>
              <w:rPr>
                <w:rFonts w:hint="eastAsia" w:eastAsia="宋体" w:cs="Times New Roman"/>
                <w:color w:val="000000" w:themeColor="text1"/>
                <w:kern w:val="2"/>
                <w:sz w:val="24"/>
                <w:szCs w:val="24"/>
                <w:lang w:val="en-US" w:eastAsia="zh-CN" w:bidi="ar-SA"/>
                <w14:textFill>
                  <w14:solidFill>
                    <w14:schemeClr w14:val="tx1"/>
                  </w14:solidFill>
                </w14:textFill>
              </w:rPr>
              <w:t>其他区域简单防渗。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7" w:type="dxa"/>
            <w:tcBorders>
              <w:tl2br w:val="nil"/>
              <w:tr2bl w:val="nil"/>
            </w:tcBorders>
            <w:noWrap w:val="0"/>
            <w:vAlign w:val="center"/>
          </w:tcPr>
          <w:p>
            <w:pPr>
              <w:pStyle w:val="31"/>
              <w:bidi w:val="0"/>
              <w:jc w:val="cente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生态保护措施</w:t>
            </w:r>
          </w:p>
        </w:tc>
        <w:tc>
          <w:tcPr>
            <w:tcW w:w="7857" w:type="dxa"/>
            <w:gridSpan w:val="4"/>
            <w:tcBorders>
              <w:tl2br w:val="nil"/>
              <w:tr2bl w:val="nil"/>
            </w:tcBorders>
            <w:noWrap w:val="0"/>
            <w:vAlign w:val="center"/>
          </w:tcPr>
          <w:p>
            <w:pPr>
              <w:bidi w:val="0"/>
              <w:jc w:val="center"/>
              <w:rPr>
                <w:rFonts w:hint="default"/>
                <w:sz w:val="24"/>
                <w:szCs w:val="24"/>
                <w:lang w:val="en-US" w:eastAsia="zh-CN"/>
              </w:rPr>
            </w:pP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7" w:type="dxa"/>
            <w:tcBorders>
              <w:tl2br w:val="nil"/>
              <w:tr2bl w:val="nil"/>
            </w:tcBorders>
            <w:noWrap w:val="0"/>
            <w:vAlign w:val="center"/>
          </w:tcPr>
          <w:p>
            <w:pPr>
              <w:pStyle w:val="31"/>
              <w:bidi w:val="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环境风险</w:t>
            </w:r>
          </w:p>
          <w:p>
            <w:pPr>
              <w:pStyle w:val="31"/>
              <w:bidi w:val="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防范措施</w:t>
            </w:r>
          </w:p>
        </w:tc>
        <w:tc>
          <w:tcPr>
            <w:tcW w:w="7857"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cs="Times New Roman"/>
                <w:bCs/>
                <w:color w:val="auto"/>
                <w:spacing w:val="0"/>
                <w:sz w:val="24"/>
                <w:szCs w:val="24"/>
                <w:lang w:val="en-US" w:eastAsia="zh-CN"/>
              </w:rPr>
            </w:pPr>
            <w:r>
              <w:rPr>
                <w:rFonts w:hint="default" w:ascii="Times New Roman" w:hAnsi="Times New Roman" w:cs="Times New Roman"/>
                <w:bCs/>
                <w:color w:val="auto"/>
                <w:spacing w:val="0"/>
                <w:sz w:val="24"/>
                <w:szCs w:val="24"/>
                <w:lang w:val="en-US" w:eastAsia="zh-CN"/>
              </w:rPr>
              <w:t>（1）加强职工的安全教育，</w:t>
            </w:r>
            <w:r>
              <w:rPr>
                <w:rFonts w:hint="eastAsia" w:ascii="Times New Roman" w:hAnsi="Times New Roman" w:cs="Times New Roman"/>
                <w:bCs/>
                <w:color w:val="auto"/>
                <w:spacing w:val="0"/>
                <w:sz w:val="24"/>
                <w:szCs w:val="24"/>
                <w:lang w:val="en-US" w:eastAsia="zh-CN"/>
              </w:rPr>
              <w:t>增强</w:t>
            </w:r>
            <w:r>
              <w:rPr>
                <w:rFonts w:hint="default" w:ascii="Times New Roman" w:hAnsi="Times New Roman" w:cs="Times New Roman"/>
                <w:bCs/>
                <w:color w:val="auto"/>
                <w:spacing w:val="0"/>
                <w:sz w:val="24"/>
                <w:szCs w:val="24"/>
                <w:lang w:val="en-US" w:eastAsia="zh-CN"/>
              </w:rPr>
              <w:t>安全防范风险的意识，一旦发生泄漏事故</w:t>
            </w:r>
            <w:r>
              <w:rPr>
                <w:rFonts w:hint="eastAsia" w:ascii="Times New Roman" w:hAnsi="Times New Roman" w:cs="Times New Roman"/>
                <w:bCs/>
                <w:color w:val="auto"/>
                <w:spacing w:val="0"/>
                <w:sz w:val="24"/>
                <w:szCs w:val="24"/>
                <w:lang w:val="en-US" w:eastAsia="zh-CN"/>
              </w:rPr>
              <w:t>，</w:t>
            </w:r>
            <w:r>
              <w:rPr>
                <w:rFonts w:hint="default" w:ascii="Times New Roman" w:hAnsi="Times New Roman" w:cs="Times New Roman"/>
                <w:bCs/>
                <w:color w:val="auto"/>
                <w:spacing w:val="0"/>
                <w:sz w:val="24"/>
                <w:szCs w:val="24"/>
                <w:lang w:val="en-US" w:eastAsia="zh-CN"/>
              </w:rPr>
              <w:t>则应积极组织应急处置，并做好相关善后恢复措施。</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cs="Times New Roman"/>
                <w:bCs/>
                <w:color w:val="auto"/>
                <w:spacing w:val="0"/>
                <w:sz w:val="24"/>
                <w:szCs w:val="24"/>
                <w:lang w:val="en-US" w:eastAsia="zh-CN"/>
              </w:rPr>
            </w:pPr>
            <w:r>
              <w:rPr>
                <w:rFonts w:hint="default" w:ascii="Times New Roman" w:hAnsi="Times New Roman" w:cs="Times New Roman"/>
                <w:bCs/>
                <w:color w:val="auto"/>
                <w:spacing w:val="0"/>
                <w:sz w:val="24"/>
                <w:szCs w:val="24"/>
                <w:lang w:val="en-US" w:eastAsia="zh-CN"/>
              </w:rPr>
              <w:t>（2）针对运营中可能发生的异常现象和存在的安全隐患，设置合理可行的技术措施，制定严格的操作规程。</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cs="Times New Roman"/>
                <w:bCs/>
                <w:color w:val="auto"/>
                <w:spacing w:val="0"/>
                <w:sz w:val="24"/>
                <w:szCs w:val="24"/>
                <w:lang w:val="en-US" w:eastAsia="zh-CN"/>
              </w:rPr>
            </w:pPr>
            <w:r>
              <w:rPr>
                <w:rFonts w:hint="default" w:ascii="Times New Roman" w:hAnsi="Times New Roman" w:cs="Times New Roman"/>
                <w:bCs/>
                <w:color w:val="auto"/>
                <w:spacing w:val="0"/>
                <w:sz w:val="24"/>
                <w:szCs w:val="24"/>
                <w:lang w:val="en-US" w:eastAsia="zh-CN"/>
              </w:rPr>
              <w:t>（3）对易发生泄漏的部位实行定期的巡检制度，及时发现问题，尽快解决。严格执行防火、防爆、防雷击、防毒害等各项要求。</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cs="Times New Roman"/>
                <w:bCs/>
                <w:color w:val="auto"/>
                <w:spacing w:val="0"/>
                <w:sz w:val="24"/>
                <w:szCs w:val="24"/>
                <w:lang w:val="en-US" w:eastAsia="zh-CN"/>
              </w:rPr>
            </w:pPr>
            <w:r>
              <w:rPr>
                <w:rFonts w:hint="default" w:ascii="Times New Roman" w:hAnsi="Times New Roman" w:cs="Times New Roman"/>
                <w:bCs/>
                <w:color w:val="auto"/>
                <w:spacing w:val="0"/>
                <w:sz w:val="24"/>
                <w:szCs w:val="24"/>
                <w:lang w:val="en-US" w:eastAsia="zh-CN"/>
              </w:rPr>
              <w:t>（4）在可能泄漏、柴油等可燃</w:t>
            </w:r>
            <w:r>
              <w:rPr>
                <w:rFonts w:hint="eastAsia" w:ascii="Times New Roman" w:hAnsi="Times New Roman" w:cs="Times New Roman"/>
                <w:bCs/>
                <w:color w:val="auto"/>
                <w:spacing w:val="0"/>
                <w:sz w:val="24"/>
                <w:szCs w:val="24"/>
                <w:lang w:val="en-US" w:eastAsia="zh-CN"/>
              </w:rPr>
              <w:t>物</w:t>
            </w:r>
            <w:r>
              <w:rPr>
                <w:rFonts w:hint="default" w:ascii="Times New Roman" w:hAnsi="Times New Roman" w:cs="Times New Roman"/>
                <w:bCs/>
                <w:color w:val="auto"/>
                <w:spacing w:val="0"/>
                <w:sz w:val="24"/>
                <w:szCs w:val="24"/>
                <w:lang w:val="en-US" w:eastAsia="zh-CN"/>
              </w:rPr>
              <w:t>的危险区域，以及可能发生火灾的区域，设置</w:t>
            </w:r>
            <w:r>
              <w:rPr>
                <w:rFonts w:hint="eastAsia" w:ascii="Times New Roman" w:hAnsi="Times New Roman" w:cs="Times New Roman"/>
                <w:bCs/>
                <w:color w:val="auto"/>
                <w:spacing w:val="0"/>
                <w:sz w:val="24"/>
                <w:szCs w:val="24"/>
                <w:lang w:val="en-US" w:eastAsia="zh-CN"/>
              </w:rPr>
              <w:t>警示</w:t>
            </w:r>
            <w:r>
              <w:rPr>
                <w:rFonts w:hint="default" w:ascii="Times New Roman" w:hAnsi="Times New Roman" w:cs="Times New Roman"/>
                <w:bCs/>
                <w:color w:val="auto"/>
                <w:spacing w:val="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cs="Times New Roman"/>
                <w:bCs/>
                <w:color w:val="auto"/>
                <w:spacing w:val="0"/>
                <w:sz w:val="24"/>
                <w:szCs w:val="24"/>
                <w:lang w:val="en-US" w:eastAsia="zh-CN"/>
              </w:rPr>
            </w:pPr>
            <w:r>
              <w:rPr>
                <w:rFonts w:hint="default" w:ascii="Times New Roman" w:hAnsi="Times New Roman" w:cs="Times New Roman"/>
                <w:bCs/>
                <w:color w:val="auto"/>
                <w:spacing w:val="0"/>
                <w:sz w:val="24"/>
                <w:szCs w:val="24"/>
                <w:lang w:val="en-US" w:eastAsia="zh-CN"/>
              </w:rPr>
              <w:t>（5）建立健全安全、环境管理体系及高效的安全生产</w:t>
            </w:r>
            <w:r>
              <w:rPr>
                <w:rFonts w:hint="eastAsia" w:ascii="Times New Roman" w:hAnsi="Times New Roman" w:cs="Times New Roman"/>
                <w:bCs/>
                <w:color w:val="auto"/>
                <w:spacing w:val="0"/>
                <w:sz w:val="24"/>
                <w:szCs w:val="24"/>
                <w:lang w:val="en-US" w:eastAsia="zh-CN"/>
              </w:rPr>
              <w:t>机制</w:t>
            </w:r>
            <w:r>
              <w:rPr>
                <w:rFonts w:hint="default" w:ascii="Times New Roman" w:hAnsi="Times New Roman" w:cs="Times New Roman"/>
                <w:bCs/>
                <w:color w:val="auto"/>
                <w:spacing w:val="0"/>
                <w:sz w:val="24"/>
                <w:szCs w:val="24"/>
                <w:lang w:val="en-US" w:eastAsia="zh-CN"/>
              </w:rPr>
              <w:t>，一旦发生事故，要做到快速、高效、安全处置。</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cs="Times New Roman"/>
                <w:bCs/>
                <w:color w:val="auto"/>
                <w:spacing w:val="0"/>
                <w:sz w:val="24"/>
                <w:szCs w:val="24"/>
                <w:lang w:val="en-US" w:eastAsia="zh-CN"/>
              </w:rPr>
            </w:pPr>
            <w:r>
              <w:rPr>
                <w:rFonts w:hint="default" w:ascii="Times New Roman" w:hAnsi="Times New Roman" w:cs="Times New Roman"/>
                <w:bCs/>
                <w:color w:val="auto"/>
                <w:spacing w:val="0"/>
                <w:sz w:val="24"/>
                <w:szCs w:val="24"/>
                <w:lang w:val="en-US" w:eastAsia="zh-CN"/>
              </w:rPr>
              <w:t>（6）厂区内的电气设备严格按照防爆区划分配置。</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Times New Roman" w:hAnsi="Times New Roman" w:cs="Times New Roman"/>
                <w:bCs/>
                <w:color w:val="auto"/>
                <w:spacing w:val="0"/>
                <w:sz w:val="24"/>
                <w:szCs w:val="24"/>
                <w:lang w:val="en-US" w:eastAsia="zh-CN"/>
              </w:rPr>
            </w:pPr>
            <w:r>
              <w:rPr>
                <w:rFonts w:hint="default" w:ascii="Times New Roman" w:hAnsi="Times New Roman" w:cs="Times New Roman"/>
                <w:bCs/>
                <w:color w:val="auto"/>
                <w:spacing w:val="0"/>
                <w:sz w:val="24"/>
                <w:szCs w:val="24"/>
                <w:lang w:val="en-US" w:eastAsia="zh-CN"/>
              </w:rPr>
              <w:t>（7）危废暂存间附近严禁明火，全厂配置足量的灭火器</w:t>
            </w:r>
            <w:r>
              <w:rPr>
                <w:rFonts w:hint="eastAsia" w:ascii="Times New Roman" w:hAnsi="Times New Roman" w:cs="Times New Roman"/>
                <w:bCs/>
                <w:color w:val="auto"/>
                <w:spacing w:val="0"/>
                <w:sz w:val="24"/>
                <w:szCs w:val="24"/>
                <w:lang w:val="en-US" w:eastAsia="zh-CN"/>
              </w:rPr>
              <w:t>、</w:t>
            </w:r>
            <w:r>
              <w:rPr>
                <w:rFonts w:hint="default" w:ascii="Times New Roman" w:hAnsi="Times New Roman" w:cs="Times New Roman"/>
                <w:bCs/>
                <w:color w:val="auto"/>
                <w:spacing w:val="0"/>
                <w:sz w:val="24"/>
                <w:szCs w:val="24"/>
                <w:lang w:val="en-US" w:eastAsia="zh-CN"/>
              </w:rPr>
              <w:t>消防栓等相应的应急物资。在沥青储存区设立警告牌（严禁烟火）。</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eastAsia="宋体"/>
                <w:sz w:val="24"/>
                <w:szCs w:val="24"/>
                <w:lang w:eastAsia="zh-CN"/>
              </w:rPr>
            </w:pPr>
            <w:r>
              <w:rPr>
                <w:rFonts w:hint="default" w:ascii="Times New Roman" w:hAnsi="Times New Roman" w:cs="Times New Roman"/>
                <w:bCs/>
                <w:color w:val="auto"/>
                <w:spacing w:val="0"/>
                <w:sz w:val="24"/>
                <w:szCs w:val="24"/>
                <w:lang w:val="en-US" w:eastAsia="zh-CN"/>
              </w:rPr>
              <w:t>（8）主动控制，即从源头控制措施，防止和降低污染物跑、冒、滴、漏，将污染物泄漏的环境风险事故降到最低程度。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jc w:val="center"/>
        </w:trPr>
        <w:tc>
          <w:tcPr>
            <w:tcW w:w="1497" w:type="dxa"/>
            <w:tcBorders>
              <w:tl2br w:val="nil"/>
              <w:tr2bl w:val="nil"/>
            </w:tcBorders>
            <w:noWrap w:val="0"/>
            <w:vAlign w:val="center"/>
          </w:tcPr>
          <w:p>
            <w:pPr>
              <w:pStyle w:val="31"/>
              <w:bidi w:val="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其他环境</w:t>
            </w:r>
          </w:p>
          <w:p>
            <w:pPr>
              <w:pStyle w:val="31"/>
              <w:bidi w:val="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管理要求</w:t>
            </w:r>
          </w:p>
        </w:tc>
        <w:tc>
          <w:tcPr>
            <w:tcW w:w="7857" w:type="dxa"/>
            <w:gridSpan w:val="4"/>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firstLine="0" w:firstLineChars="0"/>
              <w:rPr>
                <w:rFonts w:hint="eastAsia"/>
                <w:b/>
                <w:bCs/>
              </w:rPr>
            </w:pPr>
            <w:r>
              <w:rPr>
                <w:rFonts w:hint="eastAsia"/>
                <w:b/>
                <w:bCs/>
              </w:rPr>
              <w:t>1</w:t>
            </w:r>
            <w:r>
              <w:rPr>
                <w:rFonts w:hint="eastAsia"/>
                <w:b/>
                <w:bCs/>
                <w:lang w:val="en-US" w:eastAsia="zh-CN"/>
              </w:rPr>
              <w:t>.</w:t>
            </w:r>
            <w:r>
              <w:rPr>
                <w:rFonts w:hint="eastAsia"/>
                <w:b/>
                <w:bCs/>
              </w:rPr>
              <w:t>环境体制与机构</w:t>
            </w:r>
          </w:p>
          <w:p>
            <w:pPr>
              <w:keepNext w:val="0"/>
              <w:keepLines w:val="0"/>
              <w:suppressLineNumbers w:val="0"/>
              <w:spacing w:before="0" w:beforeAutospacing="0" w:after="0" w:afterAutospacing="0" w:line="240" w:lineRule="auto"/>
              <w:ind w:left="0" w:right="0" w:firstLine="480"/>
              <w:rPr>
                <w:rFonts w:hint="eastAsia"/>
              </w:rPr>
            </w:pPr>
            <w:r>
              <w:rPr>
                <w:rFonts w:hint="eastAsia"/>
              </w:rPr>
              <w:t>本项目建成后，由建设单位主管环保工作，负责项目的环卫工作。应成立专门环境管理办公室负责环境档案的建立和环境制度的落实。环境监测由当地环境监测站或具备环境监测资质的单位进行监测，监控污染物排放及环保设施的运转状况。</w:t>
            </w:r>
          </w:p>
          <w:p>
            <w:pPr>
              <w:keepNext w:val="0"/>
              <w:keepLines w:val="0"/>
              <w:suppressLineNumbers w:val="0"/>
              <w:spacing w:before="0" w:beforeAutospacing="0" w:after="0" w:afterAutospacing="0" w:line="240" w:lineRule="auto"/>
              <w:ind w:left="0" w:leftChars="0" w:right="0" w:firstLine="0" w:firstLineChars="0"/>
              <w:rPr>
                <w:rFonts w:hint="eastAsia"/>
                <w:b/>
                <w:bCs/>
              </w:rPr>
            </w:pPr>
            <w:r>
              <w:rPr>
                <w:rFonts w:hint="eastAsia"/>
                <w:b/>
                <w:bCs/>
                <w:lang w:val="en-US" w:eastAsia="zh-CN"/>
              </w:rPr>
              <w:t>2.</w:t>
            </w:r>
            <w:r>
              <w:rPr>
                <w:rFonts w:hint="eastAsia"/>
                <w:b/>
                <w:bCs/>
              </w:rPr>
              <w:t>排污许可证</w:t>
            </w:r>
          </w:p>
          <w:p>
            <w:pPr>
              <w:keepNext w:val="0"/>
              <w:keepLines w:val="0"/>
              <w:suppressLineNumbers w:val="0"/>
              <w:spacing w:before="0" w:beforeAutospacing="0" w:after="0" w:afterAutospacing="0" w:line="240" w:lineRule="auto"/>
              <w:ind w:left="0" w:right="0" w:firstLine="480"/>
              <w:rPr>
                <w:rFonts w:hint="default"/>
                <w:lang w:val="en-US" w:eastAsia="zh-CN"/>
              </w:rPr>
            </w:pPr>
            <w:r>
              <w:rPr>
                <w:rFonts w:hint="eastAsia"/>
                <w:lang w:val="en-US" w:eastAsia="zh-CN"/>
              </w:rPr>
              <w:t>非金属矿物制品业30－水泥制品制造3021，属于登记管理。建设单位应当在全国排污许可证管理信息平台填报排污登记表，登记基本信息、污染物排放去向、执行的污染物排放标准以及采取的污染防治措施等信息</w:t>
            </w:r>
            <w:r>
              <w:rPr>
                <w:rFonts w:hint="eastAsia"/>
              </w:rPr>
              <w:t>。</w:t>
            </w:r>
          </w:p>
        </w:tc>
      </w:tr>
    </w:tbl>
    <w:p>
      <w:pPr>
        <w:pStyle w:val="3"/>
        <w:bidi w:val="0"/>
        <w:rPr>
          <w:rFonts w:hint="eastAsia"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lang w:val="en-US" w:eastAsia="zh-CN"/>
          <w14:textFill>
            <w14:solidFill>
              <w14:schemeClr w14:val="tx1"/>
            </w14:solidFill>
          </w14:textFill>
        </w:rPr>
        <w:t>六</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结论</w:t>
      </w:r>
    </w:p>
    <w:tbl>
      <w:tblPr>
        <w:tblStyle w:val="23"/>
        <w:tblW w:w="9354" w:type="dxa"/>
        <w:jc w:val="center"/>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CellMar>
          <w:top w:w="0" w:type="dxa"/>
          <w:left w:w="108" w:type="dxa"/>
          <w:bottom w:w="0" w:type="dxa"/>
          <w:right w:w="108" w:type="dxa"/>
        </w:tblCellMar>
      </w:tblPr>
      <w:tblGrid>
        <w:gridCol w:w="9354"/>
      </w:tblGrid>
      <w:tr>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CellMar>
            <w:top w:w="0" w:type="dxa"/>
            <w:left w:w="108" w:type="dxa"/>
            <w:bottom w:w="0" w:type="dxa"/>
            <w:right w:w="108" w:type="dxa"/>
          </w:tblCellMar>
        </w:tblPrEx>
        <w:trPr>
          <w:trHeight w:val="12321" w:hRule="atLeast"/>
          <w:jc w:val="center"/>
        </w:trPr>
        <w:tc>
          <w:tcPr>
            <w:tcW w:w="9354" w:type="dxa"/>
            <w:tcBorders>
              <w:tl2br w:val="nil"/>
              <w:tr2bl w:val="nil"/>
            </w:tcBorders>
            <w:noWrap w:val="0"/>
            <w:vAlign w:val="center"/>
          </w:tcPr>
          <w:p>
            <w:pPr>
              <w:spacing w:line="360" w:lineRule="auto"/>
              <w:ind w:firstLine="480" w:firstLineChars="200"/>
              <w:rPr>
                <w:rFonts w:hint="default" w:eastAsia="宋体"/>
                <w:color w:val="000000" w:themeColor="text1"/>
                <w:lang w:val="en-US" w:eastAsia="zh-CN"/>
                <w14:textFill>
                  <w14:solidFill>
                    <w14:schemeClr w14:val="tx1"/>
                  </w14:solidFill>
                </w14:textFill>
              </w:rPr>
            </w:pPr>
            <w:r>
              <w:rPr>
                <w:rFonts w:hint="default" w:ascii="Times New Roman" w:hAnsi="Times New Roman" w:eastAsia="宋体" w:cs="Times New Roman"/>
                <w:color w:val="auto"/>
                <w:sz w:val="24"/>
              </w:rPr>
              <w:t>综上所述，本项目的建设，符合国家有关产业政策，污染物经相应治理后能达标排放。建设单位必须在该项目的建设过程中切实落实本评价中提出的各项污染防治措施，使工程对环境的影响减小到最低程度，以达到经济、社会、环境效益三统一的效果。从环保角度看，本项目的选址、建设是可行的。</w:t>
            </w:r>
          </w:p>
        </w:tc>
      </w:tr>
    </w:tbl>
    <w:p>
      <w:pPr>
        <w:bidi w:val="0"/>
        <w:rPr>
          <w:color w:val="000000" w:themeColor="text1"/>
          <w14:textFill>
            <w14:solidFill>
              <w14:schemeClr w14:val="tx1"/>
            </w14:solidFill>
          </w14:textFill>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3"/>
        <w:bidi w:val="0"/>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附表</w:t>
      </w:r>
    </w:p>
    <w:p>
      <w:pPr>
        <w:pStyle w:val="4"/>
        <w:bidi w:val="0"/>
        <w:spacing w:line="24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建设项目污染物排放量汇总表</w:t>
      </w:r>
    </w:p>
    <w:tbl>
      <w:tblPr>
        <w:tblStyle w:val="23"/>
        <w:tblW w:w="141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11"/>
        <w:gridCol w:w="1439"/>
        <w:gridCol w:w="1727"/>
        <w:gridCol w:w="1295"/>
        <w:gridCol w:w="1727"/>
        <w:gridCol w:w="1583"/>
        <w:gridCol w:w="1535"/>
        <w:gridCol w:w="1936"/>
        <w:gridCol w:w="1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9" w:hRule="atLeast"/>
          <w:jc w:val="center"/>
        </w:trPr>
        <w:tc>
          <w:tcPr>
            <w:tcW w:w="1611" w:type="dxa"/>
            <w:tcBorders>
              <w:tl2br w:val="nil"/>
              <w:tr2bl w:val="nil"/>
            </w:tcBorders>
            <w:noWrap w:val="0"/>
            <w:tcMar>
              <w:left w:w="28" w:type="dxa"/>
              <w:right w:w="28" w:type="dxa"/>
            </w:tcMar>
            <w:vAlign w:val="center"/>
            <mc:AlternateContent>
              <mc:Choice Requires="wpsCustomData">
                <wpsCustomData:diagonals>
                  <wpsCustomData:diagonal from="10000" to="30000">
                    <wpsCustomData:border w:val="single" w:color="000000" w:sz="4" w:space="0"/>
                  </wpsCustomData:diagonal>
                </wpsCustomData:diagonals>
              </mc:Choice>
            </mc:AlternateContent>
          </w:tcPr>
          <w:p>
            <w:pPr>
              <w:pStyle w:val="31"/>
              <w:bidi w:val="0"/>
              <w:snapToGrid w:val="0"/>
              <w:jc w:val="left"/>
              <mc:AlternateContent>
                <mc:Choice Requires="wpsCustomData">
                  <wpsCustomData:diagonalParaType/>
                </mc:Choice>
              </mc:AlternateContent>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分类</w:t>
            </w:r>
          </w:p>
          <w:p>
            <w:pPr>
              <w:pStyle w:val="31"/>
              <w:bidi w:val="0"/>
              <w:jc w:val="center"/>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项目</w:t>
            </w:r>
          </w:p>
        </w:tc>
        <w:tc>
          <w:tcPr>
            <w:tcW w:w="1439" w:type="dxa"/>
            <w:tcBorders>
              <w:tl2br w:val="nil"/>
              <w:tr2bl w:val="nil"/>
            </w:tcBorders>
            <w:noWrap w:val="0"/>
            <w:tcMar>
              <w:left w:w="28" w:type="dxa"/>
              <w:right w:w="28" w:type="dxa"/>
            </w:tcMar>
            <w:vAlign w:val="center"/>
          </w:tcPr>
          <w:p>
            <w:pPr>
              <w:pStyle w:val="31"/>
              <w:bidi w:val="0"/>
              <w:rPr>
                <w:rFonts w:hint="eastAsia"/>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污染物名称</w:t>
            </w:r>
          </w:p>
        </w:tc>
        <w:tc>
          <w:tcPr>
            <w:tcW w:w="1727" w:type="dxa"/>
            <w:tcBorders>
              <w:tl2br w:val="nil"/>
              <w:tr2bl w:val="nil"/>
            </w:tcBorders>
            <w:noWrap w:val="0"/>
            <w:tcMar>
              <w:left w:w="28" w:type="dxa"/>
              <w:right w:w="28" w:type="dxa"/>
            </w:tcMar>
            <w:vAlign w:val="center"/>
          </w:tcPr>
          <w:p>
            <w:pPr>
              <w:pStyle w:val="31"/>
              <w:bidi w:val="0"/>
              <w:rPr>
                <w:rFonts w:hint="eastAsia"/>
                <w:b/>
                <w:bCs/>
                <w:color w:val="000000" w:themeColor="text1"/>
                <w14:textFill>
                  <w14:solidFill>
                    <w14:schemeClr w14:val="tx1"/>
                  </w14:solidFill>
                </w14:textFill>
              </w:rPr>
            </w:pPr>
            <w:r>
              <w:rPr>
                <w:b/>
                <w:bCs/>
                <w:color w:val="000000" w:themeColor="text1"/>
                <w14:textFill>
                  <w14:solidFill>
                    <w14:schemeClr w14:val="tx1"/>
                  </w14:solidFill>
                </w14:textFill>
              </w:rPr>
              <w:t>现有工程</w:t>
            </w:r>
          </w:p>
          <w:p>
            <w:pPr>
              <w:pStyle w:val="31"/>
              <w:bidi w:val="0"/>
              <w:rPr>
                <w:b/>
                <w:bCs/>
                <w:color w:val="000000" w:themeColor="text1"/>
                <w14:textFill>
                  <w14:solidFill>
                    <w14:schemeClr w14:val="tx1"/>
                  </w14:solidFill>
                </w14:textFill>
              </w:rPr>
            </w:pPr>
            <w:r>
              <w:rPr>
                <w:b/>
                <w:bCs/>
                <w:color w:val="000000" w:themeColor="text1"/>
                <w14:textFill>
                  <w14:solidFill>
                    <w14:schemeClr w14:val="tx1"/>
                  </w14:solidFill>
                </w14:textFill>
              </w:rPr>
              <w:t>排放量（固</w:t>
            </w:r>
            <w:r>
              <w:rPr>
                <w:rFonts w:hint="eastAsia"/>
                <w:b/>
                <w:bCs/>
                <w:color w:val="000000" w:themeColor="text1"/>
                <w14:textFill>
                  <w14:solidFill>
                    <w14:schemeClr w14:val="tx1"/>
                  </w14:solidFill>
                </w14:textFill>
              </w:rPr>
              <w:t>体</w:t>
            </w:r>
            <w:r>
              <w:rPr>
                <w:b/>
                <w:bCs/>
                <w:color w:val="000000" w:themeColor="text1"/>
                <w14:textFill>
                  <w14:solidFill>
                    <w14:schemeClr w14:val="tx1"/>
                  </w14:solidFill>
                </w14:textFill>
              </w:rPr>
              <w:t>废</w:t>
            </w:r>
            <w:r>
              <w:rPr>
                <w:rFonts w:hint="eastAsia"/>
                <w:b/>
                <w:bCs/>
                <w:color w:val="000000" w:themeColor="text1"/>
                <w14:textFill>
                  <w14:solidFill>
                    <w14:schemeClr w14:val="tx1"/>
                  </w14:solidFill>
                </w14:textFill>
              </w:rPr>
              <w:t>物</w:t>
            </w:r>
            <w:r>
              <w:rPr>
                <w:b/>
                <w:bCs/>
                <w:color w:val="000000" w:themeColor="text1"/>
                <w14:textFill>
                  <w14:solidFill>
                    <w14:schemeClr w14:val="tx1"/>
                  </w14:solidFill>
                </w14:textFill>
              </w:rPr>
              <w:t>产生量）</w:t>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 1 \* GB3 \* MERGEFORMAT </w:instrText>
            </w:r>
            <w:r>
              <w:rPr>
                <w:b/>
                <w:bCs/>
                <w:color w:val="000000" w:themeColor="text1"/>
                <w14:textFill>
                  <w14:solidFill>
                    <w14:schemeClr w14:val="tx1"/>
                  </w14:solidFill>
                </w14:textFill>
              </w:rPr>
              <w:fldChar w:fldCharType="separate"/>
            </w:r>
            <w:r>
              <w:rPr>
                <w:rFonts w:hint="eastAsia"/>
                <w:b/>
                <w:bCs/>
                <w:color w:val="000000" w:themeColor="text1"/>
                <w14:textFill>
                  <w14:solidFill>
                    <w14:schemeClr w14:val="tx1"/>
                  </w14:solidFill>
                </w14:textFill>
              </w:rPr>
              <w:t>①</w:t>
            </w:r>
            <w:r>
              <w:rPr>
                <w:b/>
                <w:bCs/>
                <w:color w:val="000000" w:themeColor="text1"/>
                <w14:textFill>
                  <w14:solidFill>
                    <w14:schemeClr w14:val="tx1"/>
                  </w14:solidFill>
                </w14:textFill>
              </w:rPr>
              <w:fldChar w:fldCharType="end"/>
            </w:r>
          </w:p>
        </w:tc>
        <w:tc>
          <w:tcPr>
            <w:tcW w:w="1295" w:type="dxa"/>
            <w:tcBorders>
              <w:tl2br w:val="nil"/>
              <w:tr2bl w:val="nil"/>
            </w:tcBorders>
            <w:noWrap w:val="0"/>
            <w:tcMar>
              <w:left w:w="28" w:type="dxa"/>
              <w:right w:w="28" w:type="dxa"/>
            </w:tcMar>
            <w:vAlign w:val="center"/>
          </w:tcPr>
          <w:p>
            <w:pPr>
              <w:pStyle w:val="31"/>
              <w:bidi w:val="0"/>
              <w:rPr>
                <w:b/>
                <w:bCs/>
                <w:color w:val="000000" w:themeColor="text1"/>
                <w14:textFill>
                  <w14:solidFill>
                    <w14:schemeClr w14:val="tx1"/>
                  </w14:solidFill>
                </w14:textFill>
              </w:rPr>
            </w:pPr>
            <w:r>
              <w:rPr>
                <w:b/>
                <w:bCs/>
                <w:color w:val="000000" w:themeColor="text1"/>
                <w14:textFill>
                  <w14:solidFill>
                    <w14:schemeClr w14:val="tx1"/>
                  </w14:solidFill>
                </w14:textFill>
              </w:rPr>
              <w:t>现有工程</w:t>
            </w:r>
          </w:p>
          <w:p>
            <w:pPr>
              <w:pStyle w:val="31"/>
              <w:bidi w:val="0"/>
              <w:rPr>
                <w:b/>
                <w:bCs/>
                <w:color w:val="000000" w:themeColor="text1"/>
                <w14:textFill>
                  <w14:solidFill>
                    <w14:schemeClr w14:val="tx1"/>
                  </w14:solidFill>
                </w14:textFill>
              </w:rPr>
            </w:pPr>
            <w:r>
              <w:rPr>
                <w:b/>
                <w:bCs/>
                <w:color w:val="000000" w:themeColor="text1"/>
                <w14:textFill>
                  <w14:solidFill>
                    <w14:schemeClr w14:val="tx1"/>
                  </w14:solidFill>
                </w14:textFill>
              </w:rPr>
              <w:t>许可排放量</w:t>
            </w:r>
          </w:p>
          <w:p>
            <w:pPr>
              <w:pStyle w:val="31"/>
              <w:bidi w:val="0"/>
              <w:rPr>
                <w:b/>
                <w:bCs/>
                <w:color w:val="000000" w:themeColor="text1"/>
                <w14:textFill>
                  <w14:solidFill>
                    <w14:schemeClr w14:val="tx1"/>
                  </w14:solidFill>
                </w14:textFill>
              </w:rPr>
            </w:pP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 2 \* GB3 \* MERGEFORMAT </w:instrText>
            </w:r>
            <w:r>
              <w:rPr>
                <w:b/>
                <w:bCs/>
                <w:color w:val="000000" w:themeColor="text1"/>
                <w14:textFill>
                  <w14:solidFill>
                    <w14:schemeClr w14:val="tx1"/>
                  </w14:solidFill>
                </w14:textFill>
              </w:rPr>
              <w:fldChar w:fldCharType="separate"/>
            </w:r>
            <w:r>
              <w:rPr>
                <w:rFonts w:hint="eastAsia"/>
                <w:b/>
                <w:bCs/>
                <w:color w:val="000000" w:themeColor="text1"/>
                <w14:textFill>
                  <w14:solidFill>
                    <w14:schemeClr w14:val="tx1"/>
                  </w14:solidFill>
                </w14:textFill>
              </w:rPr>
              <w:t>②</w:t>
            </w:r>
            <w:r>
              <w:rPr>
                <w:b/>
                <w:bCs/>
                <w:color w:val="000000" w:themeColor="text1"/>
                <w14:textFill>
                  <w14:solidFill>
                    <w14:schemeClr w14:val="tx1"/>
                  </w14:solidFill>
                </w14:textFill>
              </w:rPr>
              <w:fldChar w:fldCharType="end"/>
            </w:r>
          </w:p>
        </w:tc>
        <w:tc>
          <w:tcPr>
            <w:tcW w:w="1727" w:type="dxa"/>
            <w:tcBorders>
              <w:tl2br w:val="nil"/>
              <w:tr2bl w:val="nil"/>
            </w:tcBorders>
            <w:noWrap w:val="0"/>
            <w:tcMar>
              <w:left w:w="28" w:type="dxa"/>
              <w:right w:w="28" w:type="dxa"/>
            </w:tcMar>
            <w:vAlign w:val="center"/>
          </w:tcPr>
          <w:p>
            <w:pPr>
              <w:pStyle w:val="31"/>
              <w:bidi w:val="0"/>
              <w:rPr>
                <w:rFonts w:hint="eastAsia"/>
                <w:b/>
                <w:bCs/>
                <w:color w:val="000000" w:themeColor="text1"/>
                <w14:textFill>
                  <w14:solidFill>
                    <w14:schemeClr w14:val="tx1"/>
                  </w14:solidFill>
                </w14:textFill>
              </w:rPr>
            </w:pPr>
            <w:r>
              <w:rPr>
                <w:b/>
                <w:bCs/>
                <w:color w:val="000000" w:themeColor="text1"/>
                <w14:textFill>
                  <w14:solidFill>
                    <w14:schemeClr w14:val="tx1"/>
                  </w14:solidFill>
                </w14:textFill>
              </w:rPr>
              <w:t>在建工程</w:t>
            </w:r>
          </w:p>
          <w:p>
            <w:pPr>
              <w:pStyle w:val="31"/>
              <w:bidi w:val="0"/>
              <w:rPr>
                <w:b/>
                <w:bCs/>
                <w:color w:val="000000" w:themeColor="text1"/>
                <w14:textFill>
                  <w14:solidFill>
                    <w14:schemeClr w14:val="tx1"/>
                  </w14:solidFill>
                </w14:textFill>
              </w:rPr>
            </w:pPr>
            <w:r>
              <w:rPr>
                <w:b/>
                <w:bCs/>
                <w:color w:val="000000" w:themeColor="text1"/>
                <w14:textFill>
                  <w14:solidFill>
                    <w14:schemeClr w14:val="tx1"/>
                  </w14:solidFill>
                </w14:textFill>
              </w:rPr>
              <w:t>排放量（固</w:t>
            </w:r>
            <w:r>
              <w:rPr>
                <w:rFonts w:hint="eastAsia"/>
                <w:b/>
                <w:bCs/>
                <w:color w:val="000000" w:themeColor="text1"/>
                <w14:textFill>
                  <w14:solidFill>
                    <w14:schemeClr w14:val="tx1"/>
                  </w14:solidFill>
                </w14:textFill>
              </w:rPr>
              <w:t>体</w:t>
            </w:r>
            <w:r>
              <w:rPr>
                <w:b/>
                <w:bCs/>
                <w:color w:val="000000" w:themeColor="text1"/>
                <w14:textFill>
                  <w14:solidFill>
                    <w14:schemeClr w14:val="tx1"/>
                  </w14:solidFill>
                </w14:textFill>
              </w:rPr>
              <w:t>废</w:t>
            </w:r>
            <w:r>
              <w:rPr>
                <w:rFonts w:hint="eastAsia"/>
                <w:b/>
                <w:bCs/>
                <w:color w:val="000000" w:themeColor="text1"/>
                <w14:textFill>
                  <w14:solidFill>
                    <w14:schemeClr w14:val="tx1"/>
                  </w14:solidFill>
                </w14:textFill>
              </w:rPr>
              <w:t>物</w:t>
            </w:r>
            <w:r>
              <w:rPr>
                <w:b/>
                <w:bCs/>
                <w:color w:val="000000" w:themeColor="text1"/>
                <w14:textFill>
                  <w14:solidFill>
                    <w14:schemeClr w14:val="tx1"/>
                  </w14:solidFill>
                </w14:textFill>
              </w:rPr>
              <w:t>产生量）</w:t>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 3 \* GB3 \* MERGEFORMAT </w:instrText>
            </w:r>
            <w:r>
              <w:rPr>
                <w:b/>
                <w:bCs/>
                <w:color w:val="000000" w:themeColor="text1"/>
                <w14:textFill>
                  <w14:solidFill>
                    <w14:schemeClr w14:val="tx1"/>
                  </w14:solidFill>
                </w14:textFill>
              </w:rPr>
              <w:fldChar w:fldCharType="separate"/>
            </w:r>
            <w:r>
              <w:rPr>
                <w:rFonts w:hint="eastAsia"/>
                <w:b/>
                <w:bCs/>
                <w:color w:val="000000" w:themeColor="text1"/>
                <w14:textFill>
                  <w14:solidFill>
                    <w14:schemeClr w14:val="tx1"/>
                  </w14:solidFill>
                </w14:textFill>
              </w:rPr>
              <w:t>③</w:t>
            </w:r>
            <w:r>
              <w:rPr>
                <w:b/>
                <w:bCs/>
                <w:color w:val="000000" w:themeColor="text1"/>
                <w14:textFill>
                  <w14:solidFill>
                    <w14:schemeClr w14:val="tx1"/>
                  </w14:solidFill>
                </w14:textFill>
              </w:rPr>
              <w:fldChar w:fldCharType="end"/>
            </w:r>
          </w:p>
        </w:tc>
        <w:tc>
          <w:tcPr>
            <w:tcW w:w="1583" w:type="dxa"/>
            <w:tcBorders>
              <w:tl2br w:val="nil"/>
              <w:tr2bl w:val="nil"/>
            </w:tcBorders>
            <w:noWrap w:val="0"/>
            <w:tcMar>
              <w:left w:w="28" w:type="dxa"/>
              <w:right w:w="28" w:type="dxa"/>
            </w:tcMar>
            <w:vAlign w:val="center"/>
          </w:tcPr>
          <w:p>
            <w:pPr>
              <w:pStyle w:val="31"/>
              <w:bidi w:val="0"/>
              <w:rPr>
                <w:rFonts w:hint="eastAsia"/>
                <w:b/>
                <w:bCs/>
                <w:color w:val="000000" w:themeColor="text1"/>
                <w14:textFill>
                  <w14:solidFill>
                    <w14:schemeClr w14:val="tx1"/>
                  </w14:solidFill>
                </w14:textFill>
              </w:rPr>
            </w:pPr>
            <w:r>
              <w:rPr>
                <w:b/>
                <w:bCs/>
                <w:color w:val="000000" w:themeColor="text1"/>
                <w14:textFill>
                  <w14:solidFill>
                    <w14:schemeClr w14:val="tx1"/>
                  </w14:solidFill>
                </w14:textFill>
              </w:rPr>
              <w:t>本项目</w:t>
            </w:r>
          </w:p>
          <w:p>
            <w:pPr>
              <w:pStyle w:val="31"/>
              <w:bidi w:val="0"/>
              <w:rPr>
                <w:b/>
                <w:bCs/>
                <w:color w:val="000000" w:themeColor="text1"/>
                <w14:textFill>
                  <w14:solidFill>
                    <w14:schemeClr w14:val="tx1"/>
                  </w14:solidFill>
                </w14:textFill>
              </w:rPr>
            </w:pPr>
            <w:r>
              <w:rPr>
                <w:b/>
                <w:bCs/>
                <w:color w:val="000000" w:themeColor="text1"/>
                <w14:textFill>
                  <w14:solidFill>
                    <w14:schemeClr w14:val="tx1"/>
                  </w14:solidFill>
                </w14:textFill>
              </w:rPr>
              <w:t>排放量（固</w:t>
            </w:r>
            <w:r>
              <w:rPr>
                <w:rFonts w:hint="eastAsia"/>
                <w:b/>
                <w:bCs/>
                <w:color w:val="000000" w:themeColor="text1"/>
                <w14:textFill>
                  <w14:solidFill>
                    <w14:schemeClr w14:val="tx1"/>
                  </w14:solidFill>
                </w14:textFill>
              </w:rPr>
              <w:t>体</w:t>
            </w:r>
            <w:r>
              <w:rPr>
                <w:b/>
                <w:bCs/>
                <w:color w:val="000000" w:themeColor="text1"/>
                <w14:textFill>
                  <w14:solidFill>
                    <w14:schemeClr w14:val="tx1"/>
                  </w14:solidFill>
                </w14:textFill>
              </w:rPr>
              <w:t>废</w:t>
            </w:r>
            <w:r>
              <w:rPr>
                <w:rFonts w:hint="eastAsia"/>
                <w:b/>
                <w:bCs/>
                <w:color w:val="000000" w:themeColor="text1"/>
                <w14:textFill>
                  <w14:solidFill>
                    <w14:schemeClr w14:val="tx1"/>
                  </w14:solidFill>
                </w14:textFill>
              </w:rPr>
              <w:t>物</w:t>
            </w:r>
            <w:r>
              <w:rPr>
                <w:b/>
                <w:bCs/>
                <w:color w:val="000000" w:themeColor="text1"/>
                <w14:textFill>
                  <w14:solidFill>
                    <w14:schemeClr w14:val="tx1"/>
                  </w14:solidFill>
                </w14:textFill>
              </w:rPr>
              <w:t>产生量）</w:t>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 4 \* GB3 \* MERGEFORMAT </w:instrText>
            </w:r>
            <w:r>
              <w:rPr>
                <w:b/>
                <w:bCs/>
                <w:color w:val="000000" w:themeColor="text1"/>
                <w14:textFill>
                  <w14:solidFill>
                    <w14:schemeClr w14:val="tx1"/>
                  </w14:solidFill>
                </w14:textFill>
              </w:rPr>
              <w:fldChar w:fldCharType="separate"/>
            </w:r>
            <w:r>
              <w:rPr>
                <w:rFonts w:hint="eastAsia"/>
                <w:b/>
                <w:bCs/>
                <w:color w:val="000000" w:themeColor="text1"/>
                <w14:textFill>
                  <w14:solidFill>
                    <w14:schemeClr w14:val="tx1"/>
                  </w14:solidFill>
                </w14:textFill>
              </w:rPr>
              <w:t>④</w:t>
            </w:r>
            <w:r>
              <w:rPr>
                <w:b/>
                <w:bCs/>
                <w:color w:val="000000" w:themeColor="text1"/>
                <w14:textFill>
                  <w14:solidFill>
                    <w14:schemeClr w14:val="tx1"/>
                  </w14:solidFill>
                </w14:textFill>
              </w:rPr>
              <w:fldChar w:fldCharType="end"/>
            </w:r>
          </w:p>
        </w:tc>
        <w:tc>
          <w:tcPr>
            <w:tcW w:w="1535" w:type="dxa"/>
            <w:tcBorders>
              <w:tl2br w:val="nil"/>
              <w:tr2bl w:val="nil"/>
            </w:tcBorders>
            <w:noWrap w:val="0"/>
            <w:tcMar>
              <w:left w:w="28" w:type="dxa"/>
              <w:right w:w="28" w:type="dxa"/>
            </w:tcMar>
            <w:vAlign w:val="center"/>
          </w:tcPr>
          <w:p>
            <w:pPr>
              <w:pStyle w:val="31"/>
              <w:bidi w:val="0"/>
              <w:rPr>
                <w:b/>
                <w:bCs/>
                <w:color w:val="000000" w:themeColor="text1"/>
                <w14:textFill>
                  <w14:solidFill>
                    <w14:schemeClr w14:val="tx1"/>
                  </w14:solidFill>
                </w14:textFill>
              </w:rPr>
            </w:pPr>
            <w:r>
              <w:rPr>
                <w:b/>
                <w:bCs/>
                <w:color w:val="000000" w:themeColor="text1"/>
                <w14:textFill>
                  <w14:solidFill>
                    <w14:schemeClr w14:val="tx1"/>
                  </w14:solidFill>
                </w14:textFill>
              </w:rPr>
              <w:t>以新带老削减量（新建项目不填）</w:t>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 5 \* GB3 \* MERGEFORMAT </w:instrText>
            </w:r>
            <w:r>
              <w:rPr>
                <w:b/>
                <w:bCs/>
                <w:color w:val="000000" w:themeColor="text1"/>
                <w14:textFill>
                  <w14:solidFill>
                    <w14:schemeClr w14:val="tx1"/>
                  </w14:solidFill>
                </w14:textFill>
              </w:rPr>
              <w:fldChar w:fldCharType="separate"/>
            </w:r>
            <w:r>
              <w:rPr>
                <w:rFonts w:hint="eastAsia"/>
                <w:b/>
                <w:bCs/>
                <w:color w:val="000000" w:themeColor="text1"/>
                <w14:textFill>
                  <w14:solidFill>
                    <w14:schemeClr w14:val="tx1"/>
                  </w14:solidFill>
                </w14:textFill>
              </w:rPr>
              <w:t>⑤</w:t>
            </w:r>
            <w:r>
              <w:rPr>
                <w:b/>
                <w:bCs/>
                <w:color w:val="000000" w:themeColor="text1"/>
                <w14:textFill>
                  <w14:solidFill>
                    <w14:schemeClr w14:val="tx1"/>
                  </w14:solidFill>
                </w14:textFill>
              </w:rPr>
              <w:fldChar w:fldCharType="end"/>
            </w:r>
          </w:p>
        </w:tc>
        <w:tc>
          <w:tcPr>
            <w:tcW w:w="1936" w:type="dxa"/>
            <w:tcBorders>
              <w:tl2br w:val="nil"/>
              <w:tr2bl w:val="nil"/>
            </w:tcBorders>
            <w:noWrap w:val="0"/>
            <w:tcMar>
              <w:left w:w="28" w:type="dxa"/>
              <w:right w:w="28" w:type="dxa"/>
            </w:tcMar>
            <w:vAlign w:val="center"/>
          </w:tcPr>
          <w:p>
            <w:pPr>
              <w:pStyle w:val="31"/>
              <w:bidi w:val="0"/>
              <w:rPr>
                <w:rFonts w:hint="eastAsia"/>
                <w:b/>
                <w:bCs/>
                <w:color w:val="000000" w:themeColor="text1"/>
                <w14:textFill>
                  <w14:solidFill>
                    <w14:schemeClr w14:val="tx1"/>
                  </w14:solidFill>
                </w14:textFill>
              </w:rPr>
            </w:pPr>
            <w:r>
              <w:rPr>
                <w:b/>
                <w:bCs/>
                <w:color w:val="000000" w:themeColor="text1"/>
                <w14:textFill>
                  <w14:solidFill>
                    <w14:schemeClr w14:val="tx1"/>
                  </w14:solidFill>
                </w14:textFill>
              </w:rPr>
              <w:t>本项目建成后</w:t>
            </w:r>
          </w:p>
          <w:p>
            <w:pPr>
              <w:pStyle w:val="31"/>
              <w:bidi w:val="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全厂</w:t>
            </w:r>
            <w:r>
              <w:rPr>
                <w:b/>
                <w:bCs/>
                <w:color w:val="000000" w:themeColor="text1"/>
                <w14:textFill>
                  <w14:solidFill>
                    <w14:schemeClr w14:val="tx1"/>
                  </w14:solidFill>
                </w14:textFill>
              </w:rPr>
              <w:t>排放量（固</w:t>
            </w:r>
            <w:r>
              <w:rPr>
                <w:rFonts w:hint="eastAsia"/>
                <w:b/>
                <w:bCs/>
                <w:color w:val="000000" w:themeColor="text1"/>
                <w14:textFill>
                  <w14:solidFill>
                    <w14:schemeClr w14:val="tx1"/>
                  </w14:solidFill>
                </w14:textFill>
              </w:rPr>
              <w:t>体</w:t>
            </w:r>
            <w:r>
              <w:rPr>
                <w:b/>
                <w:bCs/>
                <w:color w:val="000000" w:themeColor="text1"/>
                <w14:textFill>
                  <w14:solidFill>
                    <w14:schemeClr w14:val="tx1"/>
                  </w14:solidFill>
                </w14:textFill>
              </w:rPr>
              <w:t>废</w:t>
            </w:r>
            <w:r>
              <w:rPr>
                <w:rFonts w:hint="eastAsia"/>
                <w:b/>
                <w:bCs/>
                <w:color w:val="000000" w:themeColor="text1"/>
                <w14:textFill>
                  <w14:solidFill>
                    <w14:schemeClr w14:val="tx1"/>
                  </w14:solidFill>
                </w14:textFill>
              </w:rPr>
              <w:t>物</w:t>
            </w:r>
            <w:r>
              <w:rPr>
                <w:b/>
                <w:bCs/>
                <w:color w:val="000000" w:themeColor="text1"/>
                <w14:textFill>
                  <w14:solidFill>
                    <w14:schemeClr w14:val="tx1"/>
                  </w14:solidFill>
                </w14:textFill>
              </w:rPr>
              <w:t>产生量）</w:t>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 6 \* GB3 \* MERGEFORMAT </w:instrText>
            </w:r>
            <w:r>
              <w:rPr>
                <w:b/>
                <w:bCs/>
                <w:color w:val="000000" w:themeColor="text1"/>
                <w14:textFill>
                  <w14:solidFill>
                    <w14:schemeClr w14:val="tx1"/>
                  </w14:solidFill>
                </w14:textFill>
              </w:rPr>
              <w:fldChar w:fldCharType="separate"/>
            </w:r>
            <w:r>
              <w:rPr>
                <w:rFonts w:hint="eastAsia"/>
                <w:b/>
                <w:bCs/>
                <w:color w:val="000000" w:themeColor="text1"/>
                <w14:textFill>
                  <w14:solidFill>
                    <w14:schemeClr w14:val="tx1"/>
                  </w14:solidFill>
                </w14:textFill>
              </w:rPr>
              <w:t>⑥</w:t>
            </w:r>
            <w:r>
              <w:rPr>
                <w:b/>
                <w:bCs/>
                <w:color w:val="000000" w:themeColor="text1"/>
                <w14:textFill>
                  <w14:solidFill>
                    <w14:schemeClr w14:val="tx1"/>
                  </w14:solidFill>
                </w14:textFill>
              </w:rPr>
              <w:fldChar w:fldCharType="end"/>
            </w:r>
          </w:p>
        </w:tc>
        <w:tc>
          <w:tcPr>
            <w:tcW w:w="1278" w:type="dxa"/>
            <w:tcBorders>
              <w:tl2br w:val="nil"/>
              <w:tr2bl w:val="nil"/>
            </w:tcBorders>
            <w:noWrap w:val="0"/>
            <w:tcMar>
              <w:left w:w="28" w:type="dxa"/>
              <w:right w:w="28" w:type="dxa"/>
            </w:tcMar>
            <w:vAlign w:val="center"/>
          </w:tcPr>
          <w:p>
            <w:pPr>
              <w:pStyle w:val="31"/>
              <w:bidi w:val="0"/>
              <w:rPr>
                <w:b/>
                <w:bCs/>
                <w:color w:val="000000" w:themeColor="text1"/>
                <w14:textFill>
                  <w14:solidFill>
                    <w14:schemeClr w14:val="tx1"/>
                  </w14:solidFill>
                </w14:textFill>
              </w:rPr>
            </w:pPr>
            <w:r>
              <w:rPr>
                <w:b/>
                <w:bCs/>
                <w:color w:val="000000" w:themeColor="text1"/>
                <w14:textFill>
                  <w14:solidFill>
                    <w14:schemeClr w14:val="tx1"/>
                  </w14:solidFill>
                </w14:textFill>
              </w:rPr>
              <w:t>变化量</w:t>
            </w:r>
          </w:p>
          <w:p>
            <w:pPr>
              <w:pStyle w:val="31"/>
              <w:bidi w:val="0"/>
              <w:rPr>
                <w:b/>
                <w:bCs/>
                <w:color w:val="000000" w:themeColor="text1"/>
                <w14:textFill>
                  <w14:solidFill>
                    <w14:schemeClr w14:val="tx1"/>
                  </w14:solidFill>
                </w14:textFill>
              </w:rPr>
            </w:pP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 7 \* GB3 \* MERGEFORMAT </w:instrText>
            </w:r>
            <w:r>
              <w:rPr>
                <w:b/>
                <w:bCs/>
                <w:color w:val="000000" w:themeColor="text1"/>
                <w14:textFill>
                  <w14:solidFill>
                    <w14:schemeClr w14:val="tx1"/>
                  </w14:solidFill>
                </w14:textFill>
              </w:rPr>
              <w:fldChar w:fldCharType="separate"/>
            </w:r>
            <w:r>
              <w:rPr>
                <w:rFonts w:hint="eastAsia"/>
                <w:b/>
                <w:bCs/>
                <w:color w:val="000000" w:themeColor="text1"/>
                <w14:textFill>
                  <w14:solidFill>
                    <w14:schemeClr w14:val="tx1"/>
                  </w14:solidFill>
                </w14:textFill>
              </w:rPr>
              <w:t>⑦</w:t>
            </w:r>
            <w:r>
              <w:rPr>
                <w:b/>
                <w:bCs/>
                <w:color w:val="000000" w:themeColor="text1"/>
                <w14:textFill>
                  <w14:solidFill>
                    <w14:schemeClr w14:val="tx1"/>
                  </w14:solidFill>
                </w14:textFill>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611" w:type="dxa"/>
            <w:vMerge w:val="restart"/>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eastAsia="宋体"/>
                <w:lang w:val="en-US" w:eastAsia="zh-CN"/>
              </w:rPr>
            </w:pPr>
            <w:r>
              <w:rPr>
                <w:rFonts w:hint="eastAsia"/>
                <w:lang w:val="en-US" w:eastAsia="zh-CN"/>
              </w:rPr>
              <w:t>废气</w:t>
            </w:r>
          </w:p>
        </w:tc>
        <w:tc>
          <w:tcPr>
            <w:tcW w:w="1439"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eastAsia="宋体"/>
                <w:lang w:val="en-US" w:eastAsia="zh-CN"/>
              </w:rPr>
            </w:pPr>
            <w:r>
              <w:rPr>
                <w:rFonts w:hint="eastAsia"/>
                <w:lang w:val="en-US" w:eastAsia="zh-CN"/>
              </w:rPr>
              <w:t>颗粒物</w:t>
            </w:r>
          </w:p>
        </w:tc>
        <w:tc>
          <w:tcPr>
            <w:tcW w:w="1727"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eastAsia="宋体"/>
                <w:lang w:val="en-US" w:eastAsia="zh-CN"/>
              </w:rPr>
            </w:pPr>
            <w:r>
              <w:rPr>
                <w:rFonts w:hint="eastAsia"/>
                <w:lang w:val="en-US" w:eastAsia="zh-CN"/>
              </w:rPr>
              <w:t>/</w:t>
            </w:r>
          </w:p>
        </w:tc>
        <w:tc>
          <w:tcPr>
            <w:tcW w:w="1295"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eastAsia="宋体"/>
                <w:lang w:val="en-US" w:eastAsia="zh-CN"/>
              </w:rPr>
            </w:pPr>
            <w:r>
              <w:rPr>
                <w:rFonts w:hint="eastAsia"/>
                <w:lang w:val="en-US" w:eastAsia="zh-CN"/>
              </w:rPr>
              <w:t>/</w:t>
            </w:r>
          </w:p>
        </w:tc>
        <w:tc>
          <w:tcPr>
            <w:tcW w:w="1727"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eastAsia="宋体"/>
                <w:lang w:val="en-US" w:eastAsia="zh-CN"/>
              </w:rPr>
            </w:pPr>
            <w:r>
              <w:rPr>
                <w:rFonts w:hint="eastAsia"/>
                <w:lang w:val="en-US" w:eastAsia="zh-CN"/>
              </w:rPr>
              <w:t>/</w:t>
            </w:r>
          </w:p>
        </w:tc>
        <w:tc>
          <w:tcPr>
            <w:tcW w:w="1583"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default"/>
                <w:lang w:val="en-US" w:eastAsia="zh-CN"/>
              </w:rPr>
            </w:pPr>
            <w:r>
              <w:rPr>
                <w:rFonts w:hint="eastAsia"/>
                <w:lang w:val="en-US" w:eastAsia="zh-CN"/>
              </w:rPr>
              <w:t>10.625t/a</w:t>
            </w:r>
          </w:p>
        </w:tc>
        <w:tc>
          <w:tcPr>
            <w:tcW w:w="1535"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rPr>
            </w:pPr>
            <w:r>
              <w:rPr>
                <w:rFonts w:hint="eastAsia"/>
              </w:rPr>
              <w:t>/</w:t>
            </w:r>
          </w:p>
        </w:tc>
        <w:tc>
          <w:tcPr>
            <w:tcW w:w="1936"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kern w:val="2"/>
                <w:sz w:val="24"/>
                <w:szCs w:val="24"/>
                <w:lang w:val="en-US" w:eastAsia="zh-CN" w:bidi="ar-SA"/>
              </w:rPr>
            </w:pPr>
            <w:r>
              <w:rPr>
                <w:rFonts w:hint="eastAsia"/>
                <w:lang w:val="en-US" w:eastAsia="zh-CN"/>
              </w:rPr>
              <w:t>10.625t/a</w:t>
            </w:r>
          </w:p>
        </w:tc>
        <w:tc>
          <w:tcPr>
            <w:tcW w:w="1278"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kern w:val="2"/>
                <w:sz w:val="24"/>
                <w:szCs w:val="24"/>
                <w:lang w:val="en-US" w:eastAsia="zh-CN" w:bidi="ar-SA"/>
              </w:rPr>
            </w:pPr>
            <w:r>
              <w:rPr>
                <w:rFonts w:hint="eastAsia"/>
                <w:lang w:val="en-US" w:eastAsia="zh-CN"/>
              </w:rPr>
              <w:t>+10.625t/a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611" w:type="dxa"/>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lang w:val="en-US" w:eastAsia="zh-CN"/>
              </w:rPr>
            </w:pPr>
          </w:p>
        </w:tc>
        <w:tc>
          <w:tcPr>
            <w:tcW w:w="1439"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default"/>
                <w:lang w:val="en-US" w:eastAsia="zh-CN"/>
              </w:rPr>
            </w:pPr>
            <w:r>
              <w:rPr>
                <w:rFonts w:hint="eastAsia"/>
                <w:lang w:val="en-US" w:eastAsia="zh-CN"/>
              </w:rPr>
              <w:t>饮食业油烟</w:t>
            </w:r>
          </w:p>
        </w:tc>
        <w:tc>
          <w:tcPr>
            <w:tcW w:w="1727"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lang w:val="en-US" w:eastAsia="zh-CN"/>
              </w:rPr>
            </w:pPr>
            <w:r>
              <w:rPr>
                <w:rFonts w:hint="eastAsia"/>
                <w:lang w:val="en-US" w:eastAsia="zh-CN"/>
              </w:rPr>
              <w:t>/</w:t>
            </w:r>
          </w:p>
        </w:tc>
        <w:tc>
          <w:tcPr>
            <w:tcW w:w="1295"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lang w:val="en-US" w:eastAsia="zh-CN"/>
              </w:rPr>
            </w:pPr>
            <w:r>
              <w:rPr>
                <w:rFonts w:hint="eastAsia"/>
                <w:lang w:val="en-US" w:eastAsia="zh-CN"/>
              </w:rPr>
              <w:t>/</w:t>
            </w:r>
          </w:p>
        </w:tc>
        <w:tc>
          <w:tcPr>
            <w:tcW w:w="1727"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lang w:val="en-US" w:eastAsia="zh-CN"/>
              </w:rPr>
            </w:pPr>
            <w:r>
              <w:rPr>
                <w:rFonts w:hint="eastAsia"/>
                <w:lang w:val="en-US" w:eastAsia="zh-CN"/>
              </w:rPr>
              <w:t>/</w:t>
            </w:r>
          </w:p>
        </w:tc>
        <w:tc>
          <w:tcPr>
            <w:tcW w:w="1583"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default"/>
                <w:lang w:val="en-US" w:eastAsia="zh-CN"/>
              </w:rPr>
            </w:pPr>
            <w:r>
              <w:rPr>
                <w:rFonts w:hint="eastAsia"/>
                <w:lang w:val="en-US" w:eastAsia="zh-CN"/>
              </w:rPr>
              <w:t>0.0896kg/a</w:t>
            </w:r>
          </w:p>
        </w:tc>
        <w:tc>
          <w:tcPr>
            <w:tcW w:w="1535"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rPr>
            </w:pPr>
          </w:p>
        </w:tc>
        <w:tc>
          <w:tcPr>
            <w:tcW w:w="1936"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kern w:val="2"/>
                <w:sz w:val="24"/>
                <w:szCs w:val="24"/>
                <w:lang w:val="en-US" w:eastAsia="zh-CN" w:bidi="ar-SA"/>
              </w:rPr>
            </w:pPr>
            <w:r>
              <w:rPr>
                <w:rFonts w:hint="eastAsia"/>
                <w:lang w:val="en-US" w:eastAsia="zh-CN"/>
              </w:rPr>
              <w:t>0.0896kg/a</w:t>
            </w:r>
          </w:p>
        </w:tc>
        <w:tc>
          <w:tcPr>
            <w:tcW w:w="1278"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kern w:val="2"/>
                <w:sz w:val="24"/>
                <w:szCs w:val="24"/>
                <w:lang w:val="en-US" w:eastAsia="zh-CN" w:bidi="ar-SA"/>
              </w:rPr>
            </w:pPr>
            <w:r>
              <w:rPr>
                <w:rFonts w:hint="eastAsia"/>
                <w:lang w:val="en-US" w:eastAsia="zh-CN"/>
              </w:rPr>
              <w:t>+0.0896kg/a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611" w:type="dxa"/>
            <w:vMerge w:val="restart"/>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color w:val="000000" w:themeColor="text1"/>
                <w14:textFill>
                  <w14:solidFill>
                    <w14:schemeClr w14:val="tx1"/>
                  </w14:solidFill>
                </w14:textFill>
              </w:rPr>
            </w:pPr>
            <w:r>
              <w:rPr>
                <w:rFonts w:hint="eastAsia"/>
              </w:rPr>
              <w:t>废水</w:t>
            </w:r>
          </w:p>
        </w:tc>
        <w:tc>
          <w:tcPr>
            <w:tcW w:w="1439"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default"/>
                <w:color w:val="000000" w:themeColor="text1"/>
                <w:lang w:val="en-US" w:eastAsia="zh-CN"/>
                <w14:textFill>
                  <w14:solidFill>
                    <w14:schemeClr w14:val="tx1"/>
                  </w14:solidFill>
                </w14:textFill>
              </w:rPr>
            </w:pPr>
            <w:r>
              <w:rPr>
                <w:rFonts w:hint="eastAsia"/>
              </w:rPr>
              <w:t>COD</w:t>
            </w:r>
          </w:p>
        </w:tc>
        <w:tc>
          <w:tcPr>
            <w:tcW w:w="1727"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color w:val="000000" w:themeColor="text1"/>
                <w14:textFill>
                  <w14:solidFill>
                    <w14:schemeClr w14:val="tx1"/>
                  </w14:solidFill>
                </w14:textFill>
              </w:rPr>
            </w:pPr>
            <w:r>
              <w:rPr>
                <w:rFonts w:hint="eastAsia"/>
              </w:rPr>
              <w:t>/</w:t>
            </w:r>
          </w:p>
        </w:tc>
        <w:tc>
          <w:tcPr>
            <w:tcW w:w="1295"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color w:val="000000" w:themeColor="text1"/>
                <w14:textFill>
                  <w14:solidFill>
                    <w14:schemeClr w14:val="tx1"/>
                  </w14:solidFill>
                </w14:textFill>
              </w:rPr>
            </w:pPr>
            <w:r>
              <w:rPr>
                <w:rFonts w:hint="eastAsia"/>
              </w:rPr>
              <w:t>/</w:t>
            </w:r>
          </w:p>
        </w:tc>
        <w:tc>
          <w:tcPr>
            <w:tcW w:w="1727"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color w:val="auto"/>
              </w:rPr>
            </w:pPr>
            <w:r>
              <w:rPr>
                <w:rFonts w:hint="eastAsia"/>
                <w:color w:val="auto"/>
              </w:rPr>
              <w:t>/</w:t>
            </w:r>
          </w:p>
        </w:tc>
        <w:tc>
          <w:tcPr>
            <w:tcW w:w="1583"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0.185t/a</w:t>
            </w:r>
          </w:p>
        </w:tc>
        <w:tc>
          <w:tcPr>
            <w:tcW w:w="1535"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color w:val="auto"/>
              </w:rPr>
            </w:pPr>
            <w:r>
              <w:rPr>
                <w:rFonts w:hint="eastAsia"/>
                <w:color w:val="auto"/>
              </w:rPr>
              <w:t>/</w:t>
            </w:r>
          </w:p>
        </w:tc>
        <w:tc>
          <w:tcPr>
            <w:tcW w:w="1936"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color w:val="auto"/>
                <w:kern w:val="2"/>
                <w:sz w:val="24"/>
                <w:szCs w:val="24"/>
                <w:lang w:val="en-US" w:eastAsia="zh-CN" w:bidi="ar-SA"/>
              </w:rPr>
            </w:pPr>
            <w:r>
              <w:rPr>
                <w:rFonts w:hint="eastAsia"/>
                <w:color w:val="auto"/>
                <w:lang w:val="en-US" w:eastAsia="zh-CN"/>
              </w:rPr>
              <w:t>0.185t/a</w:t>
            </w:r>
          </w:p>
        </w:tc>
        <w:tc>
          <w:tcPr>
            <w:tcW w:w="1278"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4"/>
                <w:szCs w:val="24"/>
                <w:lang w:val="en-US" w:eastAsia="zh-CN" w:bidi="ar-SA"/>
              </w:rPr>
            </w:pPr>
            <w:r>
              <w:rPr>
                <w:rFonts w:hint="eastAsia"/>
                <w:color w:val="auto"/>
                <w:lang w:val="en-US" w:eastAsia="zh-CN"/>
              </w:rPr>
              <w:t>+0.185t/a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611" w:type="dxa"/>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color w:val="000000" w:themeColor="text1"/>
                <w14:textFill>
                  <w14:solidFill>
                    <w14:schemeClr w14:val="tx1"/>
                  </w14:solidFill>
                </w14:textFill>
              </w:rPr>
            </w:pPr>
          </w:p>
        </w:tc>
        <w:tc>
          <w:tcPr>
            <w:tcW w:w="1439"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color w:val="000000" w:themeColor="text1"/>
                <w:lang w:val="en-US" w:eastAsia="zh-CN"/>
                <w14:textFill>
                  <w14:solidFill>
                    <w14:schemeClr w14:val="tx1"/>
                  </w14:solidFill>
                </w14:textFill>
              </w:rPr>
            </w:pPr>
            <w:r>
              <w:rPr>
                <w:rFonts w:hint="eastAsia"/>
              </w:rPr>
              <w:t>BOD</w:t>
            </w:r>
            <w:r>
              <w:rPr>
                <w:rFonts w:hint="eastAsia"/>
                <w:vertAlign w:val="subscript"/>
              </w:rPr>
              <w:t>5</w:t>
            </w:r>
          </w:p>
        </w:tc>
        <w:tc>
          <w:tcPr>
            <w:tcW w:w="1727"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color w:val="000000" w:themeColor="text1"/>
                <w:lang w:val="en-US" w:eastAsia="zh-CN"/>
                <w14:textFill>
                  <w14:solidFill>
                    <w14:schemeClr w14:val="tx1"/>
                  </w14:solidFill>
                </w14:textFill>
              </w:rPr>
            </w:pPr>
            <w:r>
              <w:rPr>
                <w:rFonts w:hint="eastAsia"/>
              </w:rPr>
              <w:t>/</w:t>
            </w:r>
          </w:p>
        </w:tc>
        <w:tc>
          <w:tcPr>
            <w:tcW w:w="1295"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color w:val="000000" w:themeColor="text1"/>
                <w:lang w:val="en-US" w:eastAsia="zh-CN"/>
                <w14:textFill>
                  <w14:solidFill>
                    <w14:schemeClr w14:val="tx1"/>
                  </w14:solidFill>
                </w14:textFill>
              </w:rPr>
            </w:pPr>
            <w:r>
              <w:rPr>
                <w:rFonts w:hint="eastAsia"/>
              </w:rPr>
              <w:t>/</w:t>
            </w:r>
          </w:p>
        </w:tc>
        <w:tc>
          <w:tcPr>
            <w:tcW w:w="1727"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w:t>
            </w:r>
          </w:p>
        </w:tc>
        <w:tc>
          <w:tcPr>
            <w:tcW w:w="1583"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0.106t/a</w:t>
            </w:r>
          </w:p>
        </w:tc>
        <w:tc>
          <w:tcPr>
            <w:tcW w:w="1535"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w:t>
            </w:r>
          </w:p>
        </w:tc>
        <w:tc>
          <w:tcPr>
            <w:tcW w:w="1936"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color w:val="auto"/>
                <w:kern w:val="2"/>
                <w:sz w:val="24"/>
                <w:szCs w:val="24"/>
                <w:lang w:val="en-US" w:eastAsia="zh-CN" w:bidi="ar-SA"/>
              </w:rPr>
            </w:pPr>
            <w:r>
              <w:rPr>
                <w:rFonts w:hint="eastAsia"/>
                <w:color w:val="auto"/>
                <w:lang w:val="en-US" w:eastAsia="zh-CN"/>
              </w:rPr>
              <w:t>0.106t/a</w:t>
            </w:r>
          </w:p>
        </w:tc>
        <w:tc>
          <w:tcPr>
            <w:tcW w:w="1278"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4"/>
                <w:szCs w:val="24"/>
                <w:lang w:val="en-US" w:eastAsia="zh-CN" w:bidi="ar-SA"/>
              </w:rPr>
            </w:pPr>
            <w:r>
              <w:rPr>
                <w:rFonts w:hint="eastAsia"/>
                <w:color w:val="auto"/>
                <w:lang w:val="en-US" w:eastAsia="zh-CN"/>
              </w:rPr>
              <w:t>+0.106t/a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611" w:type="dxa"/>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color w:val="000000" w:themeColor="text1"/>
                <w14:textFill>
                  <w14:solidFill>
                    <w14:schemeClr w14:val="tx1"/>
                  </w14:solidFill>
                </w14:textFill>
              </w:rPr>
            </w:pPr>
          </w:p>
        </w:tc>
        <w:tc>
          <w:tcPr>
            <w:tcW w:w="1439"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color w:val="000000" w:themeColor="text1"/>
                <w:lang w:val="en-US" w:eastAsia="zh-CN"/>
                <w14:textFill>
                  <w14:solidFill>
                    <w14:schemeClr w14:val="tx1"/>
                  </w14:solidFill>
                </w14:textFill>
              </w:rPr>
            </w:pPr>
            <w:r>
              <w:rPr>
                <w:rFonts w:hint="eastAsia"/>
              </w:rPr>
              <w:t>SS</w:t>
            </w:r>
          </w:p>
        </w:tc>
        <w:tc>
          <w:tcPr>
            <w:tcW w:w="1727"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color w:val="000000" w:themeColor="text1"/>
                <w:lang w:val="en-US" w:eastAsia="zh-CN"/>
                <w14:textFill>
                  <w14:solidFill>
                    <w14:schemeClr w14:val="tx1"/>
                  </w14:solidFill>
                </w14:textFill>
              </w:rPr>
            </w:pPr>
            <w:r>
              <w:rPr>
                <w:rFonts w:hint="eastAsia"/>
              </w:rPr>
              <w:t>/</w:t>
            </w:r>
          </w:p>
        </w:tc>
        <w:tc>
          <w:tcPr>
            <w:tcW w:w="1295"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color w:val="000000" w:themeColor="text1"/>
                <w:lang w:val="en-US" w:eastAsia="zh-CN"/>
                <w14:textFill>
                  <w14:solidFill>
                    <w14:schemeClr w14:val="tx1"/>
                  </w14:solidFill>
                </w14:textFill>
              </w:rPr>
            </w:pPr>
            <w:r>
              <w:rPr>
                <w:rFonts w:hint="eastAsia"/>
              </w:rPr>
              <w:t>/</w:t>
            </w:r>
          </w:p>
        </w:tc>
        <w:tc>
          <w:tcPr>
            <w:tcW w:w="1727"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w:t>
            </w:r>
          </w:p>
        </w:tc>
        <w:tc>
          <w:tcPr>
            <w:tcW w:w="1583"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0.132t/a</w:t>
            </w:r>
          </w:p>
        </w:tc>
        <w:tc>
          <w:tcPr>
            <w:tcW w:w="1535"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w:t>
            </w:r>
          </w:p>
        </w:tc>
        <w:tc>
          <w:tcPr>
            <w:tcW w:w="1936"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color w:val="auto"/>
                <w:kern w:val="2"/>
                <w:sz w:val="24"/>
                <w:szCs w:val="24"/>
                <w:lang w:val="en-US" w:eastAsia="zh-CN" w:bidi="ar-SA"/>
              </w:rPr>
            </w:pPr>
            <w:r>
              <w:rPr>
                <w:rFonts w:hint="eastAsia"/>
                <w:color w:val="auto"/>
                <w:lang w:val="en-US" w:eastAsia="zh-CN"/>
              </w:rPr>
              <w:t>0.132t/a</w:t>
            </w:r>
          </w:p>
        </w:tc>
        <w:tc>
          <w:tcPr>
            <w:tcW w:w="1278"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4"/>
                <w:szCs w:val="24"/>
                <w:lang w:val="en-US" w:eastAsia="zh-CN" w:bidi="ar-SA"/>
              </w:rPr>
            </w:pPr>
            <w:r>
              <w:rPr>
                <w:rFonts w:hint="eastAsia"/>
                <w:color w:val="auto"/>
                <w:lang w:val="en-US" w:eastAsia="zh-CN"/>
              </w:rPr>
              <w:t>+0.132t/a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1611" w:type="dxa"/>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color w:val="000000" w:themeColor="text1"/>
                <w14:textFill>
                  <w14:solidFill>
                    <w14:schemeClr w14:val="tx1"/>
                  </w14:solidFill>
                </w14:textFill>
              </w:rPr>
            </w:pPr>
          </w:p>
        </w:tc>
        <w:tc>
          <w:tcPr>
            <w:tcW w:w="1439"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color w:val="000000" w:themeColor="text1"/>
                <w:lang w:val="en-US" w:eastAsia="zh-CN"/>
                <w14:textFill>
                  <w14:solidFill>
                    <w14:schemeClr w14:val="tx1"/>
                  </w14:solidFill>
                </w14:textFill>
              </w:rPr>
            </w:pPr>
            <w:r>
              <w:rPr>
                <w:rFonts w:hint="eastAsia"/>
              </w:rPr>
              <w:t>NH</w:t>
            </w:r>
            <w:r>
              <w:rPr>
                <w:rFonts w:hint="eastAsia"/>
                <w:vertAlign w:val="subscript"/>
              </w:rPr>
              <w:t>3</w:t>
            </w:r>
            <w:r>
              <w:rPr>
                <w:rFonts w:hint="eastAsia"/>
              </w:rPr>
              <w:t>-N</w:t>
            </w:r>
          </w:p>
        </w:tc>
        <w:tc>
          <w:tcPr>
            <w:tcW w:w="1727"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color w:val="000000" w:themeColor="text1"/>
                <w:lang w:val="en-US" w:eastAsia="zh-CN"/>
                <w14:textFill>
                  <w14:solidFill>
                    <w14:schemeClr w14:val="tx1"/>
                  </w14:solidFill>
                </w14:textFill>
              </w:rPr>
            </w:pPr>
            <w:r>
              <w:rPr>
                <w:rFonts w:hint="eastAsia"/>
              </w:rPr>
              <w:t>/</w:t>
            </w:r>
          </w:p>
        </w:tc>
        <w:tc>
          <w:tcPr>
            <w:tcW w:w="1295"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color w:val="000000" w:themeColor="text1"/>
                <w:lang w:val="en-US" w:eastAsia="zh-CN"/>
                <w14:textFill>
                  <w14:solidFill>
                    <w14:schemeClr w14:val="tx1"/>
                  </w14:solidFill>
                </w14:textFill>
              </w:rPr>
            </w:pPr>
            <w:r>
              <w:rPr>
                <w:rFonts w:hint="eastAsia"/>
              </w:rPr>
              <w:t>/</w:t>
            </w:r>
          </w:p>
        </w:tc>
        <w:tc>
          <w:tcPr>
            <w:tcW w:w="1727"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w:t>
            </w:r>
          </w:p>
        </w:tc>
        <w:tc>
          <w:tcPr>
            <w:tcW w:w="1583"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0.016t/a</w:t>
            </w:r>
          </w:p>
        </w:tc>
        <w:tc>
          <w:tcPr>
            <w:tcW w:w="1535"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w:t>
            </w:r>
          </w:p>
        </w:tc>
        <w:tc>
          <w:tcPr>
            <w:tcW w:w="1936"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color w:val="auto"/>
                <w:kern w:val="2"/>
                <w:sz w:val="24"/>
                <w:szCs w:val="24"/>
                <w:lang w:val="en-US" w:eastAsia="zh-CN" w:bidi="ar-SA"/>
              </w:rPr>
            </w:pPr>
            <w:r>
              <w:rPr>
                <w:rFonts w:hint="eastAsia"/>
                <w:color w:val="auto"/>
                <w:lang w:val="en-US" w:eastAsia="zh-CN"/>
              </w:rPr>
              <w:t>0.016t/a</w:t>
            </w:r>
          </w:p>
        </w:tc>
        <w:tc>
          <w:tcPr>
            <w:tcW w:w="1278"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4"/>
                <w:szCs w:val="24"/>
                <w:lang w:val="en-US" w:eastAsia="zh-CN" w:bidi="ar-SA"/>
              </w:rPr>
            </w:pPr>
            <w:r>
              <w:rPr>
                <w:rFonts w:hint="eastAsia"/>
                <w:color w:val="auto"/>
                <w:lang w:val="en-US" w:eastAsia="zh-CN"/>
              </w:rPr>
              <w:t>+0.016t/a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611" w:type="dxa"/>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color w:val="000000" w:themeColor="text1"/>
                <w14:textFill>
                  <w14:solidFill>
                    <w14:schemeClr w14:val="tx1"/>
                  </w14:solidFill>
                </w14:textFill>
              </w:rPr>
            </w:pPr>
          </w:p>
        </w:tc>
        <w:tc>
          <w:tcPr>
            <w:tcW w:w="1439"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color w:val="000000" w:themeColor="text1"/>
                <w:lang w:val="en-US" w:eastAsia="zh-CN"/>
                <w14:textFill>
                  <w14:solidFill>
                    <w14:schemeClr w14:val="tx1"/>
                  </w14:solidFill>
                </w14:textFill>
              </w:rPr>
            </w:pPr>
            <w:r>
              <w:rPr>
                <w:rFonts w:hint="eastAsia"/>
              </w:rPr>
              <w:t>动植物油</w:t>
            </w:r>
          </w:p>
        </w:tc>
        <w:tc>
          <w:tcPr>
            <w:tcW w:w="1727"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color w:val="000000" w:themeColor="text1"/>
                <w:lang w:val="en-US" w:eastAsia="zh-CN"/>
                <w14:textFill>
                  <w14:solidFill>
                    <w14:schemeClr w14:val="tx1"/>
                  </w14:solidFill>
                </w14:textFill>
              </w:rPr>
            </w:pPr>
            <w:r>
              <w:rPr>
                <w:rFonts w:hint="eastAsia"/>
              </w:rPr>
              <w:t>/</w:t>
            </w:r>
          </w:p>
        </w:tc>
        <w:tc>
          <w:tcPr>
            <w:tcW w:w="1295"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color w:val="000000" w:themeColor="text1"/>
                <w:lang w:val="en-US" w:eastAsia="zh-CN"/>
                <w14:textFill>
                  <w14:solidFill>
                    <w14:schemeClr w14:val="tx1"/>
                  </w14:solidFill>
                </w14:textFill>
              </w:rPr>
            </w:pPr>
            <w:r>
              <w:rPr>
                <w:rFonts w:hint="eastAsia"/>
              </w:rPr>
              <w:t>/</w:t>
            </w:r>
          </w:p>
        </w:tc>
        <w:tc>
          <w:tcPr>
            <w:tcW w:w="1727"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w:t>
            </w:r>
          </w:p>
        </w:tc>
        <w:tc>
          <w:tcPr>
            <w:tcW w:w="1583"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0.026t/a</w:t>
            </w:r>
          </w:p>
        </w:tc>
        <w:tc>
          <w:tcPr>
            <w:tcW w:w="1535"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color w:val="auto"/>
                <w:lang w:val="en-US" w:eastAsia="zh-CN"/>
              </w:rPr>
            </w:pPr>
            <w:r>
              <w:rPr>
                <w:rFonts w:hint="eastAsia"/>
                <w:color w:val="auto"/>
              </w:rPr>
              <w:t>/</w:t>
            </w:r>
          </w:p>
        </w:tc>
        <w:tc>
          <w:tcPr>
            <w:tcW w:w="1936"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color w:val="auto"/>
                <w:kern w:val="2"/>
                <w:sz w:val="24"/>
                <w:szCs w:val="24"/>
                <w:lang w:val="en-US" w:eastAsia="zh-CN" w:bidi="ar-SA"/>
              </w:rPr>
            </w:pPr>
            <w:r>
              <w:rPr>
                <w:rFonts w:hint="eastAsia"/>
                <w:color w:val="auto"/>
                <w:lang w:val="en-US" w:eastAsia="zh-CN"/>
              </w:rPr>
              <w:t>0.026t/a</w:t>
            </w:r>
          </w:p>
        </w:tc>
        <w:tc>
          <w:tcPr>
            <w:tcW w:w="1278"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color w:val="auto"/>
                <w:kern w:val="2"/>
                <w:sz w:val="24"/>
                <w:szCs w:val="24"/>
                <w:lang w:val="en-US" w:eastAsia="zh-CN" w:bidi="ar-SA"/>
              </w:rPr>
            </w:pPr>
            <w:r>
              <w:rPr>
                <w:rFonts w:hint="eastAsia"/>
                <w:color w:val="auto"/>
                <w:lang w:val="en-US" w:eastAsia="zh-CN"/>
              </w:rPr>
              <w:t>+0.026t/a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611" w:type="dxa"/>
            <w:vMerge w:val="restart"/>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一般固体废物</w:t>
            </w:r>
          </w:p>
        </w:tc>
        <w:tc>
          <w:tcPr>
            <w:tcW w:w="1439"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default" w:eastAsia="宋体"/>
                <w:color w:val="auto"/>
                <w:lang w:val="en-US" w:eastAsia="zh-CN"/>
              </w:rPr>
            </w:pPr>
            <w:r>
              <w:rPr>
                <w:rFonts w:hint="eastAsia"/>
                <w:color w:val="auto"/>
                <w:lang w:val="en-US" w:eastAsia="zh-CN"/>
              </w:rPr>
              <w:t>生活垃圾</w:t>
            </w:r>
          </w:p>
        </w:tc>
        <w:tc>
          <w:tcPr>
            <w:tcW w:w="1727"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eastAsia="宋体"/>
                <w:lang w:val="en-US" w:eastAsia="zh-CN"/>
              </w:rPr>
            </w:pPr>
            <w:r>
              <w:rPr>
                <w:rFonts w:hint="eastAsia"/>
                <w:lang w:val="en-US" w:eastAsia="zh-CN"/>
              </w:rPr>
              <w:t>/</w:t>
            </w:r>
          </w:p>
        </w:tc>
        <w:tc>
          <w:tcPr>
            <w:tcW w:w="1295"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eastAsia="宋体"/>
                <w:lang w:val="en-US" w:eastAsia="zh-CN"/>
              </w:rPr>
            </w:pPr>
            <w:r>
              <w:rPr>
                <w:rFonts w:hint="eastAsia"/>
                <w:lang w:val="en-US" w:eastAsia="zh-CN"/>
              </w:rPr>
              <w:t>/</w:t>
            </w:r>
          </w:p>
        </w:tc>
        <w:tc>
          <w:tcPr>
            <w:tcW w:w="1727"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eastAsia="宋体"/>
                <w:lang w:val="en-US" w:eastAsia="zh-CN"/>
              </w:rPr>
            </w:pPr>
            <w:r>
              <w:rPr>
                <w:rFonts w:hint="eastAsia"/>
                <w:lang w:val="en-US" w:eastAsia="zh-CN"/>
              </w:rPr>
              <w:t>/</w:t>
            </w:r>
          </w:p>
        </w:tc>
        <w:tc>
          <w:tcPr>
            <w:tcW w:w="1583"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default"/>
                <w:lang w:val="en-US" w:eastAsia="zh-CN"/>
              </w:rPr>
            </w:pPr>
            <w:r>
              <w:rPr>
                <w:rFonts w:hint="eastAsia"/>
                <w:lang w:val="en-US" w:eastAsia="zh-CN"/>
              </w:rPr>
              <w:t>4.1t/a</w:t>
            </w:r>
          </w:p>
        </w:tc>
        <w:tc>
          <w:tcPr>
            <w:tcW w:w="1535" w:type="dxa"/>
            <w:tcBorders>
              <w:tl2br w:val="nil"/>
              <w:tr2bl w:val="nil"/>
            </w:tcBorders>
            <w:noWrap w:val="0"/>
            <w:vAlign w:val="center"/>
          </w:tcPr>
          <w:p>
            <w:pPr>
              <w:pStyle w:val="31"/>
              <w:bidi w:val="0"/>
              <w:rPr>
                <w:rFonts w:hint="eastAsia"/>
              </w:rPr>
            </w:pPr>
            <w:r>
              <w:rPr>
                <w:rFonts w:hint="eastAsia"/>
              </w:rPr>
              <w:t>/</w:t>
            </w:r>
          </w:p>
        </w:tc>
        <w:tc>
          <w:tcPr>
            <w:tcW w:w="1936"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kern w:val="2"/>
                <w:sz w:val="24"/>
                <w:szCs w:val="24"/>
                <w:lang w:val="en-US" w:eastAsia="zh-CN" w:bidi="ar-SA"/>
              </w:rPr>
            </w:pPr>
            <w:r>
              <w:rPr>
                <w:rFonts w:hint="eastAsia"/>
                <w:lang w:val="en-US" w:eastAsia="zh-CN"/>
              </w:rPr>
              <w:t>4.1t/a</w:t>
            </w:r>
          </w:p>
        </w:tc>
        <w:tc>
          <w:tcPr>
            <w:tcW w:w="1278"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kern w:val="2"/>
                <w:sz w:val="24"/>
                <w:szCs w:val="24"/>
                <w:lang w:val="en-US" w:eastAsia="zh-CN" w:bidi="ar-SA"/>
              </w:rPr>
            </w:pPr>
            <w:r>
              <w:rPr>
                <w:rFonts w:hint="eastAsia"/>
                <w:lang w:val="en-US" w:eastAsia="zh-CN"/>
              </w:rPr>
              <w:t>+4.1t/a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611" w:type="dxa"/>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color w:val="000000" w:themeColor="text1"/>
                <w:lang w:val="en-US" w:eastAsia="zh-CN"/>
                <w14:textFill>
                  <w14:solidFill>
                    <w14:schemeClr w14:val="tx1"/>
                  </w14:solidFill>
                </w14:textFill>
              </w:rPr>
            </w:pPr>
          </w:p>
        </w:tc>
        <w:tc>
          <w:tcPr>
            <w:tcW w:w="1439"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eastAsia="宋体"/>
                <w:color w:val="auto"/>
                <w:lang w:val="en-US" w:eastAsia="zh-CN"/>
              </w:rPr>
            </w:pPr>
            <w:r>
              <w:rPr>
                <w:rFonts w:hint="eastAsia" w:cs="Times New Roman"/>
                <w:color w:val="auto"/>
                <w:lang w:eastAsia="zh-CN"/>
              </w:rPr>
              <w:t>除尘灰</w:t>
            </w:r>
          </w:p>
        </w:tc>
        <w:tc>
          <w:tcPr>
            <w:tcW w:w="1727"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lang w:val="en-US" w:eastAsia="zh-CN"/>
              </w:rPr>
            </w:pPr>
            <w:r>
              <w:rPr>
                <w:rFonts w:hint="eastAsia"/>
                <w:lang w:val="en-US" w:eastAsia="zh-CN"/>
              </w:rPr>
              <w:t>/</w:t>
            </w:r>
          </w:p>
        </w:tc>
        <w:tc>
          <w:tcPr>
            <w:tcW w:w="1295"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lang w:val="en-US" w:eastAsia="zh-CN"/>
              </w:rPr>
            </w:pPr>
            <w:r>
              <w:rPr>
                <w:rFonts w:hint="eastAsia"/>
                <w:lang w:val="en-US" w:eastAsia="zh-CN"/>
              </w:rPr>
              <w:t>/</w:t>
            </w:r>
          </w:p>
        </w:tc>
        <w:tc>
          <w:tcPr>
            <w:tcW w:w="1727"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lang w:val="en-US" w:eastAsia="zh-CN"/>
              </w:rPr>
            </w:pPr>
            <w:r>
              <w:rPr>
                <w:rFonts w:hint="eastAsia"/>
                <w:lang w:val="en-US" w:eastAsia="zh-CN"/>
              </w:rPr>
              <w:t>/</w:t>
            </w:r>
          </w:p>
        </w:tc>
        <w:tc>
          <w:tcPr>
            <w:tcW w:w="1583"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default"/>
                <w:lang w:val="en-US" w:eastAsia="zh-CN"/>
              </w:rPr>
            </w:pPr>
            <w:r>
              <w:rPr>
                <w:rFonts w:hint="eastAsia"/>
                <w:lang w:val="en-US" w:eastAsia="zh-CN"/>
              </w:rPr>
              <w:t>119.64t/a</w:t>
            </w:r>
          </w:p>
        </w:tc>
        <w:tc>
          <w:tcPr>
            <w:tcW w:w="1535" w:type="dxa"/>
            <w:tcBorders>
              <w:tl2br w:val="nil"/>
              <w:tr2bl w:val="nil"/>
            </w:tcBorders>
            <w:noWrap w:val="0"/>
            <w:vAlign w:val="center"/>
          </w:tcPr>
          <w:p>
            <w:pPr>
              <w:pStyle w:val="31"/>
              <w:bidi w:val="0"/>
              <w:rPr>
                <w:rFonts w:hint="eastAsia"/>
              </w:rPr>
            </w:pPr>
            <w:r>
              <w:rPr>
                <w:rFonts w:hint="eastAsia"/>
              </w:rPr>
              <w:t>/</w:t>
            </w:r>
          </w:p>
        </w:tc>
        <w:tc>
          <w:tcPr>
            <w:tcW w:w="1936"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kern w:val="2"/>
                <w:sz w:val="24"/>
                <w:szCs w:val="24"/>
                <w:lang w:val="en-US" w:eastAsia="zh-CN" w:bidi="ar-SA"/>
              </w:rPr>
            </w:pPr>
            <w:r>
              <w:rPr>
                <w:rFonts w:hint="eastAsia"/>
                <w:lang w:val="en-US" w:eastAsia="zh-CN"/>
              </w:rPr>
              <w:t>119.64t/a</w:t>
            </w:r>
          </w:p>
        </w:tc>
        <w:tc>
          <w:tcPr>
            <w:tcW w:w="1278"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kern w:val="2"/>
                <w:sz w:val="24"/>
                <w:szCs w:val="24"/>
                <w:lang w:val="en-US" w:eastAsia="zh-CN" w:bidi="ar-SA"/>
              </w:rPr>
            </w:pPr>
            <w:r>
              <w:rPr>
                <w:rFonts w:hint="eastAsia"/>
                <w:lang w:val="en-US" w:eastAsia="zh-CN"/>
              </w:rPr>
              <w:t>+119.64t/a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611" w:type="dxa"/>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color w:val="000000" w:themeColor="text1"/>
                <w:lang w:val="en-US" w:eastAsia="zh-CN"/>
                <w14:textFill>
                  <w14:solidFill>
                    <w14:schemeClr w14:val="tx1"/>
                  </w14:solidFill>
                </w14:textFill>
              </w:rPr>
            </w:pPr>
          </w:p>
        </w:tc>
        <w:tc>
          <w:tcPr>
            <w:tcW w:w="1439"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color w:val="auto"/>
                <w:lang w:val="en-US"/>
              </w:rPr>
            </w:pPr>
            <w:r>
              <w:rPr>
                <w:rFonts w:hint="eastAsia" w:cs="Times New Roman"/>
                <w:color w:val="auto"/>
                <w:lang w:val="en-US" w:eastAsia="zh-CN"/>
              </w:rPr>
              <w:t>沉淀池沉渣</w:t>
            </w:r>
          </w:p>
        </w:tc>
        <w:tc>
          <w:tcPr>
            <w:tcW w:w="1727"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lang w:val="en-US" w:eastAsia="zh-CN"/>
              </w:rPr>
            </w:pPr>
            <w:r>
              <w:rPr>
                <w:rFonts w:hint="eastAsia"/>
                <w:lang w:val="en-US" w:eastAsia="zh-CN"/>
              </w:rPr>
              <w:t>/</w:t>
            </w:r>
          </w:p>
        </w:tc>
        <w:tc>
          <w:tcPr>
            <w:tcW w:w="1295"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lang w:val="en-US" w:eastAsia="zh-CN"/>
              </w:rPr>
            </w:pPr>
            <w:r>
              <w:rPr>
                <w:rFonts w:hint="eastAsia"/>
                <w:lang w:val="en-US" w:eastAsia="zh-CN"/>
              </w:rPr>
              <w:t>/</w:t>
            </w:r>
          </w:p>
        </w:tc>
        <w:tc>
          <w:tcPr>
            <w:tcW w:w="1727"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lang w:val="en-US" w:eastAsia="zh-CN"/>
              </w:rPr>
            </w:pPr>
            <w:r>
              <w:rPr>
                <w:rFonts w:hint="eastAsia"/>
                <w:lang w:val="en-US" w:eastAsia="zh-CN"/>
              </w:rPr>
              <w:t>/</w:t>
            </w:r>
          </w:p>
        </w:tc>
        <w:tc>
          <w:tcPr>
            <w:tcW w:w="1583"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default"/>
                <w:lang w:val="en-US" w:eastAsia="zh-CN"/>
              </w:rPr>
            </w:pPr>
            <w:r>
              <w:rPr>
                <w:rFonts w:hint="eastAsia"/>
                <w:lang w:val="en-US" w:eastAsia="zh-CN"/>
              </w:rPr>
              <w:t>250m</w:t>
            </w:r>
            <w:r>
              <w:rPr>
                <w:rFonts w:hint="eastAsia"/>
                <w:vertAlign w:val="superscript"/>
                <w:lang w:val="en-US" w:eastAsia="zh-CN"/>
              </w:rPr>
              <w:t>3</w:t>
            </w:r>
            <w:r>
              <w:rPr>
                <w:rFonts w:hint="eastAsia"/>
                <w:lang w:val="en-US" w:eastAsia="zh-CN"/>
              </w:rPr>
              <w:t>/a</w:t>
            </w:r>
          </w:p>
        </w:tc>
        <w:tc>
          <w:tcPr>
            <w:tcW w:w="1535" w:type="dxa"/>
            <w:tcBorders>
              <w:tl2br w:val="nil"/>
              <w:tr2bl w:val="nil"/>
            </w:tcBorders>
            <w:noWrap w:val="0"/>
            <w:vAlign w:val="center"/>
          </w:tcPr>
          <w:p>
            <w:pPr>
              <w:pStyle w:val="31"/>
              <w:bidi w:val="0"/>
              <w:rPr>
                <w:rFonts w:hint="eastAsia"/>
              </w:rPr>
            </w:pPr>
            <w:r>
              <w:rPr>
                <w:rFonts w:hint="eastAsia"/>
              </w:rPr>
              <w:t>/</w:t>
            </w:r>
          </w:p>
        </w:tc>
        <w:tc>
          <w:tcPr>
            <w:tcW w:w="1936"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default" w:ascii="Times New Roman" w:hAnsi="Times New Roman" w:eastAsia="宋体" w:cs="Times New Roman"/>
                <w:kern w:val="2"/>
                <w:sz w:val="24"/>
                <w:szCs w:val="24"/>
                <w:lang w:val="en-US" w:eastAsia="zh-CN" w:bidi="ar-SA"/>
              </w:rPr>
            </w:pPr>
            <w:r>
              <w:rPr>
                <w:rFonts w:hint="eastAsia"/>
                <w:lang w:val="en-US" w:eastAsia="zh-CN"/>
              </w:rPr>
              <w:t>250m</w:t>
            </w:r>
            <w:r>
              <w:rPr>
                <w:rFonts w:hint="eastAsia"/>
                <w:vertAlign w:val="superscript"/>
                <w:lang w:val="en-US" w:eastAsia="zh-CN"/>
              </w:rPr>
              <w:t>3</w:t>
            </w:r>
            <w:r>
              <w:rPr>
                <w:rFonts w:hint="eastAsia"/>
                <w:lang w:val="en-US" w:eastAsia="zh-CN"/>
              </w:rPr>
              <w:t>/a</w:t>
            </w:r>
          </w:p>
        </w:tc>
        <w:tc>
          <w:tcPr>
            <w:tcW w:w="1278"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kern w:val="2"/>
                <w:sz w:val="24"/>
                <w:szCs w:val="24"/>
                <w:lang w:val="en-US" w:eastAsia="zh-CN" w:bidi="ar-SA"/>
              </w:rPr>
            </w:pPr>
            <w:r>
              <w:rPr>
                <w:rFonts w:hint="eastAsia"/>
                <w:lang w:val="en-US" w:eastAsia="zh-CN"/>
              </w:rPr>
              <w:t>+250m</w:t>
            </w:r>
            <w:r>
              <w:rPr>
                <w:rFonts w:hint="eastAsia"/>
                <w:vertAlign w:val="superscript"/>
                <w:lang w:val="en-US" w:eastAsia="zh-CN"/>
              </w:rPr>
              <w:t>3</w:t>
            </w:r>
            <w:r>
              <w:rPr>
                <w:rFonts w:hint="eastAsia"/>
                <w:lang w:val="en-US" w:eastAsia="zh-CN"/>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611" w:type="dxa"/>
            <w:vMerge w:val="restart"/>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color w:val="000000" w:themeColor="text1"/>
                <w:lang w:val="en-US" w:eastAsia="zh-CN"/>
                <w14:textFill>
                  <w14:solidFill>
                    <w14:schemeClr w14:val="tx1"/>
                  </w14:solidFill>
                </w14:textFill>
              </w:rPr>
            </w:pPr>
            <w:r>
              <w:rPr>
                <w:rFonts w:hint="eastAsia"/>
                <w:lang w:val="en-US" w:eastAsia="zh-CN"/>
              </w:rPr>
              <w:t>危险废物</w:t>
            </w:r>
          </w:p>
        </w:tc>
        <w:tc>
          <w:tcPr>
            <w:tcW w:w="1439"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default"/>
                <w:lang w:val="en-US" w:eastAsia="zh-CN"/>
              </w:rPr>
            </w:pPr>
            <w:r>
              <w:rPr>
                <w:rFonts w:hint="eastAsia"/>
                <w:lang w:val="en-US" w:eastAsia="zh-CN"/>
              </w:rPr>
              <w:t>废矿物油</w:t>
            </w:r>
          </w:p>
        </w:tc>
        <w:tc>
          <w:tcPr>
            <w:tcW w:w="1727"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lang w:val="en-US" w:eastAsia="zh-CN"/>
              </w:rPr>
            </w:pPr>
            <w:r>
              <w:rPr>
                <w:rFonts w:hint="eastAsia"/>
                <w:lang w:val="en-US" w:eastAsia="zh-CN"/>
              </w:rPr>
              <w:t>/</w:t>
            </w:r>
          </w:p>
        </w:tc>
        <w:tc>
          <w:tcPr>
            <w:tcW w:w="1295"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lang w:val="en-US" w:eastAsia="zh-CN"/>
              </w:rPr>
            </w:pPr>
            <w:r>
              <w:rPr>
                <w:rFonts w:hint="eastAsia"/>
                <w:lang w:val="en-US" w:eastAsia="zh-CN"/>
              </w:rPr>
              <w:t>/</w:t>
            </w:r>
          </w:p>
        </w:tc>
        <w:tc>
          <w:tcPr>
            <w:tcW w:w="1727"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lang w:val="en-US" w:eastAsia="zh-CN"/>
              </w:rPr>
            </w:pPr>
            <w:r>
              <w:rPr>
                <w:rFonts w:hint="eastAsia"/>
                <w:lang w:val="en-US" w:eastAsia="zh-CN"/>
              </w:rPr>
              <w:t>/</w:t>
            </w:r>
          </w:p>
        </w:tc>
        <w:tc>
          <w:tcPr>
            <w:tcW w:w="1583"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default"/>
                <w:lang w:val="en-US" w:eastAsia="zh-CN"/>
              </w:rPr>
            </w:pPr>
            <w:r>
              <w:rPr>
                <w:rFonts w:hint="eastAsia"/>
                <w:lang w:val="en-US" w:eastAsia="zh-CN"/>
              </w:rPr>
              <w:t>0.2t/a</w:t>
            </w:r>
          </w:p>
        </w:tc>
        <w:tc>
          <w:tcPr>
            <w:tcW w:w="1535" w:type="dxa"/>
            <w:tcBorders>
              <w:tl2br w:val="nil"/>
              <w:tr2bl w:val="nil"/>
            </w:tcBorders>
            <w:noWrap w:val="0"/>
            <w:vAlign w:val="center"/>
          </w:tcPr>
          <w:p>
            <w:pPr>
              <w:pStyle w:val="31"/>
              <w:bidi w:val="0"/>
              <w:rPr>
                <w:rFonts w:hint="eastAsia"/>
              </w:rPr>
            </w:pPr>
            <w:r>
              <w:rPr>
                <w:rFonts w:hint="eastAsia"/>
              </w:rPr>
              <w:t>/</w:t>
            </w:r>
          </w:p>
        </w:tc>
        <w:tc>
          <w:tcPr>
            <w:tcW w:w="1936"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kern w:val="2"/>
                <w:sz w:val="24"/>
                <w:szCs w:val="24"/>
                <w:lang w:val="en-US" w:eastAsia="zh-CN" w:bidi="ar-SA"/>
              </w:rPr>
            </w:pPr>
            <w:r>
              <w:rPr>
                <w:rFonts w:hint="eastAsia"/>
                <w:lang w:val="en-US" w:eastAsia="zh-CN"/>
              </w:rPr>
              <w:t>0.2t/a</w:t>
            </w:r>
          </w:p>
        </w:tc>
        <w:tc>
          <w:tcPr>
            <w:tcW w:w="1278"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kern w:val="2"/>
                <w:sz w:val="24"/>
                <w:szCs w:val="24"/>
                <w:lang w:val="en-US" w:eastAsia="zh-CN" w:bidi="ar-SA"/>
              </w:rPr>
            </w:pPr>
            <w:r>
              <w:rPr>
                <w:rFonts w:hint="eastAsia"/>
                <w:lang w:val="en-US" w:eastAsia="zh-CN"/>
              </w:rPr>
              <w:t>+0.2t/a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611" w:type="dxa"/>
            <w:vMerge w:val="continue"/>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lang w:val="en-US" w:eastAsia="zh-CN"/>
              </w:rPr>
            </w:pPr>
          </w:p>
        </w:tc>
        <w:tc>
          <w:tcPr>
            <w:tcW w:w="1439"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default"/>
                <w:lang w:val="en-US" w:eastAsia="zh-CN"/>
              </w:rPr>
            </w:pPr>
            <w:r>
              <w:rPr>
                <w:rFonts w:hint="eastAsia"/>
                <w:lang w:val="en-US" w:eastAsia="zh-CN"/>
              </w:rPr>
              <w:t>废含油劳保用品</w:t>
            </w:r>
          </w:p>
        </w:tc>
        <w:tc>
          <w:tcPr>
            <w:tcW w:w="1727"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default"/>
                <w:lang w:val="en-US" w:eastAsia="zh-CN"/>
              </w:rPr>
            </w:pPr>
            <w:r>
              <w:rPr>
                <w:rFonts w:hint="eastAsia"/>
                <w:lang w:val="en-US" w:eastAsia="zh-CN"/>
              </w:rPr>
              <w:t>/</w:t>
            </w:r>
          </w:p>
        </w:tc>
        <w:tc>
          <w:tcPr>
            <w:tcW w:w="1295"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default"/>
                <w:lang w:val="en-US" w:eastAsia="zh-CN"/>
              </w:rPr>
            </w:pPr>
            <w:r>
              <w:rPr>
                <w:rFonts w:hint="eastAsia"/>
                <w:lang w:val="en-US" w:eastAsia="zh-CN"/>
              </w:rPr>
              <w:t>/</w:t>
            </w:r>
          </w:p>
        </w:tc>
        <w:tc>
          <w:tcPr>
            <w:tcW w:w="1727"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default"/>
                <w:lang w:val="en-US" w:eastAsia="zh-CN"/>
              </w:rPr>
            </w:pPr>
            <w:r>
              <w:rPr>
                <w:rFonts w:hint="eastAsia"/>
                <w:lang w:val="en-US" w:eastAsia="zh-CN"/>
              </w:rPr>
              <w:t>/</w:t>
            </w:r>
          </w:p>
        </w:tc>
        <w:tc>
          <w:tcPr>
            <w:tcW w:w="1583"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default"/>
                <w:lang w:val="en-US" w:eastAsia="zh-CN"/>
              </w:rPr>
            </w:pPr>
            <w:r>
              <w:rPr>
                <w:rFonts w:hint="eastAsia"/>
                <w:lang w:val="en-US" w:eastAsia="zh-CN"/>
              </w:rPr>
              <w:t>0.02t/a</w:t>
            </w:r>
          </w:p>
        </w:tc>
        <w:tc>
          <w:tcPr>
            <w:tcW w:w="1535" w:type="dxa"/>
            <w:tcBorders>
              <w:tl2br w:val="nil"/>
              <w:tr2bl w:val="nil"/>
            </w:tcBorders>
            <w:noWrap w:val="0"/>
            <w:vAlign w:val="center"/>
          </w:tcPr>
          <w:p>
            <w:pPr>
              <w:pStyle w:val="31"/>
              <w:bidi w:val="0"/>
              <w:rPr>
                <w:rFonts w:hint="eastAsia" w:eastAsia="宋体"/>
                <w:lang w:val="en-US" w:eastAsia="zh-CN"/>
              </w:rPr>
            </w:pPr>
            <w:r>
              <w:rPr>
                <w:rFonts w:hint="eastAsia"/>
                <w:lang w:val="en-US" w:eastAsia="zh-CN"/>
              </w:rPr>
              <w:t>/</w:t>
            </w:r>
          </w:p>
        </w:tc>
        <w:tc>
          <w:tcPr>
            <w:tcW w:w="1936"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kern w:val="2"/>
                <w:sz w:val="24"/>
                <w:szCs w:val="24"/>
                <w:lang w:val="en-US" w:eastAsia="zh-CN" w:bidi="ar-SA"/>
              </w:rPr>
            </w:pPr>
            <w:r>
              <w:rPr>
                <w:rFonts w:hint="eastAsia"/>
                <w:lang w:val="en-US" w:eastAsia="zh-CN"/>
              </w:rPr>
              <w:t>0.02t/a</w:t>
            </w:r>
          </w:p>
        </w:tc>
        <w:tc>
          <w:tcPr>
            <w:tcW w:w="1278" w:type="dxa"/>
            <w:tcBorders>
              <w:tl2br w:val="nil"/>
              <w:tr2bl w:val="nil"/>
            </w:tcBorders>
            <w:noWrap w:val="0"/>
            <w:vAlign w:val="center"/>
          </w:tcPr>
          <w:p>
            <w:pPr>
              <w:pStyle w:val="31"/>
              <w:keepNext w:val="0"/>
              <w:keepLines w:val="0"/>
              <w:suppressLineNumbers w:val="0"/>
              <w:bidi w:val="0"/>
              <w:spacing w:before="0" w:beforeAutospacing="0" w:after="0" w:afterAutospacing="0"/>
              <w:ind w:left="0" w:leftChars="0" w:right="0" w:rightChars="0" w:firstLine="0" w:firstLineChars="0"/>
              <w:rPr>
                <w:rFonts w:hint="eastAsia" w:ascii="Times New Roman" w:hAnsi="Times New Roman" w:eastAsia="宋体" w:cs="Times New Roman"/>
                <w:kern w:val="2"/>
                <w:sz w:val="24"/>
                <w:szCs w:val="24"/>
                <w:lang w:val="en-US" w:eastAsia="zh-CN" w:bidi="ar-SA"/>
              </w:rPr>
            </w:pPr>
            <w:r>
              <w:rPr>
                <w:rFonts w:hint="eastAsia"/>
                <w:lang w:val="en-US" w:eastAsia="zh-CN"/>
              </w:rPr>
              <w:t>+0.02t/a</w:t>
            </w:r>
          </w:p>
        </w:tc>
      </w:tr>
    </w:tbl>
    <w:p>
      <w:pPr>
        <w:bidi w:val="0"/>
        <w:rPr>
          <w:color w:val="000000" w:themeColor="text1"/>
          <w14:textFill>
            <w14:solidFill>
              <w14:schemeClr w14:val="tx1"/>
            </w14:solidFill>
          </w14:textFill>
        </w:rPr>
      </w:pPr>
      <w:r>
        <w:rPr>
          <w:color w:val="000000" w:themeColor="text1"/>
          <w14:textFill>
            <w14:solidFill>
              <w14:schemeClr w14:val="tx1"/>
            </w14:solidFill>
          </w14:textFill>
        </w:rPr>
        <w:t>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6 \* GB3 \* MERGEFORMAT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⑥</w: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1 \* GB3 \* MERGEFORMAT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①</w: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3 \* GB3 \* MERGEFORMAT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③</w: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4 \* GB3 \* MERGEFORMAT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④</w: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5 \* GB3 \* MERGEFORMAT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⑤</w: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7 \* GB3 \* MERGEFORMAT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⑦</w: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6 \* GB3 \* MERGEFORMAT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⑥</w: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 1 \* GB3 \* MERGEFORMAT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①</w:t>
      </w:r>
      <w:r>
        <w:rPr>
          <w:color w:val="000000" w:themeColor="text1"/>
          <w14:textFill>
            <w14:solidFill>
              <w14:schemeClr w14:val="tx1"/>
            </w14:solidFill>
          </w14:textFill>
        </w:rPr>
        <w:fldChar w:fldCharType="end"/>
      </w:r>
    </w:p>
    <w:p>
      <w:pPr>
        <w:rPr>
          <w:color w:val="000000" w:themeColor="text1"/>
          <w14:textFill>
            <w14:solidFill>
              <w14:schemeClr w14:val="tx1"/>
            </w14:solidFill>
          </w14:textFill>
        </w:rPr>
      </w:pPr>
    </w:p>
    <w:sectPr>
      <w:footerReference r:id="rId8"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script"/>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方正书宋">
    <w:altName w:val="宋体"/>
    <w:panose1 w:val="00000000000000000000"/>
    <w:charset w:val="86"/>
    <w:family w:val="script"/>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6"/>
      </w:rPr>
    </w:pPr>
    <w:r>
      <w:fldChar w:fldCharType="begin"/>
    </w:r>
    <w:r>
      <w:rPr>
        <w:rStyle w:val="26"/>
      </w:rPr>
      <w:instrText xml:space="preserve">PAGE  </w:instrText>
    </w:r>
    <w:r>
      <w:fldChar w:fldCharType="end"/>
    </w:r>
  </w:p>
  <w:p>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Style w:val="26"/>
        <w:rFonts w:ascii="宋体" w:hAnsi="宋体"/>
        <w:sz w:val="26"/>
        <w:szCs w:val="26"/>
      </w:rPr>
      <w:fldChar w:fldCharType="begin"/>
    </w:r>
    <w:r>
      <w:rPr>
        <w:rStyle w:val="26"/>
        <w:rFonts w:ascii="宋体" w:hAnsi="宋体"/>
        <w:sz w:val="26"/>
        <w:szCs w:val="26"/>
      </w:rPr>
      <w:instrText xml:space="preserve">PAGE  </w:instrText>
    </w:r>
    <w:r>
      <w:rPr>
        <w:rStyle w:val="26"/>
        <w:rFonts w:ascii="宋体" w:hAnsi="宋体"/>
        <w:sz w:val="26"/>
        <w:szCs w:val="26"/>
      </w:rPr>
      <w:fldChar w:fldCharType="separate"/>
    </w:r>
    <w:r>
      <w:rPr>
        <w:rStyle w:val="26"/>
        <w:rFonts w:ascii="宋体" w:hAnsi="宋体"/>
        <w:sz w:val="26"/>
        <w:szCs w:val="26"/>
      </w:rPr>
      <w:t>9</w:t>
    </w:r>
    <w:r>
      <w:rPr>
        <w:rStyle w:val="26"/>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p>
    <w:pPr>
      <w:pStyle w:val="19"/>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Style w:val="26"/>
        <w:rFonts w:ascii="宋体" w:hAnsi="宋体"/>
        <w:sz w:val="26"/>
        <w:szCs w:val="26"/>
      </w:rPr>
      <w:fldChar w:fldCharType="begin"/>
    </w:r>
    <w:r>
      <w:rPr>
        <w:rStyle w:val="26"/>
        <w:rFonts w:ascii="宋体" w:hAnsi="宋体"/>
        <w:sz w:val="26"/>
        <w:szCs w:val="26"/>
      </w:rPr>
      <w:instrText xml:space="preserve">PAGE  </w:instrText>
    </w:r>
    <w:r>
      <w:rPr>
        <w:rStyle w:val="26"/>
        <w:rFonts w:ascii="宋体" w:hAnsi="宋体"/>
        <w:sz w:val="26"/>
        <w:szCs w:val="26"/>
      </w:rPr>
      <w:fldChar w:fldCharType="separate"/>
    </w:r>
    <w:r>
      <w:rPr>
        <w:rStyle w:val="26"/>
        <w:rFonts w:ascii="宋体" w:hAnsi="宋体"/>
        <w:sz w:val="26"/>
        <w:szCs w:val="26"/>
      </w:rPr>
      <w:t>11</w:t>
    </w:r>
    <w:r>
      <w:rPr>
        <w:rStyle w:val="26"/>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p>
    <w:pPr>
      <w:pStyle w:val="19"/>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BAD55"/>
    <w:multiLevelType w:val="singleLevel"/>
    <w:tmpl w:val="AAEBAD55"/>
    <w:lvl w:ilvl="0" w:tentative="0">
      <w:start w:val="1"/>
      <w:numFmt w:val="decimal"/>
      <w:suff w:val="space"/>
      <w:lvlText w:val="%1."/>
      <w:lvlJc w:val="left"/>
    </w:lvl>
  </w:abstractNum>
  <w:abstractNum w:abstractNumId="1">
    <w:nsid w:val="AD138531"/>
    <w:multiLevelType w:val="singleLevel"/>
    <w:tmpl w:val="AD138531"/>
    <w:lvl w:ilvl="0" w:tentative="0">
      <w:start w:val="1"/>
      <w:numFmt w:val="decimal"/>
      <w:suff w:val="nothing"/>
      <w:lvlText w:val="（%1）"/>
      <w:lvlJc w:val="left"/>
      <w:pPr>
        <w:ind w:left="-240"/>
      </w:pPr>
    </w:lvl>
  </w:abstractNum>
  <w:abstractNum w:abstractNumId="2">
    <w:nsid w:val="E1EFAA68"/>
    <w:multiLevelType w:val="singleLevel"/>
    <w:tmpl w:val="E1EFAA68"/>
    <w:lvl w:ilvl="0" w:tentative="0">
      <w:start w:val="1"/>
      <w:numFmt w:val="decimal"/>
      <w:suff w:val="space"/>
      <w:lvlText w:val="%1."/>
      <w:lvlJc w:val="left"/>
      <w:rPr>
        <w:rFonts w:hint="default"/>
        <w:b/>
        <w:bCs/>
      </w:rPr>
    </w:lvl>
  </w:abstractNum>
  <w:abstractNum w:abstractNumId="3">
    <w:nsid w:val="E2A0C75D"/>
    <w:multiLevelType w:val="singleLevel"/>
    <w:tmpl w:val="E2A0C75D"/>
    <w:lvl w:ilvl="0" w:tentative="0">
      <w:start w:val="1"/>
      <w:numFmt w:val="decimal"/>
      <w:suff w:val="nothing"/>
      <w:lvlText w:val="%1）"/>
      <w:lvlJc w:val="left"/>
    </w:lvl>
  </w:abstractNum>
  <w:abstractNum w:abstractNumId="4">
    <w:nsid w:val="28A9190D"/>
    <w:multiLevelType w:val="singleLevel"/>
    <w:tmpl w:val="28A9190D"/>
    <w:lvl w:ilvl="0" w:tentative="0">
      <w:start w:val="1"/>
      <w:numFmt w:val="decimal"/>
      <w:lvlText w:val="%1."/>
      <w:lvlJc w:val="left"/>
      <w:pPr>
        <w:tabs>
          <w:tab w:val="left" w:pos="312"/>
        </w:tabs>
      </w:pPr>
    </w:lvl>
  </w:abstractNum>
  <w:abstractNum w:abstractNumId="5">
    <w:nsid w:val="5DBE01FF"/>
    <w:multiLevelType w:val="singleLevel"/>
    <w:tmpl w:val="5DBE01FF"/>
    <w:lvl w:ilvl="0" w:tentative="0">
      <w:start w:val="5"/>
      <w:numFmt w:val="decimal"/>
      <w:suff w:val="nothing"/>
      <w:lvlText w:val="（%1）"/>
      <w:lvlJc w:val="left"/>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MzY4NTVmNWNkM2FiOTE3MzcxMWViN2E1MTkyMzYifQ=="/>
  </w:docVars>
  <w:rsids>
    <w:rsidRoot w:val="00172A27"/>
    <w:rsid w:val="000147D9"/>
    <w:rsid w:val="0004654E"/>
    <w:rsid w:val="00167BB9"/>
    <w:rsid w:val="00191BCA"/>
    <w:rsid w:val="001E4EF0"/>
    <w:rsid w:val="002F6325"/>
    <w:rsid w:val="00321D6D"/>
    <w:rsid w:val="00397945"/>
    <w:rsid w:val="00465DFA"/>
    <w:rsid w:val="00496DA9"/>
    <w:rsid w:val="00605262"/>
    <w:rsid w:val="006B1BC7"/>
    <w:rsid w:val="006B6FEB"/>
    <w:rsid w:val="00A87C3C"/>
    <w:rsid w:val="00B43AD3"/>
    <w:rsid w:val="00B82534"/>
    <w:rsid w:val="00B91921"/>
    <w:rsid w:val="00BD0017"/>
    <w:rsid w:val="00BD1A02"/>
    <w:rsid w:val="00C04879"/>
    <w:rsid w:val="00C847DB"/>
    <w:rsid w:val="00CB77BE"/>
    <w:rsid w:val="00CC2566"/>
    <w:rsid w:val="00D068D4"/>
    <w:rsid w:val="00DD25BA"/>
    <w:rsid w:val="010278F1"/>
    <w:rsid w:val="012034EE"/>
    <w:rsid w:val="012A61F9"/>
    <w:rsid w:val="013123EA"/>
    <w:rsid w:val="013A380F"/>
    <w:rsid w:val="013C3811"/>
    <w:rsid w:val="014C2F2B"/>
    <w:rsid w:val="014E3B46"/>
    <w:rsid w:val="01506096"/>
    <w:rsid w:val="016A0744"/>
    <w:rsid w:val="016F3782"/>
    <w:rsid w:val="017260BD"/>
    <w:rsid w:val="017D3F2F"/>
    <w:rsid w:val="01B14C06"/>
    <w:rsid w:val="01B26933"/>
    <w:rsid w:val="01B63DBD"/>
    <w:rsid w:val="01BB654C"/>
    <w:rsid w:val="01BC657B"/>
    <w:rsid w:val="01D80232"/>
    <w:rsid w:val="01DA45F4"/>
    <w:rsid w:val="01E52387"/>
    <w:rsid w:val="02023516"/>
    <w:rsid w:val="021D44D2"/>
    <w:rsid w:val="0220248A"/>
    <w:rsid w:val="02337D11"/>
    <w:rsid w:val="02362FD7"/>
    <w:rsid w:val="0236792E"/>
    <w:rsid w:val="023840EE"/>
    <w:rsid w:val="0238428C"/>
    <w:rsid w:val="023B57CC"/>
    <w:rsid w:val="023B6A70"/>
    <w:rsid w:val="024445C2"/>
    <w:rsid w:val="0245400A"/>
    <w:rsid w:val="02461B10"/>
    <w:rsid w:val="02615066"/>
    <w:rsid w:val="02674B74"/>
    <w:rsid w:val="026D3C2B"/>
    <w:rsid w:val="02751738"/>
    <w:rsid w:val="027878F8"/>
    <w:rsid w:val="028817EF"/>
    <w:rsid w:val="028C04A1"/>
    <w:rsid w:val="029752A8"/>
    <w:rsid w:val="029B37FC"/>
    <w:rsid w:val="029D4DF6"/>
    <w:rsid w:val="02A417EE"/>
    <w:rsid w:val="02A43777"/>
    <w:rsid w:val="02A80DC2"/>
    <w:rsid w:val="02BF3FA0"/>
    <w:rsid w:val="02C060B9"/>
    <w:rsid w:val="02C448A4"/>
    <w:rsid w:val="02FB3990"/>
    <w:rsid w:val="02FE2125"/>
    <w:rsid w:val="0303413F"/>
    <w:rsid w:val="03047A4D"/>
    <w:rsid w:val="031343EC"/>
    <w:rsid w:val="031D164D"/>
    <w:rsid w:val="032F4042"/>
    <w:rsid w:val="03351867"/>
    <w:rsid w:val="034D3E2F"/>
    <w:rsid w:val="03561212"/>
    <w:rsid w:val="037E0773"/>
    <w:rsid w:val="038A77E3"/>
    <w:rsid w:val="03AC0796"/>
    <w:rsid w:val="03AE004F"/>
    <w:rsid w:val="03D645DB"/>
    <w:rsid w:val="040078E1"/>
    <w:rsid w:val="04070192"/>
    <w:rsid w:val="04124C62"/>
    <w:rsid w:val="0414147C"/>
    <w:rsid w:val="04262ABB"/>
    <w:rsid w:val="04343C09"/>
    <w:rsid w:val="04411927"/>
    <w:rsid w:val="04446979"/>
    <w:rsid w:val="04536C4A"/>
    <w:rsid w:val="04561706"/>
    <w:rsid w:val="045C05A4"/>
    <w:rsid w:val="04675A50"/>
    <w:rsid w:val="046D67FA"/>
    <w:rsid w:val="046E3282"/>
    <w:rsid w:val="04805758"/>
    <w:rsid w:val="048A277C"/>
    <w:rsid w:val="049D7063"/>
    <w:rsid w:val="04A5067D"/>
    <w:rsid w:val="04B3652C"/>
    <w:rsid w:val="04B6105E"/>
    <w:rsid w:val="04E11AE8"/>
    <w:rsid w:val="04E409CB"/>
    <w:rsid w:val="04E5452B"/>
    <w:rsid w:val="04F25A48"/>
    <w:rsid w:val="05107304"/>
    <w:rsid w:val="05264A13"/>
    <w:rsid w:val="052851DF"/>
    <w:rsid w:val="052D4220"/>
    <w:rsid w:val="053258F8"/>
    <w:rsid w:val="0534543F"/>
    <w:rsid w:val="053826AB"/>
    <w:rsid w:val="05391FF9"/>
    <w:rsid w:val="05432F8B"/>
    <w:rsid w:val="05526FF1"/>
    <w:rsid w:val="05552737"/>
    <w:rsid w:val="05592F00"/>
    <w:rsid w:val="057C17E6"/>
    <w:rsid w:val="057C19CF"/>
    <w:rsid w:val="05850F2F"/>
    <w:rsid w:val="058C0881"/>
    <w:rsid w:val="059306FE"/>
    <w:rsid w:val="05AA2ACF"/>
    <w:rsid w:val="05B62096"/>
    <w:rsid w:val="05C0366A"/>
    <w:rsid w:val="05D34765"/>
    <w:rsid w:val="05D61894"/>
    <w:rsid w:val="05E802A2"/>
    <w:rsid w:val="06014778"/>
    <w:rsid w:val="06181769"/>
    <w:rsid w:val="061F6226"/>
    <w:rsid w:val="0625706C"/>
    <w:rsid w:val="062A1AC9"/>
    <w:rsid w:val="063D1B45"/>
    <w:rsid w:val="064F6DEE"/>
    <w:rsid w:val="069210E0"/>
    <w:rsid w:val="06A35161"/>
    <w:rsid w:val="06A62B70"/>
    <w:rsid w:val="06AB4193"/>
    <w:rsid w:val="06B316BF"/>
    <w:rsid w:val="06D772C3"/>
    <w:rsid w:val="06DD2CBC"/>
    <w:rsid w:val="06DE4DA7"/>
    <w:rsid w:val="06E07FC3"/>
    <w:rsid w:val="06E41F9D"/>
    <w:rsid w:val="06EE0224"/>
    <w:rsid w:val="06FE6B3F"/>
    <w:rsid w:val="0705755F"/>
    <w:rsid w:val="07180878"/>
    <w:rsid w:val="0722497F"/>
    <w:rsid w:val="073207C6"/>
    <w:rsid w:val="07401962"/>
    <w:rsid w:val="07422592"/>
    <w:rsid w:val="075C0DDA"/>
    <w:rsid w:val="076C542B"/>
    <w:rsid w:val="078A1DAA"/>
    <w:rsid w:val="078E651F"/>
    <w:rsid w:val="0795752F"/>
    <w:rsid w:val="07973016"/>
    <w:rsid w:val="07A46236"/>
    <w:rsid w:val="07A71A9E"/>
    <w:rsid w:val="07EA2C20"/>
    <w:rsid w:val="082029F1"/>
    <w:rsid w:val="082A33EF"/>
    <w:rsid w:val="08403721"/>
    <w:rsid w:val="08480D5B"/>
    <w:rsid w:val="084F7E3C"/>
    <w:rsid w:val="08513882"/>
    <w:rsid w:val="08562B47"/>
    <w:rsid w:val="086724C2"/>
    <w:rsid w:val="08695AD1"/>
    <w:rsid w:val="087A4509"/>
    <w:rsid w:val="088868F1"/>
    <w:rsid w:val="088E79E7"/>
    <w:rsid w:val="08925C20"/>
    <w:rsid w:val="08971CA8"/>
    <w:rsid w:val="089D0F4B"/>
    <w:rsid w:val="08A44112"/>
    <w:rsid w:val="08A611AD"/>
    <w:rsid w:val="08A62A05"/>
    <w:rsid w:val="08B0415B"/>
    <w:rsid w:val="08B52852"/>
    <w:rsid w:val="08BF4AD1"/>
    <w:rsid w:val="08C71897"/>
    <w:rsid w:val="08F20D2D"/>
    <w:rsid w:val="08FE5A4F"/>
    <w:rsid w:val="090353AE"/>
    <w:rsid w:val="0907136B"/>
    <w:rsid w:val="092B3CDF"/>
    <w:rsid w:val="09320D22"/>
    <w:rsid w:val="093C3B6F"/>
    <w:rsid w:val="094740E3"/>
    <w:rsid w:val="096F07E1"/>
    <w:rsid w:val="097F6983"/>
    <w:rsid w:val="09823B33"/>
    <w:rsid w:val="09CA4675"/>
    <w:rsid w:val="09D17005"/>
    <w:rsid w:val="09E95D21"/>
    <w:rsid w:val="09EE69CD"/>
    <w:rsid w:val="09F11142"/>
    <w:rsid w:val="09F23C5B"/>
    <w:rsid w:val="09FE5F94"/>
    <w:rsid w:val="0A032426"/>
    <w:rsid w:val="0A180200"/>
    <w:rsid w:val="0A2476ED"/>
    <w:rsid w:val="0A2E5767"/>
    <w:rsid w:val="0A3F75CC"/>
    <w:rsid w:val="0A4A7809"/>
    <w:rsid w:val="0A4C1405"/>
    <w:rsid w:val="0A4C7AB0"/>
    <w:rsid w:val="0A5B6057"/>
    <w:rsid w:val="0A675B6A"/>
    <w:rsid w:val="0A68463E"/>
    <w:rsid w:val="0A6A64DB"/>
    <w:rsid w:val="0A862219"/>
    <w:rsid w:val="0A960C91"/>
    <w:rsid w:val="0A992339"/>
    <w:rsid w:val="0AA36AC1"/>
    <w:rsid w:val="0ABC267C"/>
    <w:rsid w:val="0ABE363C"/>
    <w:rsid w:val="0AC77D0B"/>
    <w:rsid w:val="0AC9466E"/>
    <w:rsid w:val="0ADF0EBD"/>
    <w:rsid w:val="0AE546EE"/>
    <w:rsid w:val="0AE76FE3"/>
    <w:rsid w:val="0AEB6D7B"/>
    <w:rsid w:val="0AFF3764"/>
    <w:rsid w:val="0B094BE4"/>
    <w:rsid w:val="0B0977EC"/>
    <w:rsid w:val="0B130B92"/>
    <w:rsid w:val="0B440E03"/>
    <w:rsid w:val="0B4575CD"/>
    <w:rsid w:val="0B464F80"/>
    <w:rsid w:val="0B4E194C"/>
    <w:rsid w:val="0B4F4E4F"/>
    <w:rsid w:val="0B7005B2"/>
    <w:rsid w:val="0B865BFB"/>
    <w:rsid w:val="0B9945A5"/>
    <w:rsid w:val="0B9B675B"/>
    <w:rsid w:val="0BA57F66"/>
    <w:rsid w:val="0BDA2759"/>
    <w:rsid w:val="0BEF455D"/>
    <w:rsid w:val="0BF313A7"/>
    <w:rsid w:val="0C0B1171"/>
    <w:rsid w:val="0C142765"/>
    <w:rsid w:val="0C197F77"/>
    <w:rsid w:val="0C24055D"/>
    <w:rsid w:val="0C2B7717"/>
    <w:rsid w:val="0C345E3E"/>
    <w:rsid w:val="0C351AD9"/>
    <w:rsid w:val="0C405132"/>
    <w:rsid w:val="0C4C48B9"/>
    <w:rsid w:val="0C680218"/>
    <w:rsid w:val="0C7C5509"/>
    <w:rsid w:val="0C867380"/>
    <w:rsid w:val="0C871692"/>
    <w:rsid w:val="0C99643F"/>
    <w:rsid w:val="0C997307"/>
    <w:rsid w:val="0CA87B2B"/>
    <w:rsid w:val="0CAA75BE"/>
    <w:rsid w:val="0CBA3E4A"/>
    <w:rsid w:val="0CC25CC7"/>
    <w:rsid w:val="0CC778E1"/>
    <w:rsid w:val="0CCC2916"/>
    <w:rsid w:val="0CCE1E76"/>
    <w:rsid w:val="0CD50A3D"/>
    <w:rsid w:val="0CD805B7"/>
    <w:rsid w:val="0CDB5AB7"/>
    <w:rsid w:val="0CE037BB"/>
    <w:rsid w:val="0CE10742"/>
    <w:rsid w:val="0CE719B6"/>
    <w:rsid w:val="0CF31C0C"/>
    <w:rsid w:val="0CF81024"/>
    <w:rsid w:val="0D097FEC"/>
    <w:rsid w:val="0D0D5896"/>
    <w:rsid w:val="0D250B27"/>
    <w:rsid w:val="0D380E9B"/>
    <w:rsid w:val="0D426388"/>
    <w:rsid w:val="0D4D7CAF"/>
    <w:rsid w:val="0D5805DF"/>
    <w:rsid w:val="0D6574E0"/>
    <w:rsid w:val="0D6679B3"/>
    <w:rsid w:val="0D676F45"/>
    <w:rsid w:val="0D6A586F"/>
    <w:rsid w:val="0D726BF8"/>
    <w:rsid w:val="0D736D43"/>
    <w:rsid w:val="0D742827"/>
    <w:rsid w:val="0DB86D00"/>
    <w:rsid w:val="0DB95760"/>
    <w:rsid w:val="0DBF3617"/>
    <w:rsid w:val="0DD61D1C"/>
    <w:rsid w:val="0DE76810"/>
    <w:rsid w:val="0DF340AC"/>
    <w:rsid w:val="0DF70DE0"/>
    <w:rsid w:val="0DFE262E"/>
    <w:rsid w:val="0DFF076E"/>
    <w:rsid w:val="0E03529B"/>
    <w:rsid w:val="0E0C78D4"/>
    <w:rsid w:val="0E1E62AD"/>
    <w:rsid w:val="0E2A6808"/>
    <w:rsid w:val="0E416C87"/>
    <w:rsid w:val="0E5E7867"/>
    <w:rsid w:val="0E626DA3"/>
    <w:rsid w:val="0E662DBC"/>
    <w:rsid w:val="0E68465F"/>
    <w:rsid w:val="0E72396F"/>
    <w:rsid w:val="0E727040"/>
    <w:rsid w:val="0E74649F"/>
    <w:rsid w:val="0E770F85"/>
    <w:rsid w:val="0E7719CE"/>
    <w:rsid w:val="0E823E74"/>
    <w:rsid w:val="0E9C196D"/>
    <w:rsid w:val="0E9D4E11"/>
    <w:rsid w:val="0EAD22D6"/>
    <w:rsid w:val="0EBF6171"/>
    <w:rsid w:val="0EC93D20"/>
    <w:rsid w:val="0ECA5559"/>
    <w:rsid w:val="0EE177CC"/>
    <w:rsid w:val="0EF85A59"/>
    <w:rsid w:val="0EFC092A"/>
    <w:rsid w:val="0F2714E2"/>
    <w:rsid w:val="0F341ACE"/>
    <w:rsid w:val="0F3F109E"/>
    <w:rsid w:val="0F4B370C"/>
    <w:rsid w:val="0F601A19"/>
    <w:rsid w:val="0F6864E6"/>
    <w:rsid w:val="0F6B33C2"/>
    <w:rsid w:val="0F6F3325"/>
    <w:rsid w:val="0F74008A"/>
    <w:rsid w:val="0F9F22F6"/>
    <w:rsid w:val="0F9F3A3A"/>
    <w:rsid w:val="0FBB7C61"/>
    <w:rsid w:val="0FD945E6"/>
    <w:rsid w:val="0FDB4546"/>
    <w:rsid w:val="0FDE5D1E"/>
    <w:rsid w:val="0FF36CE1"/>
    <w:rsid w:val="0FF606FE"/>
    <w:rsid w:val="100A52D1"/>
    <w:rsid w:val="100C2934"/>
    <w:rsid w:val="101822F4"/>
    <w:rsid w:val="10233E13"/>
    <w:rsid w:val="10260D80"/>
    <w:rsid w:val="1050550B"/>
    <w:rsid w:val="105E7BAD"/>
    <w:rsid w:val="106879BE"/>
    <w:rsid w:val="106A4F2F"/>
    <w:rsid w:val="10705701"/>
    <w:rsid w:val="10740E1E"/>
    <w:rsid w:val="1095310E"/>
    <w:rsid w:val="10A03970"/>
    <w:rsid w:val="10B07A1C"/>
    <w:rsid w:val="10B46CF6"/>
    <w:rsid w:val="10B74D38"/>
    <w:rsid w:val="10B8235A"/>
    <w:rsid w:val="10BE7FC5"/>
    <w:rsid w:val="10CA193E"/>
    <w:rsid w:val="10D64689"/>
    <w:rsid w:val="10D67444"/>
    <w:rsid w:val="10E27FE1"/>
    <w:rsid w:val="10E30452"/>
    <w:rsid w:val="10F258B7"/>
    <w:rsid w:val="11183FB0"/>
    <w:rsid w:val="111B7051"/>
    <w:rsid w:val="11211C73"/>
    <w:rsid w:val="11377672"/>
    <w:rsid w:val="114C5CC7"/>
    <w:rsid w:val="115511D2"/>
    <w:rsid w:val="115D2B68"/>
    <w:rsid w:val="11634337"/>
    <w:rsid w:val="116B7B02"/>
    <w:rsid w:val="11814262"/>
    <w:rsid w:val="11901EAB"/>
    <w:rsid w:val="11A92E83"/>
    <w:rsid w:val="11B85C68"/>
    <w:rsid w:val="11B9116C"/>
    <w:rsid w:val="11D12E4A"/>
    <w:rsid w:val="11D733B3"/>
    <w:rsid w:val="11D7465A"/>
    <w:rsid w:val="11E00A7A"/>
    <w:rsid w:val="11E132E5"/>
    <w:rsid w:val="11E32D5A"/>
    <w:rsid w:val="11EC29A5"/>
    <w:rsid w:val="11EC599B"/>
    <w:rsid w:val="12055A0D"/>
    <w:rsid w:val="12116BA4"/>
    <w:rsid w:val="121954E2"/>
    <w:rsid w:val="12380AAD"/>
    <w:rsid w:val="123C576E"/>
    <w:rsid w:val="124A1DFD"/>
    <w:rsid w:val="12527D3F"/>
    <w:rsid w:val="12561BF2"/>
    <w:rsid w:val="12761FEF"/>
    <w:rsid w:val="127B7A1E"/>
    <w:rsid w:val="12902616"/>
    <w:rsid w:val="1299172A"/>
    <w:rsid w:val="129E494E"/>
    <w:rsid w:val="12A85FE0"/>
    <w:rsid w:val="12AA170A"/>
    <w:rsid w:val="12AE4B6E"/>
    <w:rsid w:val="12BF5BE0"/>
    <w:rsid w:val="12C85E91"/>
    <w:rsid w:val="12CE62DF"/>
    <w:rsid w:val="12D96D2A"/>
    <w:rsid w:val="12DB19BE"/>
    <w:rsid w:val="12E64DB6"/>
    <w:rsid w:val="12F613B8"/>
    <w:rsid w:val="12FF2068"/>
    <w:rsid w:val="12FF6745"/>
    <w:rsid w:val="13143247"/>
    <w:rsid w:val="13170EC4"/>
    <w:rsid w:val="132A6AB7"/>
    <w:rsid w:val="134A6CC7"/>
    <w:rsid w:val="13553FF6"/>
    <w:rsid w:val="135A794B"/>
    <w:rsid w:val="135B5D42"/>
    <w:rsid w:val="135F3C40"/>
    <w:rsid w:val="1365168B"/>
    <w:rsid w:val="13655850"/>
    <w:rsid w:val="13703313"/>
    <w:rsid w:val="13765F46"/>
    <w:rsid w:val="1378657B"/>
    <w:rsid w:val="13831B34"/>
    <w:rsid w:val="1385012B"/>
    <w:rsid w:val="139B38B8"/>
    <w:rsid w:val="13A71474"/>
    <w:rsid w:val="13B62550"/>
    <w:rsid w:val="13C64AD8"/>
    <w:rsid w:val="13E0059E"/>
    <w:rsid w:val="13FD4C8A"/>
    <w:rsid w:val="141352AC"/>
    <w:rsid w:val="1413795A"/>
    <w:rsid w:val="141D040F"/>
    <w:rsid w:val="14252942"/>
    <w:rsid w:val="142F2DCE"/>
    <w:rsid w:val="143019CF"/>
    <w:rsid w:val="14362009"/>
    <w:rsid w:val="143F5A20"/>
    <w:rsid w:val="146C5A3A"/>
    <w:rsid w:val="1471411F"/>
    <w:rsid w:val="14777074"/>
    <w:rsid w:val="1477787C"/>
    <w:rsid w:val="14787D0F"/>
    <w:rsid w:val="147A26E6"/>
    <w:rsid w:val="147F3A7F"/>
    <w:rsid w:val="148F420B"/>
    <w:rsid w:val="148F7FE1"/>
    <w:rsid w:val="14A00D23"/>
    <w:rsid w:val="14A22050"/>
    <w:rsid w:val="14BB7E85"/>
    <w:rsid w:val="14C931C4"/>
    <w:rsid w:val="14CC100C"/>
    <w:rsid w:val="14CF0845"/>
    <w:rsid w:val="14D11F26"/>
    <w:rsid w:val="14D9463D"/>
    <w:rsid w:val="14DF665D"/>
    <w:rsid w:val="14E167D1"/>
    <w:rsid w:val="14E40707"/>
    <w:rsid w:val="14F9163F"/>
    <w:rsid w:val="14FD6D12"/>
    <w:rsid w:val="14FE553C"/>
    <w:rsid w:val="14FF27F7"/>
    <w:rsid w:val="150D053F"/>
    <w:rsid w:val="152C1281"/>
    <w:rsid w:val="152F42D5"/>
    <w:rsid w:val="154320D5"/>
    <w:rsid w:val="15451410"/>
    <w:rsid w:val="15522305"/>
    <w:rsid w:val="155A5891"/>
    <w:rsid w:val="155B618F"/>
    <w:rsid w:val="156353A6"/>
    <w:rsid w:val="156772C9"/>
    <w:rsid w:val="156C46F9"/>
    <w:rsid w:val="156F170B"/>
    <w:rsid w:val="15713EBA"/>
    <w:rsid w:val="15721C91"/>
    <w:rsid w:val="15883D95"/>
    <w:rsid w:val="15A401D0"/>
    <w:rsid w:val="15AF45D8"/>
    <w:rsid w:val="15AF600C"/>
    <w:rsid w:val="15B20296"/>
    <w:rsid w:val="15B3308D"/>
    <w:rsid w:val="15B810CC"/>
    <w:rsid w:val="15C073B4"/>
    <w:rsid w:val="15C6392F"/>
    <w:rsid w:val="16014378"/>
    <w:rsid w:val="16032224"/>
    <w:rsid w:val="1606170D"/>
    <w:rsid w:val="16125C47"/>
    <w:rsid w:val="161B1B00"/>
    <w:rsid w:val="16225C7A"/>
    <w:rsid w:val="16303724"/>
    <w:rsid w:val="16492E7C"/>
    <w:rsid w:val="16506643"/>
    <w:rsid w:val="165D39AF"/>
    <w:rsid w:val="16666275"/>
    <w:rsid w:val="1672090C"/>
    <w:rsid w:val="167B46CF"/>
    <w:rsid w:val="16873D30"/>
    <w:rsid w:val="169F044C"/>
    <w:rsid w:val="16AB4020"/>
    <w:rsid w:val="16B3196E"/>
    <w:rsid w:val="16B703D3"/>
    <w:rsid w:val="16C52A59"/>
    <w:rsid w:val="16C6586E"/>
    <w:rsid w:val="16E32BFA"/>
    <w:rsid w:val="16EF1836"/>
    <w:rsid w:val="16F53F17"/>
    <w:rsid w:val="16FE3FF2"/>
    <w:rsid w:val="1702230F"/>
    <w:rsid w:val="170603BA"/>
    <w:rsid w:val="17062D6E"/>
    <w:rsid w:val="17154F2E"/>
    <w:rsid w:val="173207AB"/>
    <w:rsid w:val="173475F8"/>
    <w:rsid w:val="174E14E7"/>
    <w:rsid w:val="1752680F"/>
    <w:rsid w:val="17614581"/>
    <w:rsid w:val="1765769D"/>
    <w:rsid w:val="17691C53"/>
    <w:rsid w:val="176D59E2"/>
    <w:rsid w:val="178A0EFE"/>
    <w:rsid w:val="17BA14D9"/>
    <w:rsid w:val="17BB2949"/>
    <w:rsid w:val="17BF47FA"/>
    <w:rsid w:val="17D01531"/>
    <w:rsid w:val="17D35BAE"/>
    <w:rsid w:val="17F04282"/>
    <w:rsid w:val="17F4044F"/>
    <w:rsid w:val="17F8079D"/>
    <w:rsid w:val="17FA27F7"/>
    <w:rsid w:val="180715CC"/>
    <w:rsid w:val="1807773C"/>
    <w:rsid w:val="1808792F"/>
    <w:rsid w:val="1842226D"/>
    <w:rsid w:val="184417E1"/>
    <w:rsid w:val="185A6035"/>
    <w:rsid w:val="18664544"/>
    <w:rsid w:val="186C0DA9"/>
    <w:rsid w:val="18711B20"/>
    <w:rsid w:val="18761366"/>
    <w:rsid w:val="188036B9"/>
    <w:rsid w:val="18866F75"/>
    <w:rsid w:val="188B632A"/>
    <w:rsid w:val="189E3436"/>
    <w:rsid w:val="18A27931"/>
    <w:rsid w:val="18A37B0A"/>
    <w:rsid w:val="18B66740"/>
    <w:rsid w:val="18CB538D"/>
    <w:rsid w:val="18D17436"/>
    <w:rsid w:val="18D92ABF"/>
    <w:rsid w:val="18F67AEF"/>
    <w:rsid w:val="18F9603D"/>
    <w:rsid w:val="19023952"/>
    <w:rsid w:val="19031679"/>
    <w:rsid w:val="190601FA"/>
    <w:rsid w:val="193A518B"/>
    <w:rsid w:val="1945200E"/>
    <w:rsid w:val="19480DD1"/>
    <w:rsid w:val="19566C52"/>
    <w:rsid w:val="198405C7"/>
    <w:rsid w:val="198832AB"/>
    <w:rsid w:val="199B560C"/>
    <w:rsid w:val="199C675B"/>
    <w:rsid w:val="19A22BA5"/>
    <w:rsid w:val="19CB3919"/>
    <w:rsid w:val="19D04BE7"/>
    <w:rsid w:val="19E27C6F"/>
    <w:rsid w:val="19FF5724"/>
    <w:rsid w:val="1A1D5079"/>
    <w:rsid w:val="1A1D5A61"/>
    <w:rsid w:val="1A366D3F"/>
    <w:rsid w:val="1A446BE7"/>
    <w:rsid w:val="1A49632D"/>
    <w:rsid w:val="1A4A141E"/>
    <w:rsid w:val="1A5B22AE"/>
    <w:rsid w:val="1A6503E1"/>
    <w:rsid w:val="1A6D403D"/>
    <w:rsid w:val="1A785789"/>
    <w:rsid w:val="1A7B6DD2"/>
    <w:rsid w:val="1A7C6A43"/>
    <w:rsid w:val="1A8716F1"/>
    <w:rsid w:val="1A894390"/>
    <w:rsid w:val="1AA33815"/>
    <w:rsid w:val="1AA57407"/>
    <w:rsid w:val="1AA6031B"/>
    <w:rsid w:val="1AAB7D59"/>
    <w:rsid w:val="1AB55B4A"/>
    <w:rsid w:val="1ABE44E1"/>
    <w:rsid w:val="1AC16DF0"/>
    <w:rsid w:val="1ACD01F8"/>
    <w:rsid w:val="1ACD5D43"/>
    <w:rsid w:val="1AD970B6"/>
    <w:rsid w:val="1AEC78B5"/>
    <w:rsid w:val="1AEE14F9"/>
    <w:rsid w:val="1AF409D2"/>
    <w:rsid w:val="1AF9605B"/>
    <w:rsid w:val="1AFE18C3"/>
    <w:rsid w:val="1AFE5B0D"/>
    <w:rsid w:val="1B1F1F9E"/>
    <w:rsid w:val="1B225214"/>
    <w:rsid w:val="1B453AC8"/>
    <w:rsid w:val="1B611C0F"/>
    <w:rsid w:val="1B6B55A2"/>
    <w:rsid w:val="1B7C321B"/>
    <w:rsid w:val="1B993D82"/>
    <w:rsid w:val="1B9C1DDD"/>
    <w:rsid w:val="1B9F4AC8"/>
    <w:rsid w:val="1BA743AF"/>
    <w:rsid w:val="1BAB04C0"/>
    <w:rsid w:val="1BB36082"/>
    <w:rsid w:val="1BB96091"/>
    <w:rsid w:val="1BC03695"/>
    <w:rsid w:val="1BC13B92"/>
    <w:rsid w:val="1BCA18BD"/>
    <w:rsid w:val="1BD731F9"/>
    <w:rsid w:val="1BD74BD3"/>
    <w:rsid w:val="1BD9794E"/>
    <w:rsid w:val="1BEE6D2B"/>
    <w:rsid w:val="1BF252DD"/>
    <w:rsid w:val="1BF84BA4"/>
    <w:rsid w:val="1C1A5A5A"/>
    <w:rsid w:val="1C214A07"/>
    <w:rsid w:val="1C343B42"/>
    <w:rsid w:val="1C397883"/>
    <w:rsid w:val="1C3A0DDA"/>
    <w:rsid w:val="1C3F4A16"/>
    <w:rsid w:val="1C5974D8"/>
    <w:rsid w:val="1C5E6505"/>
    <w:rsid w:val="1C6B5B8E"/>
    <w:rsid w:val="1C775311"/>
    <w:rsid w:val="1C7B6EBF"/>
    <w:rsid w:val="1C89415D"/>
    <w:rsid w:val="1C910FD5"/>
    <w:rsid w:val="1C965E50"/>
    <w:rsid w:val="1C99371C"/>
    <w:rsid w:val="1CAB7CA6"/>
    <w:rsid w:val="1CB616D7"/>
    <w:rsid w:val="1CBF1F8B"/>
    <w:rsid w:val="1CC37DFC"/>
    <w:rsid w:val="1CCF139A"/>
    <w:rsid w:val="1CDB284F"/>
    <w:rsid w:val="1CF21341"/>
    <w:rsid w:val="1CF561B6"/>
    <w:rsid w:val="1D1E3399"/>
    <w:rsid w:val="1D1E5F93"/>
    <w:rsid w:val="1D290C9C"/>
    <w:rsid w:val="1D2B3E31"/>
    <w:rsid w:val="1D4B6FBF"/>
    <w:rsid w:val="1D6C0F0C"/>
    <w:rsid w:val="1D812E46"/>
    <w:rsid w:val="1D81597C"/>
    <w:rsid w:val="1D82304D"/>
    <w:rsid w:val="1D8446E0"/>
    <w:rsid w:val="1D894B42"/>
    <w:rsid w:val="1DA1116D"/>
    <w:rsid w:val="1DAB5747"/>
    <w:rsid w:val="1DAD15B2"/>
    <w:rsid w:val="1DCF4830"/>
    <w:rsid w:val="1DDB4E68"/>
    <w:rsid w:val="1E253813"/>
    <w:rsid w:val="1E3F592D"/>
    <w:rsid w:val="1E4A2909"/>
    <w:rsid w:val="1E5D5A62"/>
    <w:rsid w:val="1E5E606E"/>
    <w:rsid w:val="1E670F2B"/>
    <w:rsid w:val="1E673396"/>
    <w:rsid w:val="1E6935FA"/>
    <w:rsid w:val="1E8C28F1"/>
    <w:rsid w:val="1E9148CC"/>
    <w:rsid w:val="1E945887"/>
    <w:rsid w:val="1EB03538"/>
    <w:rsid w:val="1EC26E95"/>
    <w:rsid w:val="1ECE27F0"/>
    <w:rsid w:val="1EDA61D4"/>
    <w:rsid w:val="1EE03804"/>
    <w:rsid w:val="1EE241F9"/>
    <w:rsid w:val="1EEF3F4C"/>
    <w:rsid w:val="1EFB7493"/>
    <w:rsid w:val="1F0423C1"/>
    <w:rsid w:val="1F0E56BD"/>
    <w:rsid w:val="1F21162C"/>
    <w:rsid w:val="1F2234C1"/>
    <w:rsid w:val="1F250D16"/>
    <w:rsid w:val="1F3047A2"/>
    <w:rsid w:val="1F356C44"/>
    <w:rsid w:val="1F361B51"/>
    <w:rsid w:val="1F57240A"/>
    <w:rsid w:val="1F5E2622"/>
    <w:rsid w:val="1F7B1706"/>
    <w:rsid w:val="1F876F39"/>
    <w:rsid w:val="1F992B2D"/>
    <w:rsid w:val="1F9A4F1A"/>
    <w:rsid w:val="1FAC0899"/>
    <w:rsid w:val="1FAC0911"/>
    <w:rsid w:val="1FBB4FAD"/>
    <w:rsid w:val="1FC11F70"/>
    <w:rsid w:val="1FC522DC"/>
    <w:rsid w:val="1FD12119"/>
    <w:rsid w:val="1FD158CD"/>
    <w:rsid w:val="1FE04101"/>
    <w:rsid w:val="1FEA1809"/>
    <w:rsid w:val="1FEC71FF"/>
    <w:rsid w:val="1FF21B11"/>
    <w:rsid w:val="1FF87A2A"/>
    <w:rsid w:val="1FFB7983"/>
    <w:rsid w:val="1FFF7011"/>
    <w:rsid w:val="20076C90"/>
    <w:rsid w:val="200A1260"/>
    <w:rsid w:val="201271F0"/>
    <w:rsid w:val="201E5074"/>
    <w:rsid w:val="201F6BD6"/>
    <w:rsid w:val="20230F6D"/>
    <w:rsid w:val="202428E3"/>
    <w:rsid w:val="20306DA0"/>
    <w:rsid w:val="203D12D6"/>
    <w:rsid w:val="204506D8"/>
    <w:rsid w:val="204D08E2"/>
    <w:rsid w:val="20747307"/>
    <w:rsid w:val="207F37B6"/>
    <w:rsid w:val="209F4F70"/>
    <w:rsid w:val="20A76959"/>
    <w:rsid w:val="20A81BB8"/>
    <w:rsid w:val="20AE6AE4"/>
    <w:rsid w:val="20C004F4"/>
    <w:rsid w:val="21186ABB"/>
    <w:rsid w:val="211B3590"/>
    <w:rsid w:val="212249E9"/>
    <w:rsid w:val="21237E94"/>
    <w:rsid w:val="21341527"/>
    <w:rsid w:val="21354E8F"/>
    <w:rsid w:val="2144119B"/>
    <w:rsid w:val="214747DB"/>
    <w:rsid w:val="21516647"/>
    <w:rsid w:val="21674E89"/>
    <w:rsid w:val="216D60C9"/>
    <w:rsid w:val="217234C7"/>
    <w:rsid w:val="21B3307A"/>
    <w:rsid w:val="21B92B96"/>
    <w:rsid w:val="21C61D84"/>
    <w:rsid w:val="21D13A71"/>
    <w:rsid w:val="21F93D33"/>
    <w:rsid w:val="221836BA"/>
    <w:rsid w:val="223E00B3"/>
    <w:rsid w:val="22425881"/>
    <w:rsid w:val="22432E87"/>
    <w:rsid w:val="22462C2D"/>
    <w:rsid w:val="224C6B32"/>
    <w:rsid w:val="227545BC"/>
    <w:rsid w:val="228044AA"/>
    <w:rsid w:val="22AA798A"/>
    <w:rsid w:val="22B1115C"/>
    <w:rsid w:val="22C03F4E"/>
    <w:rsid w:val="22C05574"/>
    <w:rsid w:val="22C23FC8"/>
    <w:rsid w:val="22D67DA1"/>
    <w:rsid w:val="22D81EC7"/>
    <w:rsid w:val="22D8505A"/>
    <w:rsid w:val="22FC75D9"/>
    <w:rsid w:val="230E3550"/>
    <w:rsid w:val="231F659F"/>
    <w:rsid w:val="232B1D24"/>
    <w:rsid w:val="233219BE"/>
    <w:rsid w:val="23560A0C"/>
    <w:rsid w:val="235B480E"/>
    <w:rsid w:val="23663EA7"/>
    <w:rsid w:val="236D79C4"/>
    <w:rsid w:val="237675C9"/>
    <w:rsid w:val="237875BE"/>
    <w:rsid w:val="238702A5"/>
    <w:rsid w:val="238910E7"/>
    <w:rsid w:val="238C242E"/>
    <w:rsid w:val="239F3ECC"/>
    <w:rsid w:val="23AE3C6B"/>
    <w:rsid w:val="23AF2EB1"/>
    <w:rsid w:val="23B83A89"/>
    <w:rsid w:val="23B96BB9"/>
    <w:rsid w:val="23B97601"/>
    <w:rsid w:val="23BC6746"/>
    <w:rsid w:val="23CA6B5A"/>
    <w:rsid w:val="23D71F44"/>
    <w:rsid w:val="23DC3F48"/>
    <w:rsid w:val="23E34C9B"/>
    <w:rsid w:val="23F32FC3"/>
    <w:rsid w:val="23FA0560"/>
    <w:rsid w:val="23FD7F91"/>
    <w:rsid w:val="240A7F7C"/>
    <w:rsid w:val="240F2123"/>
    <w:rsid w:val="24151A02"/>
    <w:rsid w:val="241D113F"/>
    <w:rsid w:val="24294B3F"/>
    <w:rsid w:val="242C2100"/>
    <w:rsid w:val="24352BD0"/>
    <w:rsid w:val="24371479"/>
    <w:rsid w:val="2439768B"/>
    <w:rsid w:val="243E33B0"/>
    <w:rsid w:val="245636BF"/>
    <w:rsid w:val="246639F4"/>
    <w:rsid w:val="246C40E2"/>
    <w:rsid w:val="246D6C52"/>
    <w:rsid w:val="24776D96"/>
    <w:rsid w:val="2478463B"/>
    <w:rsid w:val="247B0199"/>
    <w:rsid w:val="247D0800"/>
    <w:rsid w:val="248642CE"/>
    <w:rsid w:val="24A07A82"/>
    <w:rsid w:val="24A32275"/>
    <w:rsid w:val="24A563F4"/>
    <w:rsid w:val="24B44889"/>
    <w:rsid w:val="24C836DA"/>
    <w:rsid w:val="24C93C76"/>
    <w:rsid w:val="24E20A87"/>
    <w:rsid w:val="24F51B31"/>
    <w:rsid w:val="250D7D6E"/>
    <w:rsid w:val="25195E1D"/>
    <w:rsid w:val="252A7666"/>
    <w:rsid w:val="253634F0"/>
    <w:rsid w:val="25375D4C"/>
    <w:rsid w:val="254222BC"/>
    <w:rsid w:val="25455AA8"/>
    <w:rsid w:val="256E7D95"/>
    <w:rsid w:val="2570078B"/>
    <w:rsid w:val="258B6D5A"/>
    <w:rsid w:val="25933498"/>
    <w:rsid w:val="25990290"/>
    <w:rsid w:val="25A541D5"/>
    <w:rsid w:val="25D5223E"/>
    <w:rsid w:val="25DA5730"/>
    <w:rsid w:val="25DC44C9"/>
    <w:rsid w:val="25ED3FE3"/>
    <w:rsid w:val="25F85162"/>
    <w:rsid w:val="261C01C5"/>
    <w:rsid w:val="261C216C"/>
    <w:rsid w:val="262A3C6F"/>
    <w:rsid w:val="263205BE"/>
    <w:rsid w:val="26320806"/>
    <w:rsid w:val="26354F4F"/>
    <w:rsid w:val="26361B56"/>
    <w:rsid w:val="26371C62"/>
    <w:rsid w:val="26395B62"/>
    <w:rsid w:val="264E493D"/>
    <w:rsid w:val="265A3A90"/>
    <w:rsid w:val="266A61CB"/>
    <w:rsid w:val="267C448A"/>
    <w:rsid w:val="267E7DCF"/>
    <w:rsid w:val="269A0174"/>
    <w:rsid w:val="26A00B4D"/>
    <w:rsid w:val="26AB73A6"/>
    <w:rsid w:val="26C972CC"/>
    <w:rsid w:val="26D0702D"/>
    <w:rsid w:val="26D905D7"/>
    <w:rsid w:val="26EC3DFD"/>
    <w:rsid w:val="26FA4C7A"/>
    <w:rsid w:val="26FE5FFB"/>
    <w:rsid w:val="27020B35"/>
    <w:rsid w:val="271025A4"/>
    <w:rsid w:val="27300AA5"/>
    <w:rsid w:val="2730788A"/>
    <w:rsid w:val="274329B1"/>
    <w:rsid w:val="275B2D9A"/>
    <w:rsid w:val="275F6ED9"/>
    <w:rsid w:val="27667C68"/>
    <w:rsid w:val="2781011D"/>
    <w:rsid w:val="27B61EC8"/>
    <w:rsid w:val="27C41413"/>
    <w:rsid w:val="27C63AC4"/>
    <w:rsid w:val="27CC6B3B"/>
    <w:rsid w:val="27DE6801"/>
    <w:rsid w:val="27E15227"/>
    <w:rsid w:val="27E33A6D"/>
    <w:rsid w:val="27F06A09"/>
    <w:rsid w:val="27FA3CD3"/>
    <w:rsid w:val="2800261B"/>
    <w:rsid w:val="280D62B1"/>
    <w:rsid w:val="28112030"/>
    <w:rsid w:val="28174483"/>
    <w:rsid w:val="282D6369"/>
    <w:rsid w:val="28305FD5"/>
    <w:rsid w:val="283C46B8"/>
    <w:rsid w:val="283E74D1"/>
    <w:rsid w:val="284826A7"/>
    <w:rsid w:val="28551654"/>
    <w:rsid w:val="28625C6C"/>
    <w:rsid w:val="286B1878"/>
    <w:rsid w:val="286B4638"/>
    <w:rsid w:val="28701596"/>
    <w:rsid w:val="287F7865"/>
    <w:rsid w:val="28953BB5"/>
    <w:rsid w:val="28A40AA0"/>
    <w:rsid w:val="28A64E5C"/>
    <w:rsid w:val="28B12B97"/>
    <w:rsid w:val="28BF47E8"/>
    <w:rsid w:val="28C01A4F"/>
    <w:rsid w:val="28C07B4B"/>
    <w:rsid w:val="28CF0907"/>
    <w:rsid w:val="28E151AD"/>
    <w:rsid w:val="28E55B4A"/>
    <w:rsid w:val="28EB3A30"/>
    <w:rsid w:val="28EF260B"/>
    <w:rsid w:val="29151E78"/>
    <w:rsid w:val="291D364D"/>
    <w:rsid w:val="292F7C21"/>
    <w:rsid w:val="294263C0"/>
    <w:rsid w:val="295E36A4"/>
    <w:rsid w:val="29754489"/>
    <w:rsid w:val="29770829"/>
    <w:rsid w:val="299E17DD"/>
    <w:rsid w:val="29A62659"/>
    <w:rsid w:val="29B752E1"/>
    <w:rsid w:val="29CD76F5"/>
    <w:rsid w:val="29D931DF"/>
    <w:rsid w:val="29E024F0"/>
    <w:rsid w:val="29F36023"/>
    <w:rsid w:val="29F5011C"/>
    <w:rsid w:val="2A1A7A26"/>
    <w:rsid w:val="2A1D06E6"/>
    <w:rsid w:val="2A1E6D3F"/>
    <w:rsid w:val="2A22650D"/>
    <w:rsid w:val="2A2F6AC9"/>
    <w:rsid w:val="2A3F37C8"/>
    <w:rsid w:val="2A480BD5"/>
    <w:rsid w:val="2A4F575D"/>
    <w:rsid w:val="2A663052"/>
    <w:rsid w:val="2A6D353D"/>
    <w:rsid w:val="2A7C7894"/>
    <w:rsid w:val="2A863881"/>
    <w:rsid w:val="2A9B249C"/>
    <w:rsid w:val="2A9D25E9"/>
    <w:rsid w:val="2AA00831"/>
    <w:rsid w:val="2AA1765E"/>
    <w:rsid w:val="2AA464A5"/>
    <w:rsid w:val="2AAB35B1"/>
    <w:rsid w:val="2AB17D99"/>
    <w:rsid w:val="2ABE4688"/>
    <w:rsid w:val="2AC801B0"/>
    <w:rsid w:val="2AC870DF"/>
    <w:rsid w:val="2AD741FF"/>
    <w:rsid w:val="2ADF27A9"/>
    <w:rsid w:val="2AFD6111"/>
    <w:rsid w:val="2B0F2DC7"/>
    <w:rsid w:val="2B0F6376"/>
    <w:rsid w:val="2B1A356F"/>
    <w:rsid w:val="2B2745DE"/>
    <w:rsid w:val="2B304544"/>
    <w:rsid w:val="2B306304"/>
    <w:rsid w:val="2B440561"/>
    <w:rsid w:val="2B53587C"/>
    <w:rsid w:val="2B5B0E62"/>
    <w:rsid w:val="2B5E2E1C"/>
    <w:rsid w:val="2B613ADD"/>
    <w:rsid w:val="2B62370F"/>
    <w:rsid w:val="2B632C9B"/>
    <w:rsid w:val="2B754F5A"/>
    <w:rsid w:val="2BA16160"/>
    <w:rsid w:val="2BA27280"/>
    <w:rsid w:val="2BA71160"/>
    <w:rsid w:val="2BAD038E"/>
    <w:rsid w:val="2BC01770"/>
    <w:rsid w:val="2BD260F1"/>
    <w:rsid w:val="2BDF3D58"/>
    <w:rsid w:val="2BFB6B52"/>
    <w:rsid w:val="2C122B3D"/>
    <w:rsid w:val="2C140090"/>
    <w:rsid w:val="2C33585B"/>
    <w:rsid w:val="2C42277B"/>
    <w:rsid w:val="2C476788"/>
    <w:rsid w:val="2C504E98"/>
    <w:rsid w:val="2C5A353A"/>
    <w:rsid w:val="2C631E89"/>
    <w:rsid w:val="2C63407C"/>
    <w:rsid w:val="2C71530D"/>
    <w:rsid w:val="2C821DAA"/>
    <w:rsid w:val="2C925725"/>
    <w:rsid w:val="2C950028"/>
    <w:rsid w:val="2CA06CE9"/>
    <w:rsid w:val="2CAE7E10"/>
    <w:rsid w:val="2CB713C2"/>
    <w:rsid w:val="2CD45AC9"/>
    <w:rsid w:val="2CDF292B"/>
    <w:rsid w:val="2CF60943"/>
    <w:rsid w:val="2D0716EC"/>
    <w:rsid w:val="2D137E7E"/>
    <w:rsid w:val="2D1C4D7A"/>
    <w:rsid w:val="2D204098"/>
    <w:rsid w:val="2D26127F"/>
    <w:rsid w:val="2D3C0AA6"/>
    <w:rsid w:val="2D7A0B0B"/>
    <w:rsid w:val="2D7D17B3"/>
    <w:rsid w:val="2D834446"/>
    <w:rsid w:val="2D960836"/>
    <w:rsid w:val="2DA309CD"/>
    <w:rsid w:val="2DB629D5"/>
    <w:rsid w:val="2DE556DB"/>
    <w:rsid w:val="2DFF4851"/>
    <w:rsid w:val="2DFF5475"/>
    <w:rsid w:val="2E016FBF"/>
    <w:rsid w:val="2E0205B9"/>
    <w:rsid w:val="2E0E7628"/>
    <w:rsid w:val="2E232138"/>
    <w:rsid w:val="2E2F6DBF"/>
    <w:rsid w:val="2E3B041E"/>
    <w:rsid w:val="2E4F7B70"/>
    <w:rsid w:val="2E615002"/>
    <w:rsid w:val="2E65686D"/>
    <w:rsid w:val="2E722FF6"/>
    <w:rsid w:val="2E763FE5"/>
    <w:rsid w:val="2E811DE7"/>
    <w:rsid w:val="2E955C3D"/>
    <w:rsid w:val="2E9E6E04"/>
    <w:rsid w:val="2EAC51B6"/>
    <w:rsid w:val="2EB673C0"/>
    <w:rsid w:val="2EC566EB"/>
    <w:rsid w:val="2EC844E6"/>
    <w:rsid w:val="2EC867D4"/>
    <w:rsid w:val="2ECC1C9F"/>
    <w:rsid w:val="2ECF4658"/>
    <w:rsid w:val="2ED0756B"/>
    <w:rsid w:val="2EEE3790"/>
    <w:rsid w:val="2EF5711B"/>
    <w:rsid w:val="2EF95CFF"/>
    <w:rsid w:val="2F1108B5"/>
    <w:rsid w:val="2F1640E5"/>
    <w:rsid w:val="2F1A596C"/>
    <w:rsid w:val="2F263E03"/>
    <w:rsid w:val="2F432F72"/>
    <w:rsid w:val="2F464330"/>
    <w:rsid w:val="2F4A3E20"/>
    <w:rsid w:val="2F531C20"/>
    <w:rsid w:val="2F5546C1"/>
    <w:rsid w:val="2F600016"/>
    <w:rsid w:val="2F640FB2"/>
    <w:rsid w:val="2F656B8F"/>
    <w:rsid w:val="2F7013AD"/>
    <w:rsid w:val="2F7727F5"/>
    <w:rsid w:val="2F9A3EE9"/>
    <w:rsid w:val="2FA23C5C"/>
    <w:rsid w:val="2FB83FEF"/>
    <w:rsid w:val="2FD63D85"/>
    <w:rsid w:val="2FDF52B6"/>
    <w:rsid w:val="2FE26615"/>
    <w:rsid w:val="2FE84E84"/>
    <w:rsid w:val="3001023A"/>
    <w:rsid w:val="300A0567"/>
    <w:rsid w:val="300E1440"/>
    <w:rsid w:val="300E1B25"/>
    <w:rsid w:val="30153229"/>
    <w:rsid w:val="302064FF"/>
    <w:rsid w:val="302208F9"/>
    <w:rsid w:val="302879BF"/>
    <w:rsid w:val="303726F4"/>
    <w:rsid w:val="303C37BC"/>
    <w:rsid w:val="303C6EDC"/>
    <w:rsid w:val="304979C2"/>
    <w:rsid w:val="3051718A"/>
    <w:rsid w:val="30521786"/>
    <w:rsid w:val="305D4FAF"/>
    <w:rsid w:val="307528FC"/>
    <w:rsid w:val="308B1E84"/>
    <w:rsid w:val="308B71D5"/>
    <w:rsid w:val="309423EE"/>
    <w:rsid w:val="30966388"/>
    <w:rsid w:val="309F5E0C"/>
    <w:rsid w:val="30AC726F"/>
    <w:rsid w:val="30CD5B87"/>
    <w:rsid w:val="30D36566"/>
    <w:rsid w:val="30F7019C"/>
    <w:rsid w:val="3102379E"/>
    <w:rsid w:val="31072877"/>
    <w:rsid w:val="310C25F7"/>
    <w:rsid w:val="310E415F"/>
    <w:rsid w:val="311D18BD"/>
    <w:rsid w:val="31392578"/>
    <w:rsid w:val="313A7EC4"/>
    <w:rsid w:val="31413290"/>
    <w:rsid w:val="3143068C"/>
    <w:rsid w:val="314669B5"/>
    <w:rsid w:val="315D0E30"/>
    <w:rsid w:val="317770C4"/>
    <w:rsid w:val="318553F9"/>
    <w:rsid w:val="318771D5"/>
    <w:rsid w:val="318B6D19"/>
    <w:rsid w:val="31914CAB"/>
    <w:rsid w:val="31A660B1"/>
    <w:rsid w:val="31B238B7"/>
    <w:rsid w:val="31B72718"/>
    <w:rsid w:val="31B924A1"/>
    <w:rsid w:val="31C36630"/>
    <w:rsid w:val="31C776CF"/>
    <w:rsid w:val="31CA2F38"/>
    <w:rsid w:val="31CF1598"/>
    <w:rsid w:val="31FA147A"/>
    <w:rsid w:val="320534F0"/>
    <w:rsid w:val="320D5C11"/>
    <w:rsid w:val="32113881"/>
    <w:rsid w:val="32261EE8"/>
    <w:rsid w:val="322E0ADF"/>
    <w:rsid w:val="32333F21"/>
    <w:rsid w:val="323623BA"/>
    <w:rsid w:val="32477AB8"/>
    <w:rsid w:val="325302A8"/>
    <w:rsid w:val="32610C27"/>
    <w:rsid w:val="32686C93"/>
    <w:rsid w:val="328923C3"/>
    <w:rsid w:val="329C293D"/>
    <w:rsid w:val="329F31D2"/>
    <w:rsid w:val="32A3202F"/>
    <w:rsid w:val="32BE454B"/>
    <w:rsid w:val="32BF7799"/>
    <w:rsid w:val="32D9283C"/>
    <w:rsid w:val="32DE3854"/>
    <w:rsid w:val="32DF6DB9"/>
    <w:rsid w:val="32FB6551"/>
    <w:rsid w:val="33016BE0"/>
    <w:rsid w:val="330206EE"/>
    <w:rsid w:val="331830B6"/>
    <w:rsid w:val="331A09D4"/>
    <w:rsid w:val="331A22DD"/>
    <w:rsid w:val="331C512A"/>
    <w:rsid w:val="331F7372"/>
    <w:rsid w:val="3339168C"/>
    <w:rsid w:val="333E221C"/>
    <w:rsid w:val="333F7473"/>
    <w:rsid w:val="33411D32"/>
    <w:rsid w:val="335F4E3A"/>
    <w:rsid w:val="336910E1"/>
    <w:rsid w:val="33735FF2"/>
    <w:rsid w:val="33736A00"/>
    <w:rsid w:val="337A2350"/>
    <w:rsid w:val="338121DE"/>
    <w:rsid w:val="338831C9"/>
    <w:rsid w:val="338C7572"/>
    <w:rsid w:val="33A068B2"/>
    <w:rsid w:val="33A73265"/>
    <w:rsid w:val="33B871C9"/>
    <w:rsid w:val="33B96690"/>
    <w:rsid w:val="33BB4C2F"/>
    <w:rsid w:val="33C9078A"/>
    <w:rsid w:val="33CD6DCE"/>
    <w:rsid w:val="33DF5D66"/>
    <w:rsid w:val="33EE73C3"/>
    <w:rsid w:val="33F77930"/>
    <w:rsid w:val="340B0F4F"/>
    <w:rsid w:val="34163DE0"/>
    <w:rsid w:val="34180F42"/>
    <w:rsid w:val="3427755C"/>
    <w:rsid w:val="343D68F4"/>
    <w:rsid w:val="345D5F6E"/>
    <w:rsid w:val="34686259"/>
    <w:rsid w:val="34686F9B"/>
    <w:rsid w:val="346C05D0"/>
    <w:rsid w:val="347C2CFD"/>
    <w:rsid w:val="34806AA5"/>
    <w:rsid w:val="34866A39"/>
    <w:rsid w:val="348869CC"/>
    <w:rsid w:val="3492016D"/>
    <w:rsid w:val="34A47165"/>
    <w:rsid w:val="34B5400D"/>
    <w:rsid w:val="34C612F2"/>
    <w:rsid w:val="34C617B8"/>
    <w:rsid w:val="34CC5689"/>
    <w:rsid w:val="34CE2DFE"/>
    <w:rsid w:val="34D04ECF"/>
    <w:rsid w:val="34D20941"/>
    <w:rsid w:val="34D23F62"/>
    <w:rsid w:val="34DE16E5"/>
    <w:rsid w:val="34DF4E94"/>
    <w:rsid w:val="352F3DC1"/>
    <w:rsid w:val="35360DE7"/>
    <w:rsid w:val="353C5454"/>
    <w:rsid w:val="353E7FE7"/>
    <w:rsid w:val="354930F5"/>
    <w:rsid w:val="35496CA0"/>
    <w:rsid w:val="354A7A14"/>
    <w:rsid w:val="356C5DA5"/>
    <w:rsid w:val="35717DE4"/>
    <w:rsid w:val="357279CD"/>
    <w:rsid w:val="35764C7A"/>
    <w:rsid w:val="357A30EF"/>
    <w:rsid w:val="357D0051"/>
    <w:rsid w:val="358B19C0"/>
    <w:rsid w:val="358F24BA"/>
    <w:rsid w:val="358F7CE9"/>
    <w:rsid w:val="35932935"/>
    <w:rsid w:val="35A544F0"/>
    <w:rsid w:val="35A81066"/>
    <w:rsid w:val="35B2166C"/>
    <w:rsid w:val="35C357C5"/>
    <w:rsid w:val="35CD34CA"/>
    <w:rsid w:val="35D11547"/>
    <w:rsid w:val="35D80008"/>
    <w:rsid w:val="35D82D8C"/>
    <w:rsid w:val="35D85BA3"/>
    <w:rsid w:val="35DC041F"/>
    <w:rsid w:val="35FC4C3C"/>
    <w:rsid w:val="36006CC7"/>
    <w:rsid w:val="36065DAD"/>
    <w:rsid w:val="360B7B4F"/>
    <w:rsid w:val="36132D9A"/>
    <w:rsid w:val="36294A2D"/>
    <w:rsid w:val="363022F0"/>
    <w:rsid w:val="363C0F60"/>
    <w:rsid w:val="364D7B36"/>
    <w:rsid w:val="36577227"/>
    <w:rsid w:val="36605A23"/>
    <w:rsid w:val="36646F72"/>
    <w:rsid w:val="366655DD"/>
    <w:rsid w:val="366745C7"/>
    <w:rsid w:val="36A232C6"/>
    <w:rsid w:val="36AF3103"/>
    <w:rsid w:val="36B5041F"/>
    <w:rsid w:val="36C073A3"/>
    <w:rsid w:val="36D527D4"/>
    <w:rsid w:val="36FE5CCC"/>
    <w:rsid w:val="374C58CF"/>
    <w:rsid w:val="375F05C1"/>
    <w:rsid w:val="37655B3A"/>
    <w:rsid w:val="376C02B1"/>
    <w:rsid w:val="37723387"/>
    <w:rsid w:val="37752CD1"/>
    <w:rsid w:val="37907BDD"/>
    <w:rsid w:val="37B36A07"/>
    <w:rsid w:val="37C37E81"/>
    <w:rsid w:val="37D8288E"/>
    <w:rsid w:val="37EB3A48"/>
    <w:rsid w:val="38016F23"/>
    <w:rsid w:val="380414DC"/>
    <w:rsid w:val="38077679"/>
    <w:rsid w:val="380E282E"/>
    <w:rsid w:val="380F2329"/>
    <w:rsid w:val="380F7C75"/>
    <w:rsid w:val="381C71B8"/>
    <w:rsid w:val="381E0CA8"/>
    <w:rsid w:val="38223F86"/>
    <w:rsid w:val="382478C4"/>
    <w:rsid w:val="382D4904"/>
    <w:rsid w:val="382E3772"/>
    <w:rsid w:val="38335AEE"/>
    <w:rsid w:val="38486782"/>
    <w:rsid w:val="38616308"/>
    <w:rsid w:val="38654ECD"/>
    <w:rsid w:val="387A72B6"/>
    <w:rsid w:val="387B329C"/>
    <w:rsid w:val="38825EF2"/>
    <w:rsid w:val="389D211E"/>
    <w:rsid w:val="38A10829"/>
    <w:rsid w:val="38CD5177"/>
    <w:rsid w:val="38F05236"/>
    <w:rsid w:val="38F95631"/>
    <w:rsid w:val="390C31E7"/>
    <w:rsid w:val="390C38C7"/>
    <w:rsid w:val="391358F9"/>
    <w:rsid w:val="39372E94"/>
    <w:rsid w:val="397974B5"/>
    <w:rsid w:val="399A1253"/>
    <w:rsid w:val="39AE76A2"/>
    <w:rsid w:val="39AF4B3C"/>
    <w:rsid w:val="39B06093"/>
    <w:rsid w:val="39B22401"/>
    <w:rsid w:val="39BD2644"/>
    <w:rsid w:val="39BE0590"/>
    <w:rsid w:val="39C778ED"/>
    <w:rsid w:val="39CE56E9"/>
    <w:rsid w:val="39D1036D"/>
    <w:rsid w:val="39D60DDB"/>
    <w:rsid w:val="39F25771"/>
    <w:rsid w:val="3A077543"/>
    <w:rsid w:val="3A3D7D18"/>
    <w:rsid w:val="3A436050"/>
    <w:rsid w:val="3A4E3387"/>
    <w:rsid w:val="3A5F1116"/>
    <w:rsid w:val="3A7302DC"/>
    <w:rsid w:val="3A754841"/>
    <w:rsid w:val="3A8634F6"/>
    <w:rsid w:val="3A9135FA"/>
    <w:rsid w:val="3A97419F"/>
    <w:rsid w:val="3A9D534B"/>
    <w:rsid w:val="3AA463D6"/>
    <w:rsid w:val="3ABF6C5F"/>
    <w:rsid w:val="3AC26248"/>
    <w:rsid w:val="3AC74024"/>
    <w:rsid w:val="3AC763CF"/>
    <w:rsid w:val="3ACD2E07"/>
    <w:rsid w:val="3AD277B4"/>
    <w:rsid w:val="3ADE4ED5"/>
    <w:rsid w:val="3B017EE9"/>
    <w:rsid w:val="3B104CEB"/>
    <w:rsid w:val="3B131D24"/>
    <w:rsid w:val="3B1B2E58"/>
    <w:rsid w:val="3B2C0ABB"/>
    <w:rsid w:val="3B2C3929"/>
    <w:rsid w:val="3B2E4DB3"/>
    <w:rsid w:val="3B6D220D"/>
    <w:rsid w:val="3B900DE4"/>
    <w:rsid w:val="3B9A34A2"/>
    <w:rsid w:val="3B9C3359"/>
    <w:rsid w:val="3B9D352A"/>
    <w:rsid w:val="3BA02426"/>
    <w:rsid w:val="3BA034C3"/>
    <w:rsid w:val="3BA42137"/>
    <w:rsid w:val="3BA511A3"/>
    <w:rsid w:val="3BA61D83"/>
    <w:rsid w:val="3BA64AD4"/>
    <w:rsid w:val="3BC0355C"/>
    <w:rsid w:val="3BD42146"/>
    <w:rsid w:val="3BF550A5"/>
    <w:rsid w:val="3C061639"/>
    <w:rsid w:val="3C0649A2"/>
    <w:rsid w:val="3C1131D2"/>
    <w:rsid w:val="3C384436"/>
    <w:rsid w:val="3C5D0A40"/>
    <w:rsid w:val="3C666012"/>
    <w:rsid w:val="3C6978B0"/>
    <w:rsid w:val="3C7A013B"/>
    <w:rsid w:val="3C7D147D"/>
    <w:rsid w:val="3C836BC3"/>
    <w:rsid w:val="3C9F4655"/>
    <w:rsid w:val="3CA5758D"/>
    <w:rsid w:val="3CA925C3"/>
    <w:rsid w:val="3CBD7976"/>
    <w:rsid w:val="3CC20F42"/>
    <w:rsid w:val="3CC226D3"/>
    <w:rsid w:val="3CC32D13"/>
    <w:rsid w:val="3CC87E31"/>
    <w:rsid w:val="3CD11E57"/>
    <w:rsid w:val="3CDC0738"/>
    <w:rsid w:val="3CE240DD"/>
    <w:rsid w:val="3CE94B18"/>
    <w:rsid w:val="3CEC739C"/>
    <w:rsid w:val="3CFC0724"/>
    <w:rsid w:val="3D107DA1"/>
    <w:rsid w:val="3D233B78"/>
    <w:rsid w:val="3D2B1143"/>
    <w:rsid w:val="3D324146"/>
    <w:rsid w:val="3D3346F2"/>
    <w:rsid w:val="3D3730D2"/>
    <w:rsid w:val="3D385C15"/>
    <w:rsid w:val="3D4058F6"/>
    <w:rsid w:val="3D5516DF"/>
    <w:rsid w:val="3D657894"/>
    <w:rsid w:val="3D694E9D"/>
    <w:rsid w:val="3D704A53"/>
    <w:rsid w:val="3D762284"/>
    <w:rsid w:val="3D896604"/>
    <w:rsid w:val="3D8D44B6"/>
    <w:rsid w:val="3D94095C"/>
    <w:rsid w:val="3D9A3ECC"/>
    <w:rsid w:val="3DAD2116"/>
    <w:rsid w:val="3DC456E6"/>
    <w:rsid w:val="3DCC00F6"/>
    <w:rsid w:val="3DD8050E"/>
    <w:rsid w:val="3DE44E6E"/>
    <w:rsid w:val="3DEB2221"/>
    <w:rsid w:val="3E0A6D34"/>
    <w:rsid w:val="3E176EFE"/>
    <w:rsid w:val="3E1A6E43"/>
    <w:rsid w:val="3E1E2315"/>
    <w:rsid w:val="3E2F3073"/>
    <w:rsid w:val="3E3363C7"/>
    <w:rsid w:val="3E3D4DE7"/>
    <w:rsid w:val="3E401396"/>
    <w:rsid w:val="3E426C91"/>
    <w:rsid w:val="3E487F4C"/>
    <w:rsid w:val="3E4B7062"/>
    <w:rsid w:val="3E4D4C7C"/>
    <w:rsid w:val="3E4D7E89"/>
    <w:rsid w:val="3E585785"/>
    <w:rsid w:val="3E5C76EA"/>
    <w:rsid w:val="3E6F4CFE"/>
    <w:rsid w:val="3E7D639E"/>
    <w:rsid w:val="3E965A32"/>
    <w:rsid w:val="3EA53FA8"/>
    <w:rsid w:val="3EAE2568"/>
    <w:rsid w:val="3EB4699B"/>
    <w:rsid w:val="3EC72BFF"/>
    <w:rsid w:val="3ECC26FB"/>
    <w:rsid w:val="3ECF48D1"/>
    <w:rsid w:val="3EE37144"/>
    <w:rsid w:val="3EFD6718"/>
    <w:rsid w:val="3F06035A"/>
    <w:rsid w:val="3F081D2F"/>
    <w:rsid w:val="3F1B58E9"/>
    <w:rsid w:val="3F1F2B12"/>
    <w:rsid w:val="3F420300"/>
    <w:rsid w:val="3F602ADF"/>
    <w:rsid w:val="3F61024B"/>
    <w:rsid w:val="3F624109"/>
    <w:rsid w:val="3F7865AA"/>
    <w:rsid w:val="3F8A68CD"/>
    <w:rsid w:val="3F92469C"/>
    <w:rsid w:val="3F9A7335"/>
    <w:rsid w:val="3FA07923"/>
    <w:rsid w:val="3FAE7405"/>
    <w:rsid w:val="3FB32F49"/>
    <w:rsid w:val="3FCD3485"/>
    <w:rsid w:val="3FCF6679"/>
    <w:rsid w:val="3FD85478"/>
    <w:rsid w:val="3FDA2F44"/>
    <w:rsid w:val="3FE10A44"/>
    <w:rsid w:val="3FF90F79"/>
    <w:rsid w:val="3FFD0133"/>
    <w:rsid w:val="40062E3D"/>
    <w:rsid w:val="400648D8"/>
    <w:rsid w:val="401D5B29"/>
    <w:rsid w:val="401E03A2"/>
    <w:rsid w:val="40243BD6"/>
    <w:rsid w:val="40266425"/>
    <w:rsid w:val="4029119B"/>
    <w:rsid w:val="402D31B2"/>
    <w:rsid w:val="403B3CA7"/>
    <w:rsid w:val="403E471B"/>
    <w:rsid w:val="4056454A"/>
    <w:rsid w:val="406077D1"/>
    <w:rsid w:val="4067520E"/>
    <w:rsid w:val="407D1B7C"/>
    <w:rsid w:val="40856866"/>
    <w:rsid w:val="40A5758A"/>
    <w:rsid w:val="40A90F6F"/>
    <w:rsid w:val="40AA68CF"/>
    <w:rsid w:val="40CE6FDD"/>
    <w:rsid w:val="41006452"/>
    <w:rsid w:val="411272BF"/>
    <w:rsid w:val="41385BFD"/>
    <w:rsid w:val="413F5EE3"/>
    <w:rsid w:val="4155712F"/>
    <w:rsid w:val="41572958"/>
    <w:rsid w:val="41586871"/>
    <w:rsid w:val="415E519E"/>
    <w:rsid w:val="41685B7F"/>
    <w:rsid w:val="41784F61"/>
    <w:rsid w:val="41846B5C"/>
    <w:rsid w:val="418B4E11"/>
    <w:rsid w:val="419531C7"/>
    <w:rsid w:val="41987FC6"/>
    <w:rsid w:val="4199626E"/>
    <w:rsid w:val="41A356C1"/>
    <w:rsid w:val="41AF2FCB"/>
    <w:rsid w:val="41B337B4"/>
    <w:rsid w:val="41E35ECD"/>
    <w:rsid w:val="42050927"/>
    <w:rsid w:val="42184C91"/>
    <w:rsid w:val="422C1B63"/>
    <w:rsid w:val="425405F3"/>
    <w:rsid w:val="42562F27"/>
    <w:rsid w:val="425A4FDC"/>
    <w:rsid w:val="425A69CB"/>
    <w:rsid w:val="428E107E"/>
    <w:rsid w:val="429D2FC6"/>
    <w:rsid w:val="429D7591"/>
    <w:rsid w:val="429F5DD9"/>
    <w:rsid w:val="42A11E45"/>
    <w:rsid w:val="42AE6318"/>
    <w:rsid w:val="42BB2EAD"/>
    <w:rsid w:val="42D4708E"/>
    <w:rsid w:val="42DB1728"/>
    <w:rsid w:val="42DE4B54"/>
    <w:rsid w:val="431840E5"/>
    <w:rsid w:val="43220FD1"/>
    <w:rsid w:val="43277888"/>
    <w:rsid w:val="433B42E3"/>
    <w:rsid w:val="4345757C"/>
    <w:rsid w:val="437C0DE0"/>
    <w:rsid w:val="437F4262"/>
    <w:rsid w:val="43840AA7"/>
    <w:rsid w:val="438457A6"/>
    <w:rsid w:val="4386593E"/>
    <w:rsid w:val="43883C58"/>
    <w:rsid w:val="438C4E62"/>
    <w:rsid w:val="43C7383A"/>
    <w:rsid w:val="43CF0221"/>
    <w:rsid w:val="43CF61D2"/>
    <w:rsid w:val="43D83702"/>
    <w:rsid w:val="43DE284A"/>
    <w:rsid w:val="43E0197C"/>
    <w:rsid w:val="43F04156"/>
    <w:rsid w:val="44191C2C"/>
    <w:rsid w:val="441B4612"/>
    <w:rsid w:val="44203BEB"/>
    <w:rsid w:val="442411DC"/>
    <w:rsid w:val="442E1F3E"/>
    <w:rsid w:val="44386E75"/>
    <w:rsid w:val="445D7038"/>
    <w:rsid w:val="44683149"/>
    <w:rsid w:val="446A7B59"/>
    <w:rsid w:val="447058EA"/>
    <w:rsid w:val="4493196E"/>
    <w:rsid w:val="449526AD"/>
    <w:rsid w:val="44AB315B"/>
    <w:rsid w:val="44AE0556"/>
    <w:rsid w:val="44AE49FA"/>
    <w:rsid w:val="44B601DF"/>
    <w:rsid w:val="44B6775C"/>
    <w:rsid w:val="44E1621B"/>
    <w:rsid w:val="44E32D07"/>
    <w:rsid w:val="44EF459F"/>
    <w:rsid w:val="44F75169"/>
    <w:rsid w:val="44FC35A0"/>
    <w:rsid w:val="4504098E"/>
    <w:rsid w:val="451E1B14"/>
    <w:rsid w:val="45346D6C"/>
    <w:rsid w:val="453748AC"/>
    <w:rsid w:val="45491AF0"/>
    <w:rsid w:val="45563514"/>
    <w:rsid w:val="4562513A"/>
    <w:rsid w:val="4567370C"/>
    <w:rsid w:val="456B403A"/>
    <w:rsid w:val="457656E5"/>
    <w:rsid w:val="457A59F1"/>
    <w:rsid w:val="457F2B0F"/>
    <w:rsid w:val="458B1ABD"/>
    <w:rsid w:val="45927781"/>
    <w:rsid w:val="45A864EA"/>
    <w:rsid w:val="45C2075D"/>
    <w:rsid w:val="45C8434D"/>
    <w:rsid w:val="45C91098"/>
    <w:rsid w:val="45CD26F2"/>
    <w:rsid w:val="45EC7588"/>
    <w:rsid w:val="46056F63"/>
    <w:rsid w:val="46191173"/>
    <w:rsid w:val="461E757B"/>
    <w:rsid w:val="462176B4"/>
    <w:rsid w:val="4623633A"/>
    <w:rsid w:val="462E4A44"/>
    <w:rsid w:val="46522D93"/>
    <w:rsid w:val="465515D1"/>
    <w:rsid w:val="465638BC"/>
    <w:rsid w:val="46567259"/>
    <w:rsid w:val="46783E71"/>
    <w:rsid w:val="467957E9"/>
    <w:rsid w:val="467A3B7F"/>
    <w:rsid w:val="4699000B"/>
    <w:rsid w:val="46A4149E"/>
    <w:rsid w:val="46B31960"/>
    <w:rsid w:val="46B4220E"/>
    <w:rsid w:val="46BC5E42"/>
    <w:rsid w:val="46D95B94"/>
    <w:rsid w:val="46E13ECB"/>
    <w:rsid w:val="46E31034"/>
    <w:rsid w:val="47065D2D"/>
    <w:rsid w:val="470E004A"/>
    <w:rsid w:val="471421FD"/>
    <w:rsid w:val="4722480D"/>
    <w:rsid w:val="473568B2"/>
    <w:rsid w:val="47366729"/>
    <w:rsid w:val="473A34F2"/>
    <w:rsid w:val="473C4E5E"/>
    <w:rsid w:val="47417FB1"/>
    <w:rsid w:val="47502FD5"/>
    <w:rsid w:val="475D35A3"/>
    <w:rsid w:val="47624118"/>
    <w:rsid w:val="476C6C8A"/>
    <w:rsid w:val="477556BD"/>
    <w:rsid w:val="47755C85"/>
    <w:rsid w:val="47790144"/>
    <w:rsid w:val="477F2505"/>
    <w:rsid w:val="479B74B7"/>
    <w:rsid w:val="47AA1B1F"/>
    <w:rsid w:val="47B9778B"/>
    <w:rsid w:val="47BB625F"/>
    <w:rsid w:val="47C57993"/>
    <w:rsid w:val="47DC3BC7"/>
    <w:rsid w:val="47EE72E8"/>
    <w:rsid w:val="47F126F8"/>
    <w:rsid w:val="48003C3E"/>
    <w:rsid w:val="48042074"/>
    <w:rsid w:val="48050C7F"/>
    <w:rsid w:val="480C35ED"/>
    <w:rsid w:val="482D4F98"/>
    <w:rsid w:val="485131C5"/>
    <w:rsid w:val="485A00DB"/>
    <w:rsid w:val="485D651B"/>
    <w:rsid w:val="485F6343"/>
    <w:rsid w:val="48642F3D"/>
    <w:rsid w:val="4883797F"/>
    <w:rsid w:val="48876413"/>
    <w:rsid w:val="489072F6"/>
    <w:rsid w:val="48921694"/>
    <w:rsid w:val="48926AE4"/>
    <w:rsid w:val="489F4429"/>
    <w:rsid w:val="48A107F0"/>
    <w:rsid w:val="48A979B2"/>
    <w:rsid w:val="48AA2642"/>
    <w:rsid w:val="48AD6596"/>
    <w:rsid w:val="48B84910"/>
    <w:rsid w:val="48BB43EF"/>
    <w:rsid w:val="48BC050B"/>
    <w:rsid w:val="48BE3B13"/>
    <w:rsid w:val="48BF2B3D"/>
    <w:rsid w:val="48BF6397"/>
    <w:rsid w:val="48CF5C1B"/>
    <w:rsid w:val="48D658CA"/>
    <w:rsid w:val="48E77A25"/>
    <w:rsid w:val="48EA42C6"/>
    <w:rsid w:val="48F46E7F"/>
    <w:rsid w:val="490220F2"/>
    <w:rsid w:val="4909599D"/>
    <w:rsid w:val="49170AF1"/>
    <w:rsid w:val="491A6B90"/>
    <w:rsid w:val="491C737C"/>
    <w:rsid w:val="491E6225"/>
    <w:rsid w:val="491F644A"/>
    <w:rsid w:val="493C6841"/>
    <w:rsid w:val="494156E5"/>
    <w:rsid w:val="494E33DB"/>
    <w:rsid w:val="49571E1F"/>
    <w:rsid w:val="496D4E83"/>
    <w:rsid w:val="498454C0"/>
    <w:rsid w:val="49985E15"/>
    <w:rsid w:val="49AD2DE2"/>
    <w:rsid w:val="49B918F9"/>
    <w:rsid w:val="49BB4D3C"/>
    <w:rsid w:val="49C94173"/>
    <w:rsid w:val="49CF65EF"/>
    <w:rsid w:val="49D44897"/>
    <w:rsid w:val="49D61824"/>
    <w:rsid w:val="49D71149"/>
    <w:rsid w:val="49DB0E35"/>
    <w:rsid w:val="49DC0AEC"/>
    <w:rsid w:val="49E72EB5"/>
    <w:rsid w:val="49E7584C"/>
    <w:rsid w:val="49F42EAF"/>
    <w:rsid w:val="49FE3E83"/>
    <w:rsid w:val="4A045424"/>
    <w:rsid w:val="4A04542B"/>
    <w:rsid w:val="4A0469A6"/>
    <w:rsid w:val="4A1229F8"/>
    <w:rsid w:val="4A1470AD"/>
    <w:rsid w:val="4A236205"/>
    <w:rsid w:val="4A3D21DC"/>
    <w:rsid w:val="4A3E661F"/>
    <w:rsid w:val="4A4364DB"/>
    <w:rsid w:val="4A4F1772"/>
    <w:rsid w:val="4A4F3329"/>
    <w:rsid w:val="4A5815DD"/>
    <w:rsid w:val="4A585CB5"/>
    <w:rsid w:val="4A711D54"/>
    <w:rsid w:val="4A783AE0"/>
    <w:rsid w:val="4A880AFE"/>
    <w:rsid w:val="4AA266A1"/>
    <w:rsid w:val="4AAA4283"/>
    <w:rsid w:val="4AAB0D6A"/>
    <w:rsid w:val="4AC40330"/>
    <w:rsid w:val="4AD44F7E"/>
    <w:rsid w:val="4AE458DE"/>
    <w:rsid w:val="4AEE7C6E"/>
    <w:rsid w:val="4AF35415"/>
    <w:rsid w:val="4AF527D5"/>
    <w:rsid w:val="4AFA2747"/>
    <w:rsid w:val="4AFC6E05"/>
    <w:rsid w:val="4B0C6880"/>
    <w:rsid w:val="4B0D04B5"/>
    <w:rsid w:val="4B1B6847"/>
    <w:rsid w:val="4B1E4A98"/>
    <w:rsid w:val="4B236FC1"/>
    <w:rsid w:val="4B28694B"/>
    <w:rsid w:val="4B2E3259"/>
    <w:rsid w:val="4B3912BC"/>
    <w:rsid w:val="4B412124"/>
    <w:rsid w:val="4B425510"/>
    <w:rsid w:val="4B514895"/>
    <w:rsid w:val="4B59099E"/>
    <w:rsid w:val="4B644064"/>
    <w:rsid w:val="4B670733"/>
    <w:rsid w:val="4B797FC2"/>
    <w:rsid w:val="4BA74404"/>
    <w:rsid w:val="4BAB1C93"/>
    <w:rsid w:val="4BAD1567"/>
    <w:rsid w:val="4BB72988"/>
    <w:rsid w:val="4BBA0128"/>
    <w:rsid w:val="4BCD5E38"/>
    <w:rsid w:val="4BD16D6F"/>
    <w:rsid w:val="4BE451E4"/>
    <w:rsid w:val="4BF1454F"/>
    <w:rsid w:val="4BF94FFF"/>
    <w:rsid w:val="4C096CE6"/>
    <w:rsid w:val="4C0B35DF"/>
    <w:rsid w:val="4C0D505B"/>
    <w:rsid w:val="4C270A74"/>
    <w:rsid w:val="4C2D1A61"/>
    <w:rsid w:val="4C2D5313"/>
    <w:rsid w:val="4C3239A8"/>
    <w:rsid w:val="4C387CD1"/>
    <w:rsid w:val="4C484C54"/>
    <w:rsid w:val="4C4C125B"/>
    <w:rsid w:val="4C5C585E"/>
    <w:rsid w:val="4C6374CE"/>
    <w:rsid w:val="4C6B5C91"/>
    <w:rsid w:val="4C7C2FE3"/>
    <w:rsid w:val="4C7C79F3"/>
    <w:rsid w:val="4C857663"/>
    <w:rsid w:val="4C872419"/>
    <w:rsid w:val="4C8F0817"/>
    <w:rsid w:val="4CA42983"/>
    <w:rsid w:val="4CA47CF2"/>
    <w:rsid w:val="4CB20CCE"/>
    <w:rsid w:val="4CB52265"/>
    <w:rsid w:val="4CB948FC"/>
    <w:rsid w:val="4CBE3CB8"/>
    <w:rsid w:val="4CCA4B2C"/>
    <w:rsid w:val="4CCC367F"/>
    <w:rsid w:val="4CDC4504"/>
    <w:rsid w:val="4CDE3F62"/>
    <w:rsid w:val="4CEA0599"/>
    <w:rsid w:val="4CF17B79"/>
    <w:rsid w:val="4D20689A"/>
    <w:rsid w:val="4D2628D2"/>
    <w:rsid w:val="4D3266EB"/>
    <w:rsid w:val="4D352250"/>
    <w:rsid w:val="4D491763"/>
    <w:rsid w:val="4D4C4DB0"/>
    <w:rsid w:val="4D534BAC"/>
    <w:rsid w:val="4D655D2A"/>
    <w:rsid w:val="4D701D66"/>
    <w:rsid w:val="4D7632BC"/>
    <w:rsid w:val="4D8A6B97"/>
    <w:rsid w:val="4D9565D9"/>
    <w:rsid w:val="4D976E91"/>
    <w:rsid w:val="4D9E4004"/>
    <w:rsid w:val="4DB270A2"/>
    <w:rsid w:val="4DB66468"/>
    <w:rsid w:val="4DB7273F"/>
    <w:rsid w:val="4DB841C4"/>
    <w:rsid w:val="4DBB033B"/>
    <w:rsid w:val="4DC33D85"/>
    <w:rsid w:val="4DCD5F51"/>
    <w:rsid w:val="4DCF5DD0"/>
    <w:rsid w:val="4DD1775C"/>
    <w:rsid w:val="4DE12275"/>
    <w:rsid w:val="4DF628AA"/>
    <w:rsid w:val="4DF77A98"/>
    <w:rsid w:val="4E1E2FA3"/>
    <w:rsid w:val="4E4A5B6A"/>
    <w:rsid w:val="4E5225FF"/>
    <w:rsid w:val="4E556832"/>
    <w:rsid w:val="4E566425"/>
    <w:rsid w:val="4E5A4E0F"/>
    <w:rsid w:val="4E6A1991"/>
    <w:rsid w:val="4E7178BE"/>
    <w:rsid w:val="4E723C3A"/>
    <w:rsid w:val="4E7A017C"/>
    <w:rsid w:val="4E7F2E01"/>
    <w:rsid w:val="4E835D45"/>
    <w:rsid w:val="4E942515"/>
    <w:rsid w:val="4E94692B"/>
    <w:rsid w:val="4EA200F5"/>
    <w:rsid w:val="4EAD044A"/>
    <w:rsid w:val="4EAE6700"/>
    <w:rsid w:val="4EB66BFE"/>
    <w:rsid w:val="4ECB0AAB"/>
    <w:rsid w:val="4ED86793"/>
    <w:rsid w:val="4EDC4229"/>
    <w:rsid w:val="4EDE356D"/>
    <w:rsid w:val="4EE35F39"/>
    <w:rsid w:val="4EE97504"/>
    <w:rsid w:val="4EEA362D"/>
    <w:rsid w:val="4EF51FED"/>
    <w:rsid w:val="4F06254F"/>
    <w:rsid w:val="4F121953"/>
    <w:rsid w:val="4F29795E"/>
    <w:rsid w:val="4F470BC1"/>
    <w:rsid w:val="4F755AFA"/>
    <w:rsid w:val="4F7C2FF5"/>
    <w:rsid w:val="4F972AC8"/>
    <w:rsid w:val="4FAE6A0C"/>
    <w:rsid w:val="4FB15668"/>
    <w:rsid w:val="4FB17C87"/>
    <w:rsid w:val="4FCD6E5C"/>
    <w:rsid w:val="4FD75A14"/>
    <w:rsid w:val="4FDC0F70"/>
    <w:rsid w:val="4FF17630"/>
    <w:rsid w:val="4FFC1A4F"/>
    <w:rsid w:val="4FFE02E2"/>
    <w:rsid w:val="500A2850"/>
    <w:rsid w:val="500E5E3D"/>
    <w:rsid w:val="501A51D7"/>
    <w:rsid w:val="502429FE"/>
    <w:rsid w:val="502C3CF0"/>
    <w:rsid w:val="503F6856"/>
    <w:rsid w:val="505E0EC5"/>
    <w:rsid w:val="505F5EBA"/>
    <w:rsid w:val="506C7C05"/>
    <w:rsid w:val="506E3BD9"/>
    <w:rsid w:val="507414B6"/>
    <w:rsid w:val="507F299D"/>
    <w:rsid w:val="50884468"/>
    <w:rsid w:val="508D2849"/>
    <w:rsid w:val="508F2D04"/>
    <w:rsid w:val="508F32C6"/>
    <w:rsid w:val="509C76FD"/>
    <w:rsid w:val="50CB41EA"/>
    <w:rsid w:val="50CD5742"/>
    <w:rsid w:val="50DC644B"/>
    <w:rsid w:val="50EB4FC0"/>
    <w:rsid w:val="50EE1879"/>
    <w:rsid w:val="50F04B7A"/>
    <w:rsid w:val="51242714"/>
    <w:rsid w:val="51280278"/>
    <w:rsid w:val="512C1EC3"/>
    <w:rsid w:val="512C58ED"/>
    <w:rsid w:val="51557169"/>
    <w:rsid w:val="51627551"/>
    <w:rsid w:val="516857EC"/>
    <w:rsid w:val="51785730"/>
    <w:rsid w:val="518D1F90"/>
    <w:rsid w:val="518D5369"/>
    <w:rsid w:val="51BC0A48"/>
    <w:rsid w:val="51C10464"/>
    <w:rsid w:val="51C60E0D"/>
    <w:rsid w:val="51C7560D"/>
    <w:rsid w:val="51C86A7F"/>
    <w:rsid w:val="51F55A16"/>
    <w:rsid w:val="51FA28D9"/>
    <w:rsid w:val="5203460E"/>
    <w:rsid w:val="52046900"/>
    <w:rsid w:val="52130E31"/>
    <w:rsid w:val="521A1BF8"/>
    <w:rsid w:val="52273F39"/>
    <w:rsid w:val="52293380"/>
    <w:rsid w:val="523E512C"/>
    <w:rsid w:val="524C7077"/>
    <w:rsid w:val="52534FBC"/>
    <w:rsid w:val="527A416D"/>
    <w:rsid w:val="52870F0A"/>
    <w:rsid w:val="528720F2"/>
    <w:rsid w:val="528A7097"/>
    <w:rsid w:val="52A40164"/>
    <w:rsid w:val="52B56895"/>
    <w:rsid w:val="52BC645C"/>
    <w:rsid w:val="52C1356D"/>
    <w:rsid w:val="52D468B1"/>
    <w:rsid w:val="52D87B54"/>
    <w:rsid w:val="52DD3CEF"/>
    <w:rsid w:val="52E174D4"/>
    <w:rsid w:val="532E7EDB"/>
    <w:rsid w:val="53326DB5"/>
    <w:rsid w:val="53460F54"/>
    <w:rsid w:val="534907FA"/>
    <w:rsid w:val="5350082E"/>
    <w:rsid w:val="53512F49"/>
    <w:rsid w:val="5358625C"/>
    <w:rsid w:val="535A1F25"/>
    <w:rsid w:val="535A40F0"/>
    <w:rsid w:val="536A160E"/>
    <w:rsid w:val="53706C53"/>
    <w:rsid w:val="537B4987"/>
    <w:rsid w:val="537F0D1D"/>
    <w:rsid w:val="53854274"/>
    <w:rsid w:val="53964186"/>
    <w:rsid w:val="539666CF"/>
    <w:rsid w:val="53A92F04"/>
    <w:rsid w:val="53AB0E2B"/>
    <w:rsid w:val="53AB216D"/>
    <w:rsid w:val="53AD003A"/>
    <w:rsid w:val="53B0071D"/>
    <w:rsid w:val="53B37509"/>
    <w:rsid w:val="53CD523C"/>
    <w:rsid w:val="53D2624D"/>
    <w:rsid w:val="53D85834"/>
    <w:rsid w:val="53E865C1"/>
    <w:rsid w:val="53F50F05"/>
    <w:rsid w:val="540113F8"/>
    <w:rsid w:val="54022196"/>
    <w:rsid w:val="540B5884"/>
    <w:rsid w:val="54100034"/>
    <w:rsid w:val="542543BE"/>
    <w:rsid w:val="54256487"/>
    <w:rsid w:val="54322F51"/>
    <w:rsid w:val="5433490A"/>
    <w:rsid w:val="543959FD"/>
    <w:rsid w:val="544F26A0"/>
    <w:rsid w:val="54521EE7"/>
    <w:rsid w:val="545E48E2"/>
    <w:rsid w:val="547E04D4"/>
    <w:rsid w:val="54855730"/>
    <w:rsid w:val="54967CEE"/>
    <w:rsid w:val="54AE00FE"/>
    <w:rsid w:val="54B4736A"/>
    <w:rsid w:val="54BA4D98"/>
    <w:rsid w:val="54CD7C7C"/>
    <w:rsid w:val="54D848A0"/>
    <w:rsid w:val="54DC5FAF"/>
    <w:rsid w:val="54E449C6"/>
    <w:rsid w:val="54E72F8F"/>
    <w:rsid w:val="54E900BC"/>
    <w:rsid w:val="54ED0C26"/>
    <w:rsid w:val="5504210E"/>
    <w:rsid w:val="551903A7"/>
    <w:rsid w:val="551C5C77"/>
    <w:rsid w:val="551C5F3C"/>
    <w:rsid w:val="55282951"/>
    <w:rsid w:val="552F7E46"/>
    <w:rsid w:val="55365A26"/>
    <w:rsid w:val="554F68E1"/>
    <w:rsid w:val="55A457D3"/>
    <w:rsid w:val="55B3342C"/>
    <w:rsid w:val="55BF1CC3"/>
    <w:rsid w:val="55C547EE"/>
    <w:rsid w:val="55CE5B28"/>
    <w:rsid w:val="55F1092C"/>
    <w:rsid w:val="5603520B"/>
    <w:rsid w:val="560621DF"/>
    <w:rsid w:val="56096AE7"/>
    <w:rsid w:val="560E6D65"/>
    <w:rsid w:val="56222054"/>
    <w:rsid w:val="56265AE3"/>
    <w:rsid w:val="562A300C"/>
    <w:rsid w:val="562F06F0"/>
    <w:rsid w:val="562F66FD"/>
    <w:rsid w:val="563A0453"/>
    <w:rsid w:val="565263C0"/>
    <w:rsid w:val="5656450D"/>
    <w:rsid w:val="56595A2B"/>
    <w:rsid w:val="565C6CA5"/>
    <w:rsid w:val="565E2F6B"/>
    <w:rsid w:val="565F6F0F"/>
    <w:rsid w:val="56610A15"/>
    <w:rsid w:val="566112A9"/>
    <w:rsid w:val="56644F18"/>
    <w:rsid w:val="56696244"/>
    <w:rsid w:val="567647B9"/>
    <w:rsid w:val="569357FD"/>
    <w:rsid w:val="569D6149"/>
    <w:rsid w:val="56A76EA9"/>
    <w:rsid w:val="56C10779"/>
    <w:rsid w:val="56CE58A3"/>
    <w:rsid w:val="56EC106A"/>
    <w:rsid w:val="570109B9"/>
    <w:rsid w:val="57013299"/>
    <w:rsid w:val="5703604F"/>
    <w:rsid w:val="570E4616"/>
    <w:rsid w:val="57100CE9"/>
    <w:rsid w:val="5712706A"/>
    <w:rsid w:val="57411B58"/>
    <w:rsid w:val="57462382"/>
    <w:rsid w:val="574D3BFE"/>
    <w:rsid w:val="575D1E57"/>
    <w:rsid w:val="57642CFF"/>
    <w:rsid w:val="57690D4E"/>
    <w:rsid w:val="578213FB"/>
    <w:rsid w:val="578C177F"/>
    <w:rsid w:val="579D3E1D"/>
    <w:rsid w:val="57A16A34"/>
    <w:rsid w:val="57A97812"/>
    <w:rsid w:val="57B343A9"/>
    <w:rsid w:val="57B5066E"/>
    <w:rsid w:val="57B95737"/>
    <w:rsid w:val="57BE5556"/>
    <w:rsid w:val="57C33805"/>
    <w:rsid w:val="57CF0539"/>
    <w:rsid w:val="57E0592D"/>
    <w:rsid w:val="57E51E1B"/>
    <w:rsid w:val="580A286B"/>
    <w:rsid w:val="581D725C"/>
    <w:rsid w:val="58242DCD"/>
    <w:rsid w:val="58535244"/>
    <w:rsid w:val="5854719E"/>
    <w:rsid w:val="58580DA9"/>
    <w:rsid w:val="58670CF0"/>
    <w:rsid w:val="586E6522"/>
    <w:rsid w:val="588875E4"/>
    <w:rsid w:val="5891028A"/>
    <w:rsid w:val="589103F8"/>
    <w:rsid w:val="589870FB"/>
    <w:rsid w:val="58993DAD"/>
    <w:rsid w:val="58A31A1B"/>
    <w:rsid w:val="58BD3182"/>
    <w:rsid w:val="58CA1568"/>
    <w:rsid w:val="58D2139D"/>
    <w:rsid w:val="58D84A9F"/>
    <w:rsid w:val="58E3185E"/>
    <w:rsid w:val="58F40123"/>
    <w:rsid w:val="590D1E66"/>
    <w:rsid w:val="59203C3B"/>
    <w:rsid w:val="59411541"/>
    <w:rsid w:val="59486083"/>
    <w:rsid w:val="596520B2"/>
    <w:rsid w:val="598841D6"/>
    <w:rsid w:val="59992B37"/>
    <w:rsid w:val="599F779B"/>
    <w:rsid w:val="59A36746"/>
    <w:rsid w:val="59A93F88"/>
    <w:rsid w:val="59BC4841"/>
    <w:rsid w:val="59BF6131"/>
    <w:rsid w:val="59C06F28"/>
    <w:rsid w:val="59C310E7"/>
    <w:rsid w:val="59DA7144"/>
    <w:rsid w:val="59E179CE"/>
    <w:rsid w:val="59E613F7"/>
    <w:rsid w:val="5A0D7B12"/>
    <w:rsid w:val="5A312BCA"/>
    <w:rsid w:val="5A366BCB"/>
    <w:rsid w:val="5A3C7969"/>
    <w:rsid w:val="5A4A2210"/>
    <w:rsid w:val="5A55501F"/>
    <w:rsid w:val="5A65103E"/>
    <w:rsid w:val="5A6D40CF"/>
    <w:rsid w:val="5A7445FC"/>
    <w:rsid w:val="5A752CCF"/>
    <w:rsid w:val="5A7A5B70"/>
    <w:rsid w:val="5A7C7DE8"/>
    <w:rsid w:val="5A7F0572"/>
    <w:rsid w:val="5A7F3922"/>
    <w:rsid w:val="5A8251C1"/>
    <w:rsid w:val="5A915969"/>
    <w:rsid w:val="5AA633A9"/>
    <w:rsid w:val="5AB55661"/>
    <w:rsid w:val="5AB77727"/>
    <w:rsid w:val="5AB77D25"/>
    <w:rsid w:val="5ACB3575"/>
    <w:rsid w:val="5ACE1F40"/>
    <w:rsid w:val="5ADB38F9"/>
    <w:rsid w:val="5AE23CD9"/>
    <w:rsid w:val="5B053254"/>
    <w:rsid w:val="5B057B85"/>
    <w:rsid w:val="5B0916AE"/>
    <w:rsid w:val="5B0E10C4"/>
    <w:rsid w:val="5B290FD6"/>
    <w:rsid w:val="5B2B2046"/>
    <w:rsid w:val="5B3C0C85"/>
    <w:rsid w:val="5B5961B9"/>
    <w:rsid w:val="5B5F4B50"/>
    <w:rsid w:val="5B6852C4"/>
    <w:rsid w:val="5B9621A7"/>
    <w:rsid w:val="5BBA34DE"/>
    <w:rsid w:val="5BD21BED"/>
    <w:rsid w:val="5C01341B"/>
    <w:rsid w:val="5C0D4C3F"/>
    <w:rsid w:val="5C15796A"/>
    <w:rsid w:val="5C1833C7"/>
    <w:rsid w:val="5C1E13B2"/>
    <w:rsid w:val="5C3D6F74"/>
    <w:rsid w:val="5C4E77D1"/>
    <w:rsid w:val="5C4F5FEC"/>
    <w:rsid w:val="5C5573C1"/>
    <w:rsid w:val="5C750313"/>
    <w:rsid w:val="5C7765FD"/>
    <w:rsid w:val="5C77785A"/>
    <w:rsid w:val="5C7B61EE"/>
    <w:rsid w:val="5C882B99"/>
    <w:rsid w:val="5C8A5BD7"/>
    <w:rsid w:val="5C99061C"/>
    <w:rsid w:val="5CA12C8B"/>
    <w:rsid w:val="5CA97B7B"/>
    <w:rsid w:val="5CBD74A5"/>
    <w:rsid w:val="5CCB2F6C"/>
    <w:rsid w:val="5CEE7C31"/>
    <w:rsid w:val="5CF25791"/>
    <w:rsid w:val="5CF62431"/>
    <w:rsid w:val="5D035658"/>
    <w:rsid w:val="5D053E9D"/>
    <w:rsid w:val="5D187C80"/>
    <w:rsid w:val="5D1910E4"/>
    <w:rsid w:val="5D353C5C"/>
    <w:rsid w:val="5D37411F"/>
    <w:rsid w:val="5D8069A2"/>
    <w:rsid w:val="5D857B9A"/>
    <w:rsid w:val="5DC4007C"/>
    <w:rsid w:val="5DE86CC8"/>
    <w:rsid w:val="5DEC6F59"/>
    <w:rsid w:val="5DFC68F7"/>
    <w:rsid w:val="5E062B10"/>
    <w:rsid w:val="5E2011FD"/>
    <w:rsid w:val="5E3F189B"/>
    <w:rsid w:val="5E5079A2"/>
    <w:rsid w:val="5E532442"/>
    <w:rsid w:val="5E6F4B84"/>
    <w:rsid w:val="5E806923"/>
    <w:rsid w:val="5E955389"/>
    <w:rsid w:val="5EA61B6D"/>
    <w:rsid w:val="5EAC2D63"/>
    <w:rsid w:val="5ECB0143"/>
    <w:rsid w:val="5EDA2405"/>
    <w:rsid w:val="5EEB5318"/>
    <w:rsid w:val="5EF710F1"/>
    <w:rsid w:val="5F170C8B"/>
    <w:rsid w:val="5F1A4D3B"/>
    <w:rsid w:val="5F2F209D"/>
    <w:rsid w:val="5F3558AB"/>
    <w:rsid w:val="5F3C256D"/>
    <w:rsid w:val="5F5D3044"/>
    <w:rsid w:val="5F68004A"/>
    <w:rsid w:val="5F6A3765"/>
    <w:rsid w:val="5F7249C7"/>
    <w:rsid w:val="5F89129D"/>
    <w:rsid w:val="5FAD475A"/>
    <w:rsid w:val="5FB114FA"/>
    <w:rsid w:val="5FB46A49"/>
    <w:rsid w:val="5FC369E6"/>
    <w:rsid w:val="5FE46BA7"/>
    <w:rsid w:val="5FED25F8"/>
    <w:rsid w:val="5FF4110D"/>
    <w:rsid w:val="5FF977B0"/>
    <w:rsid w:val="60123267"/>
    <w:rsid w:val="60137628"/>
    <w:rsid w:val="601C4AB5"/>
    <w:rsid w:val="603334ED"/>
    <w:rsid w:val="603644A3"/>
    <w:rsid w:val="60571095"/>
    <w:rsid w:val="605859DA"/>
    <w:rsid w:val="60776578"/>
    <w:rsid w:val="60950703"/>
    <w:rsid w:val="609E7554"/>
    <w:rsid w:val="60A02396"/>
    <w:rsid w:val="60A0558C"/>
    <w:rsid w:val="60C121F0"/>
    <w:rsid w:val="60D019CB"/>
    <w:rsid w:val="610A6B85"/>
    <w:rsid w:val="613F0502"/>
    <w:rsid w:val="61402BEB"/>
    <w:rsid w:val="6145680C"/>
    <w:rsid w:val="616D4AEE"/>
    <w:rsid w:val="617836E4"/>
    <w:rsid w:val="61937603"/>
    <w:rsid w:val="61AD1DFA"/>
    <w:rsid w:val="61C255F6"/>
    <w:rsid w:val="61C663F7"/>
    <w:rsid w:val="61D2676D"/>
    <w:rsid w:val="61D77F7E"/>
    <w:rsid w:val="61E6701E"/>
    <w:rsid w:val="61EF3D7B"/>
    <w:rsid w:val="62044C6F"/>
    <w:rsid w:val="620A50DF"/>
    <w:rsid w:val="620F205A"/>
    <w:rsid w:val="621356D8"/>
    <w:rsid w:val="62156627"/>
    <w:rsid w:val="621C7DAE"/>
    <w:rsid w:val="622E7EF5"/>
    <w:rsid w:val="623D3EDD"/>
    <w:rsid w:val="62581C96"/>
    <w:rsid w:val="625C23C2"/>
    <w:rsid w:val="625D622C"/>
    <w:rsid w:val="62612C32"/>
    <w:rsid w:val="628A39D5"/>
    <w:rsid w:val="62A0726A"/>
    <w:rsid w:val="62D1173E"/>
    <w:rsid w:val="62DE3F75"/>
    <w:rsid w:val="62E15898"/>
    <w:rsid w:val="62EA24F3"/>
    <w:rsid w:val="62F56ED0"/>
    <w:rsid w:val="62F96BC1"/>
    <w:rsid w:val="6301417A"/>
    <w:rsid w:val="630F1111"/>
    <w:rsid w:val="631230E6"/>
    <w:rsid w:val="63333AD9"/>
    <w:rsid w:val="633C4090"/>
    <w:rsid w:val="634E71DD"/>
    <w:rsid w:val="637E6FE3"/>
    <w:rsid w:val="638A6AA1"/>
    <w:rsid w:val="63B87863"/>
    <w:rsid w:val="63C24293"/>
    <w:rsid w:val="63D4140E"/>
    <w:rsid w:val="63E93681"/>
    <w:rsid w:val="63FB2293"/>
    <w:rsid w:val="64022736"/>
    <w:rsid w:val="640A3D2C"/>
    <w:rsid w:val="640D4CCD"/>
    <w:rsid w:val="641A0A7F"/>
    <w:rsid w:val="64214884"/>
    <w:rsid w:val="644233D7"/>
    <w:rsid w:val="644A0021"/>
    <w:rsid w:val="644E0E4F"/>
    <w:rsid w:val="64502F80"/>
    <w:rsid w:val="646A21B2"/>
    <w:rsid w:val="646A24FF"/>
    <w:rsid w:val="647D7F74"/>
    <w:rsid w:val="648E702E"/>
    <w:rsid w:val="64917B47"/>
    <w:rsid w:val="64A5139D"/>
    <w:rsid w:val="64AB356F"/>
    <w:rsid w:val="64BC11C2"/>
    <w:rsid w:val="64E0210A"/>
    <w:rsid w:val="650D5260"/>
    <w:rsid w:val="65240D5E"/>
    <w:rsid w:val="653531B3"/>
    <w:rsid w:val="654419AD"/>
    <w:rsid w:val="654D07A5"/>
    <w:rsid w:val="65625933"/>
    <w:rsid w:val="656F7810"/>
    <w:rsid w:val="65792FDB"/>
    <w:rsid w:val="657C329B"/>
    <w:rsid w:val="65896010"/>
    <w:rsid w:val="658C0F29"/>
    <w:rsid w:val="65C07DA8"/>
    <w:rsid w:val="65CB17E4"/>
    <w:rsid w:val="65CD3440"/>
    <w:rsid w:val="65CE152D"/>
    <w:rsid w:val="65DE786E"/>
    <w:rsid w:val="65E433EF"/>
    <w:rsid w:val="65FE3D5A"/>
    <w:rsid w:val="66047DA9"/>
    <w:rsid w:val="66072A79"/>
    <w:rsid w:val="6607442B"/>
    <w:rsid w:val="66081D64"/>
    <w:rsid w:val="66167423"/>
    <w:rsid w:val="665635A1"/>
    <w:rsid w:val="665778F0"/>
    <w:rsid w:val="666136EF"/>
    <w:rsid w:val="666B23BE"/>
    <w:rsid w:val="66703F65"/>
    <w:rsid w:val="667A6E18"/>
    <w:rsid w:val="667D1B52"/>
    <w:rsid w:val="6691066A"/>
    <w:rsid w:val="66A6681D"/>
    <w:rsid w:val="66B7257B"/>
    <w:rsid w:val="66B820C1"/>
    <w:rsid w:val="66DE7BAD"/>
    <w:rsid w:val="66E37770"/>
    <w:rsid w:val="66EC600A"/>
    <w:rsid w:val="66EF2AE2"/>
    <w:rsid w:val="670315B9"/>
    <w:rsid w:val="67094B62"/>
    <w:rsid w:val="670A6DDC"/>
    <w:rsid w:val="671D0041"/>
    <w:rsid w:val="671F4E83"/>
    <w:rsid w:val="672405FE"/>
    <w:rsid w:val="672E6C65"/>
    <w:rsid w:val="672F584C"/>
    <w:rsid w:val="673677EC"/>
    <w:rsid w:val="675569CA"/>
    <w:rsid w:val="67570C32"/>
    <w:rsid w:val="67682C35"/>
    <w:rsid w:val="67757155"/>
    <w:rsid w:val="677B03C8"/>
    <w:rsid w:val="677E1487"/>
    <w:rsid w:val="678D6148"/>
    <w:rsid w:val="67963260"/>
    <w:rsid w:val="67971638"/>
    <w:rsid w:val="67AA1F0A"/>
    <w:rsid w:val="67C27400"/>
    <w:rsid w:val="67CD30A1"/>
    <w:rsid w:val="67CD6EE8"/>
    <w:rsid w:val="67DB0DB2"/>
    <w:rsid w:val="67DD57F6"/>
    <w:rsid w:val="67E255E5"/>
    <w:rsid w:val="67F63DC6"/>
    <w:rsid w:val="67F83803"/>
    <w:rsid w:val="67FD4331"/>
    <w:rsid w:val="67FD6BBD"/>
    <w:rsid w:val="68026139"/>
    <w:rsid w:val="680808B2"/>
    <w:rsid w:val="681E4CE0"/>
    <w:rsid w:val="68304E41"/>
    <w:rsid w:val="683A63F3"/>
    <w:rsid w:val="683C3328"/>
    <w:rsid w:val="685E0BB4"/>
    <w:rsid w:val="68645C8F"/>
    <w:rsid w:val="68670E37"/>
    <w:rsid w:val="68714E80"/>
    <w:rsid w:val="687762FE"/>
    <w:rsid w:val="687909C9"/>
    <w:rsid w:val="688E35EF"/>
    <w:rsid w:val="68932F24"/>
    <w:rsid w:val="689B622D"/>
    <w:rsid w:val="68AB73D1"/>
    <w:rsid w:val="68AE1533"/>
    <w:rsid w:val="68CA6200"/>
    <w:rsid w:val="68D65BB8"/>
    <w:rsid w:val="68DB63A5"/>
    <w:rsid w:val="68E249B9"/>
    <w:rsid w:val="68EE3324"/>
    <w:rsid w:val="68FC6A86"/>
    <w:rsid w:val="68FF64A6"/>
    <w:rsid w:val="692E3B69"/>
    <w:rsid w:val="693636D7"/>
    <w:rsid w:val="69416CA9"/>
    <w:rsid w:val="69665292"/>
    <w:rsid w:val="69794CF0"/>
    <w:rsid w:val="6985430F"/>
    <w:rsid w:val="698B14FC"/>
    <w:rsid w:val="69912EFC"/>
    <w:rsid w:val="69931944"/>
    <w:rsid w:val="69947FC5"/>
    <w:rsid w:val="69A45062"/>
    <w:rsid w:val="69AC185D"/>
    <w:rsid w:val="69CC666B"/>
    <w:rsid w:val="69CE0BCF"/>
    <w:rsid w:val="69D271C4"/>
    <w:rsid w:val="69D56401"/>
    <w:rsid w:val="69DA563B"/>
    <w:rsid w:val="69DF26DD"/>
    <w:rsid w:val="69E338F6"/>
    <w:rsid w:val="69E63423"/>
    <w:rsid w:val="69E94088"/>
    <w:rsid w:val="69EA2005"/>
    <w:rsid w:val="69EE7161"/>
    <w:rsid w:val="69F344A0"/>
    <w:rsid w:val="6A022000"/>
    <w:rsid w:val="6A0617A7"/>
    <w:rsid w:val="6A0B06FE"/>
    <w:rsid w:val="6A0B1E23"/>
    <w:rsid w:val="6A1E3844"/>
    <w:rsid w:val="6A1F32BA"/>
    <w:rsid w:val="6A252E39"/>
    <w:rsid w:val="6A257478"/>
    <w:rsid w:val="6A3B74AB"/>
    <w:rsid w:val="6A3C5DEB"/>
    <w:rsid w:val="6A4B36AC"/>
    <w:rsid w:val="6A5112E7"/>
    <w:rsid w:val="6A514778"/>
    <w:rsid w:val="6A657E01"/>
    <w:rsid w:val="6A79643E"/>
    <w:rsid w:val="6A8C5F2D"/>
    <w:rsid w:val="6AB410E4"/>
    <w:rsid w:val="6AB6119F"/>
    <w:rsid w:val="6ABA3268"/>
    <w:rsid w:val="6ABB104F"/>
    <w:rsid w:val="6AC556A3"/>
    <w:rsid w:val="6AC63C0C"/>
    <w:rsid w:val="6ACC7310"/>
    <w:rsid w:val="6AFD6C0E"/>
    <w:rsid w:val="6B2312C6"/>
    <w:rsid w:val="6B24585F"/>
    <w:rsid w:val="6B362DFC"/>
    <w:rsid w:val="6B550F02"/>
    <w:rsid w:val="6B5D37F6"/>
    <w:rsid w:val="6B60267C"/>
    <w:rsid w:val="6B6E6999"/>
    <w:rsid w:val="6B722499"/>
    <w:rsid w:val="6B72528C"/>
    <w:rsid w:val="6B784B39"/>
    <w:rsid w:val="6B787373"/>
    <w:rsid w:val="6B7C24B0"/>
    <w:rsid w:val="6B926770"/>
    <w:rsid w:val="6B953C45"/>
    <w:rsid w:val="6BA948EA"/>
    <w:rsid w:val="6BA95681"/>
    <w:rsid w:val="6BAB2533"/>
    <w:rsid w:val="6BB67490"/>
    <w:rsid w:val="6BBA6495"/>
    <w:rsid w:val="6BCA79DB"/>
    <w:rsid w:val="6BE046F6"/>
    <w:rsid w:val="6BFB0236"/>
    <w:rsid w:val="6BFF63FB"/>
    <w:rsid w:val="6C0409BA"/>
    <w:rsid w:val="6C165EC1"/>
    <w:rsid w:val="6C270A6A"/>
    <w:rsid w:val="6C2856BA"/>
    <w:rsid w:val="6C2B2308"/>
    <w:rsid w:val="6C3E3029"/>
    <w:rsid w:val="6C4863D1"/>
    <w:rsid w:val="6C4D29F7"/>
    <w:rsid w:val="6C507664"/>
    <w:rsid w:val="6C5A1E09"/>
    <w:rsid w:val="6C5B0FCF"/>
    <w:rsid w:val="6C611CF6"/>
    <w:rsid w:val="6C68121A"/>
    <w:rsid w:val="6C69403E"/>
    <w:rsid w:val="6C69753A"/>
    <w:rsid w:val="6C6A7308"/>
    <w:rsid w:val="6C8F3D0E"/>
    <w:rsid w:val="6C914709"/>
    <w:rsid w:val="6C9E7EB6"/>
    <w:rsid w:val="6CAA08B8"/>
    <w:rsid w:val="6CBA3ADB"/>
    <w:rsid w:val="6CC027DB"/>
    <w:rsid w:val="6CC77651"/>
    <w:rsid w:val="6CE51A01"/>
    <w:rsid w:val="6CEB5DCC"/>
    <w:rsid w:val="6CF00D60"/>
    <w:rsid w:val="6D14306A"/>
    <w:rsid w:val="6D15738B"/>
    <w:rsid w:val="6D22263A"/>
    <w:rsid w:val="6D2E7FB6"/>
    <w:rsid w:val="6D561607"/>
    <w:rsid w:val="6D565977"/>
    <w:rsid w:val="6D5842BF"/>
    <w:rsid w:val="6D5852A9"/>
    <w:rsid w:val="6D5945B3"/>
    <w:rsid w:val="6D614330"/>
    <w:rsid w:val="6D6C0885"/>
    <w:rsid w:val="6D8B2CB6"/>
    <w:rsid w:val="6D8E7F3B"/>
    <w:rsid w:val="6D925E21"/>
    <w:rsid w:val="6D947AFF"/>
    <w:rsid w:val="6D995A16"/>
    <w:rsid w:val="6D9C1CAB"/>
    <w:rsid w:val="6DAB4C69"/>
    <w:rsid w:val="6DBB4D51"/>
    <w:rsid w:val="6DC91802"/>
    <w:rsid w:val="6DCA5657"/>
    <w:rsid w:val="6DEA137C"/>
    <w:rsid w:val="6DEE6B81"/>
    <w:rsid w:val="6DF02503"/>
    <w:rsid w:val="6DF071AE"/>
    <w:rsid w:val="6DF54B99"/>
    <w:rsid w:val="6DF90F09"/>
    <w:rsid w:val="6E071029"/>
    <w:rsid w:val="6E141401"/>
    <w:rsid w:val="6E2617D2"/>
    <w:rsid w:val="6E32619A"/>
    <w:rsid w:val="6E3513FC"/>
    <w:rsid w:val="6E3C476A"/>
    <w:rsid w:val="6E3E2327"/>
    <w:rsid w:val="6E462293"/>
    <w:rsid w:val="6E4771A1"/>
    <w:rsid w:val="6E70025F"/>
    <w:rsid w:val="6E804B22"/>
    <w:rsid w:val="6E8B00CB"/>
    <w:rsid w:val="6E8B1913"/>
    <w:rsid w:val="6E960B94"/>
    <w:rsid w:val="6E974DC1"/>
    <w:rsid w:val="6E9B0B91"/>
    <w:rsid w:val="6EA02E8C"/>
    <w:rsid w:val="6EA042B7"/>
    <w:rsid w:val="6EA25168"/>
    <w:rsid w:val="6EBC6C0D"/>
    <w:rsid w:val="6EC90246"/>
    <w:rsid w:val="6ED924EF"/>
    <w:rsid w:val="6EDF562C"/>
    <w:rsid w:val="6EE340B3"/>
    <w:rsid w:val="6F314719"/>
    <w:rsid w:val="6F3571B4"/>
    <w:rsid w:val="6F3E0983"/>
    <w:rsid w:val="6F78316E"/>
    <w:rsid w:val="6F785DB3"/>
    <w:rsid w:val="6F8579E9"/>
    <w:rsid w:val="6F8D1BB0"/>
    <w:rsid w:val="6F906B36"/>
    <w:rsid w:val="6F91202A"/>
    <w:rsid w:val="6F96166B"/>
    <w:rsid w:val="6F9A2250"/>
    <w:rsid w:val="6F9D7C33"/>
    <w:rsid w:val="6F9E54E7"/>
    <w:rsid w:val="6FA872D4"/>
    <w:rsid w:val="6FB42615"/>
    <w:rsid w:val="6FBF0921"/>
    <w:rsid w:val="6FCF5EF3"/>
    <w:rsid w:val="6FDF57C7"/>
    <w:rsid w:val="6FE01B1D"/>
    <w:rsid w:val="6FE03985"/>
    <w:rsid w:val="6FE34F11"/>
    <w:rsid w:val="6FE90AB1"/>
    <w:rsid w:val="6FE93D33"/>
    <w:rsid w:val="6FF807CA"/>
    <w:rsid w:val="6FF95D27"/>
    <w:rsid w:val="70080344"/>
    <w:rsid w:val="700E38C4"/>
    <w:rsid w:val="70186404"/>
    <w:rsid w:val="701D162A"/>
    <w:rsid w:val="701D301F"/>
    <w:rsid w:val="701E4A84"/>
    <w:rsid w:val="703543FC"/>
    <w:rsid w:val="70512D5D"/>
    <w:rsid w:val="705357FD"/>
    <w:rsid w:val="705C186E"/>
    <w:rsid w:val="7060454A"/>
    <w:rsid w:val="70785B24"/>
    <w:rsid w:val="707A0902"/>
    <w:rsid w:val="707C7F22"/>
    <w:rsid w:val="70842A68"/>
    <w:rsid w:val="70862BC5"/>
    <w:rsid w:val="708C5234"/>
    <w:rsid w:val="70917B6C"/>
    <w:rsid w:val="709C5D84"/>
    <w:rsid w:val="709D7DA2"/>
    <w:rsid w:val="709E387E"/>
    <w:rsid w:val="70B10CAA"/>
    <w:rsid w:val="70D50BBD"/>
    <w:rsid w:val="70D6163C"/>
    <w:rsid w:val="70DE382D"/>
    <w:rsid w:val="70EA5F72"/>
    <w:rsid w:val="70EE20B9"/>
    <w:rsid w:val="70F6275D"/>
    <w:rsid w:val="70FA6E18"/>
    <w:rsid w:val="71085246"/>
    <w:rsid w:val="711F3FEC"/>
    <w:rsid w:val="712C41CB"/>
    <w:rsid w:val="71507205"/>
    <w:rsid w:val="71654E23"/>
    <w:rsid w:val="71675208"/>
    <w:rsid w:val="7171411B"/>
    <w:rsid w:val="71755B13"/>
    <w:rsid w:val="7179329F"/>
    <w:rsid w:val="717A0994"/>
    <w:rsid w:val="717B5924"/>
    <w:rsid w:val="71823245"/>
    <w:rsid w:val="71A75CDD"/>
    <w:rsid w:val="71AB04B3"/>
    <w:rsid w:val="71AF5224"/>
    <w:rsid w:val="71B017D9"/>
    <w:rsid w:val="71B40C3C"/>
    <w:rsid w:val="71BB1261"/>
    <w:rsid w:val="71CC1CA8"/>
    <w:rsid w:val="71CF03CA"/>
    <w:rsid w:val="71E3127A"/>
    <w:rsid w:val="71EA3777"/>
    <w:rsid w:val="72074267"/>
    <w:rsid w:val="72107323"/>
    <w:rsid w:val="72203AA3"/>
    <w:rsid w:val="72256583"/>
    <w:rsid w:val="72385F7A"/>
    <w:rsid w:val="72606A84"/>
    <w:rsid w:val="72672B23"/>
    <w:rsid w:val="72703CD8"/>
    <w:rsid w:val="72905159"/>
    <w:rsid w:val="729B3FD8"/>
    <w:rsid w:val="729D141C"/>
    <w:rsid w:val="72A526E9"/>
    <w:rsid w:val="72E83D4A"/>
    <w:rsid w:val="72E85951"/>
    <w:rsid w:val="72E912CE"/>
    <w:rsid w:val="73032243"/>
    <w:rsid w:val="731732B0"/>
    <w:rsid w:val="731E0D3F"/>
    <w:rsid w:val="732E1F5A"/>
    <w:rsid w:val="73470D2A"/>
    <w:rsid w:val="734C246B"/>
    <w:rsid w:val="734E6950"/>
    <w:rsid w:val="735F6666"/>
    <w:rsid w:val="7360407C"/>
    <w:rsid w:val="737B68B1"/>
    <w:rsid w:val="73885EAE"/>
    <w:rsid w:val="73903217"/>
    <w:rsid w:val="73982BDA"/>
    <w:rsid w:val="739C58DF"/>
    <w:rsid w:val="73D36BC5"/>
    <w:rsid w:val="73D52C73"/>
    <w:rsid w:val="73DC2BF9"/>
    <w:rsid w:val="73E35E34"/>
    <w:rsid w:val="73EA163A"/>
    <w:rsid w:val="73F25E01"/>
    <w:rsid w:val="73F97190"/>
    <w:rsid w:val="73FE7DFD"/>
    <w:rsid w:val="740106A2"/>
    <w:rsid w:val="74095D8A"/>
    <w:rsid w:val="740A2798"/>
    <w:rsid w:val="742354FF"/>
    <w:rsid w:val="74401E95"/>
    <w:rsid w:val="744A5304"/>
    <w:rsid w:val="744D33C2"/>
    <w:rsid w:val="74643291"/>
    <w:rsid w:val="74674695"/>
    <w:rsid w:val="74856C75"/>
    <w:rsid w:val="74867791"/>
    <w:rsid w:val="74956FFB"/>
    <w:rsid w:val="74AE0EFB"/>
    <w:rsid w:val="74B4710D"/>
    <w:rsid w:val="74B85457"/>
    <w:rsid w:val="74DE58A3"/>
    <w:rsid w:val="74E474F8"/>
    <w:rsid w:val="74E7348C"/>
    <w:rsid w:val="74EA74BE"/>
    <w:rsid w:val="7500007B"/>
    <w:rsid w:val="750312F5"/>
    <w:rsid w:val="75145CA5"/>
    <w:rsid w:val="752042B8"/>
    <w:rsid w:val="75250B25"/>
    <w:rsid w:val="752A6F32"/>
    <w:rsid w:val="753C7A5C"/>
    <w:rsid w:val="75431464"/>
    <w:rsid w:val="75593A40"/>
    <w:rsid w:val="7559693B"/>
    <w:rsid w:val="755B3B1B"/>
    <w:rsid w:val="75614522"/>
    <w:rsid w:val="75624C21"/>
    <w:rsid w:val="757876D5"/>
    <w:rsid w:val="757972AD"/>
    <w:rsid w:val="757E429D"/>
    <w:rsid w:val="75825236"/>
    <w:rsid w:val="758430E3"/>
    <w:rsid w:val="758670E6"/>
    <w:rsid w:val="75963445"/>
    <w:rsid w:val="759B4655"/>
    <w:rsid w:val="75BC5AD4"/>
    <w:rsid w:val="75C90F5B"/>
    <w:rsid w:val="75D27A80"/>
    <w:rsid w:val="75D52D8B"/>
    <w:rsid w:val="75EA3234"/>
    <w:rsid w:val="75EB77ED"/>
    <w:rsid w:val="75EE7A9A"/>
    <w:rsid w:val="75F02F83"/>
    <w:rsid w:val="75F20929"/>
    <w:rsid w:val="75F45E61"/>
    <w:rsid w:val="75F840CB"/>
    <w:rsid w:val="76000B48"/>
    <w:rsid w:val="760110BE"/>
    <w:rsid w:val="760E315F"/>
    <w:rsid w:val="760E77E6"/>
    <w:rsid w:val="7631742B"/>
    <w:rsid w:val="76377FBF"/>
    <w:rsid w:val="763E2880"/>
    <w:rsid w:val="763F61D3"/>
    <w:rsid w:val="764A0F8C"/>
    <w:rsid w:val="765C4249"/>
    <w:rsid w:val="767B1F5E"/>
    <w:rsid w:val="767B267E"/>
    <w:rsid w:val="76900C84"/>
    <w:rsid w:val="769F673F"/>
    <w:rsid w:val="76A2151B"/>
    <w:rsid w:val="76AF23C1"/>
    <w:rsid w:val="76B83C03"/>
    <w:rsid w:val="76D21D73"/>
    <w:rsid w:val="76D84D7F"/>
    <w:rsid w:val="76DA3986"/>
    <w:rsid w:val="76F32EB6"/>
    <w:rsid w:val="76FF5C02"/>
    <w:rsid w:val="77154A88"/>
    <w:rsid w:val="771A6667"/>
    <w:rsid w:val="772B2128"/>
    <w:rsid w:val="772F125E"/>
    <w:rsid w:val="774162A9"/>
    <w:rsid w:val="77422275"/>
    <w:rsid w:val="77582734"/>
    <w:rsid w:val="77664C09"/>
    <w:rsid w:val="776B1116"/>
    <w:rsid w:val="776B1129"/>
    <w:rsid w:val="776D4511"/>
    <w:rsid w:val="776D498D"/>
    <w:rsid w:val="77717EDA"/>
    <w:rsid w:val="777B3140"/>
    <w:rsid w:val="77861640"/>
    <w:rsid w:val="77AB59ED"/>
    <w:rsid w:val="77AF3BEF"/>
    <w:rsid w:val="77B04F94"/>
    <w:rsid w:val="77BE04D4"/>
    <w:rsid w:val="77C44397"/>
    <w:rsid w:val="77CC5CCC"/>
    <w:rsid w:val="77D46933"/>
    <w:rsid w:val="77D95D41"/>
    <w:rsid w:val="77D96E1B"/>
    <w:rsid w:val="77EC3530"/>
    <w:rsid w:val="77F155D3"/>
    <w:rsid w:val="77F626EF"/>
    <w:rsid w:val="77F86242"/>
    <w:rsid w:val="77FB6308"/>
    <w:rsid w:val="77FE44BB"/>
    <w:rsid w:val="7803069A"/>
    <w:rsid w:val="780E2F43"/>
    <w:rsid w:val="781F686C"/>
    <w:rsid w:val="78210C0F"/>
    <w:rsid w:val="7825660C"/>
    <w:rsid w:val="78284374"/>
    <w:rsid w:val="78405B40"/>
    <w:rsid w:val="7843473F"/>
    <w:rsid w:val="78846111"/>
    <w:rsid w:val="78894B65"/>
    <w:rsid w:val="788A5463"/>
    <w:rsid w:val="788F5C7A"/>
    <w:rsid w:val="789957F1"/>
    <w:rsid w:val="789F05E0"/>
    <w:rsid w:val="78A450C9"/>
    <w:rsid w:val="78A64CE6"/>
    <w:rsid w:val="78B22AFA"/>
    <w:rsid w:val="78BE3FA2"/>
    <w:rsid w:val="78C01A94"/>
    <w:rsid w:val="78D23D75"/>
    <w:rsid w:val="78E67AA4"/>
    <w:rsid w:val="78EB1E02"/>
    <w:rsid w:val="78EB3FF3"/>
    <w:rsid w:val="790214B8"/>
    <w:rsid w:val="790357C0"/>
    <w:rsid w:val="790A2EFE"/>
    <w:rsid w:val="79100301"/>
    <w:rsid w:val="791F67E3"/>
    <w:rsid w:val="79430AA1"/>
    <w:rsid w:val="795758E1"/>
    <w:rsid w:val="79797B7F"/>
    <w:rsid w:val="799A287B"/>
    <w:rsid w:val="799E1808"/>
    <w:rsid w:val="79CC0EBE"/>
    <w:rsid w:val="79D074EE"/>
    <w:rsid w:val="79DA6E10"/>
    <w:rsid w:val="79F95D73"/>
    <w:rsid w:val="7A0A4977"/>
    <w:rsid w:val="7A105D33"/>
    <w:rsid w:val="7A150E78"/>
    <w:rsid w:val="7A2D7B93"/>
    <w:rsid w:val="7A33682E"/>
    <w:rsid w:val="7A34419C"/>
    <w:rsid w:val="7A3921CE"/>
    <w:rsid w:val="7A565DCF"/>
    <w:rsid w:val="7A607E56"/>
    <w:rsid w:val="7A8F18EA"/>
    <w:rsid w:val="7A9E4836"/>
    <w:rsid w:val="7AB22C6D"/>
    <w:rsid w:val="7AB46FBA"/>
    <w:rsid w:val="7ABA7F95"/>
    <w:rsid w:val="7ABC6EA6"/>
    <w:rsid w:val="7AD305FB"/>
    <w:rsid w:val="7B020E5F"/>
    <w:rsid w:val="7B041BB7"/>
    <w:rsid w:val="7B072949"/>
    <w:rsid w:val="7B17254F"/>
    <w:rsid w:val="7B1F2392"/>
    <w:rsid w:val="7B2313A2"/>
    <w:rsid w:val="7B2A2214"/>
    <w:rsid w:val="7B315242"/>
    <w:rsid w:val="7B3C709B"/>
    <w:rsid w:val="7B456FFB"/>
    <w:rsid w:val="7B5E6445"/>
    <w:rsid w:val="7B607AF4"/>
    <w:rsid w:val="7B617BB4"/>
    <w:rsid w:val="7B622FF7"/>
    <w:rsid w:val="7B651DFB"/>
    <w:rsid w:val="7B747E09"/>
    <w:rsid w:val="7BA5384E"/>
    <w:rsid w:val="7BC11F4C"/>
    <w:rsid w:val="7BC90381"/>
    <w:rsid w:val="7BCA702E"/>
    <w:rsid w:val="7BD6411B"/>
    <w:rsid w:val="7BE677C4"/>
    <w:rsid w:val="7BF061B2"/>
    <w:rsid w:val="7BF10BDA"/>
    <w:rsid w:val="7BF13F8D"/>
    <w:rsid w:val="7BFF1130"/>
    <w:rsid w:val="7C0A4FAD"/>
    <w:rsid w:val="7C167E7F"/>
    <w:rsid w:val="7C181F36"/>
    <w:rsid w:val="7C1A41F3"/>
    <w:rsid w:val="7C353E49"/>
    <w:rsid w:val="7C424320"/>
    <w:rsid w:val="7C512302"/>
    <w:rsid w:val="7C5232BC"/>
    <w:rsid w:val="7C541BAA"/>
    <w:rsid w:val="7C582FF9"/>
    <w:rsid w:val="7C5B2108"/>
    <w:rsid w:val="7C5F39A9"/>
    <w:rsid w:val="7C655B33"/>
    <w:rsid w:val="7C743144"/>
    <w:rsid w:val="7C8B347D"/>
    <w:rsid w:val="7CA40E73"/>
    <w:rsid w:val="7CA4558C"/>
    <w:rsid w:val="7CA52119"/>
    <w:rsid w:val="7CAE4849"/>
    <w:rsid w:val="7CB62BDC"/>
    <w:rsid w:val="7CDB0AF8"/>
    <w:rsid w:val="7CE65EFE"/>
    <w:rsid w:val="7CE82909"/>
    <w:rsid w:val="7CFA4293"/>
    <w:rsid w:val="7CFC11CD"/>
    <w:rsid w:val="7D10042C"/>
    <w:rsid w:val="7D1577D7"/>
    <w:rsid w:val="7D165A42"/>
    <w:rsid w:val="7D175B43"/>
    <w:rsid w:val="7D1F4538"/>
    <w:rsid w:val="7D2832B7"/>
    <w:rsid w:val="7D292A96"/>
    <w:rsid w:val="7D3E27CA"/>
    <w:rsid w:val="7D434D5D"/>
    <w:rsid w:val="7D4F2CDF"/>
    <w:rsid w:val="7D52569F"/>
    <w:rsid w:val="7D580377"/>
    <w:rsid w:val="7D665D96"/>
    <w:rsid w:val="7D6A6A08"/>
    <w:rsid w:val="7D6D48DD"/>
    <w:rsid w:val="7D7A3EEC"/>
    <w:rsid w:val="7D9D3EFE"/>
    <w:rsid w:val="7DAF31B6"/>
    <w:rsid w:val="7DAF67E9"/>
    <w:rsid w:val="7DBC50C8"/>
    <w:rsid w:val="7DBE1B6A"/>
    <w:rsid w:val="7DC014A9"/>
    <w:rsid w:val="7DC120BE"/>
    <w:rsid w:val="7DE834E9"/>
    <w:rsid w:val="7DFB700F"/>
    <w:rsid w:val="7E1251D3"/>
    <w:rsid w:val="7E1851F2"/>
    <w:rsid w:val="7E266358"/>
    <w:rsid w:val="7E2717E2"/>
    <w:rsid w:val="7E453FFD"/>
    <w:rsid w:val="7E487969"/>
    <w:rsid w:val="7E4A4634"/>
    <w:rsid w:val="7E595D7B"/>
    <w:rsid w:val="7E6635D4"/>
    <w:rsid w:val="7E6F412A"/>
    <w:rsid w:val="7EA1405A"/>
    <w:rsid w:val="7EB07A2D"/>
    <w:rsid w:val="7EB46D21"/>
    <w:rsid w:val="7EB53CA2"/>
    <w:rsid w:val="7EB9778B"/>
    <w:rsid w:val="7EC54CC6"/>
    <w:rsid w:val="7ED05FD0"/>
    <w:rsid w:val="7EF85E73"/>
    <w:rsid w:val="7F1C2BB0"/>
    <w:rsid w:val="7F245B0C"/>
    <w:rsid w:val="7F395322"/>
    <w:rsid w:val="7F3E2A62"/>
    <w:rsid w:val="7F473B39"/>
    <w:rsid w:val="7F5F1889"/>
    <w:rsid w:val="7F645E05"/>
    <w:rsid w:val="7F675780"/>
    <w:rsid w:val="7F7A519B"/>
    <w:rsid w:val="7FA87043"/>
    <w:rsid w:val="7FB126CD"/>
    <w:rsid w:val="7FC30555"/>
    <w:rsid w:val="7FD65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3"/>
    <w:qFormat/>
    <w:uiPriority w:val="0"/>
    <w:pPr>
      <w:spacing w:before="0" w:beforeAutospacing="0" w:after="0" w:afterAutospacing="0"/>
      <w:ind w:firstLine="0" w:firstLineChars="0"/>
      <w:jc w:val="center"/>
      <w:outlineLvl w:val="0"/>
    </w:pPr>
    <w:rPr>
      <w:rFonts w:hint="eastAsia" w:ascii="Times New Roman" w:hAnsi="Times New Roman" w:eastAsia="宋体" w:cs="Times New Roman"/>
      <w:b/>
      <w:bCs/>
      <w:sz w:val="44"/>
      <w:szCs w:val="44"/>
      <w:lang w:bidi="ar"/>
    </w:rPr>
  </w:style>
  <w:style w:type="paragraph" w:styleId="3">
    <w:name w:val="heading 2"/>
    <w:basedOn w:val="1"/>
    <w:next w:val="1"/>
    <w:link w:val="29"/>
    <w:unhideWhenUsed/>
    <w:qFormat/>
    <w:uiPriority w:val="0"/>
    <w:pPr>
      <w:keepNext/>
      <w:keepLines/>
      <w:spacing w:beforeLines="0" w:beforeAutospacing="0" w:afterLines="0" w:afterAutospacing="0" w:line="360" w:lineRule="auto"/>
      <w:ind w:firstLine="0" w:firstLineChars="0"/>
      <w:outlineLvl w:val="1"/>
    </w:pPr>
    <w:rPr>
      <w:rFonts w:ascii="Times New Roman" w:hAnsi="Times New Roman" w:eastAsia="宋体"/>
      <w:b/>
      <w:sz w:val="32"/>
      <w:szCs w:val="32"/>
    </w:rPr>
  </w:style>
  <w:style w:type="paragraph" w:styleId="4">
    <w:name w:val="heading 3"/>
    <w:basedOn w:val="5"/>
    <w:next w:val="5"/>
    <w:link w:val="27"/>
    <w:unhideWhenUsed/>
    <w:qFormat/>
    <w:uiPriority w:val="0"/>
    <w:pPr>
      <w:keepNext/>
      <w:keepLines/>
      <w:adjustRightInd/>
      <w:spacing w:line="360" w:lineRule="auto"/>
      <w:ind w:firstLine="0" w:firstLineChars="0"/>
      <w:outlineLvl w:val="2"/>
    </w:pPr>
    <w:rPr>
      <w:rFonts w:ascii="Times New Roman" w:hAnsi="Times New Roman" w:eastAsia="宋体" w:cs="Times New Roman"/>
      <w:b/>
      <w:bCs/>
      <w:kern w:val="0"/>
      <w:sz w:val="30"/>
      <w:szCs w:val="30"/>
    </w:rPr>
  </w:style>
  <w:style w:type="paragraph" w:styleId="6">
    <w:name w:val="heading 4"/>
    <w:basedOn w:val="1"/>
    <w:next w:val="1"/>
    <w:link w:val="34"/>
    <w:semiHidden/>
    <w:unhideWhenUsed/>
    <w:qFormat/>
    <w:uiPriority w:val="0"/>
    <w:pPr>
      <w:keepNext/>
      <w:keepLines/>
      <w:spacing w:line="360" w:lineRule="auto"/>
      <w:ind w:firstLine="643" w:firstLineChars="200"/>
      <w:outlineLvl w:val="3"/>
    </w:pPr>
    <w:rPr>
      <w:rFonts w:ascii="Times New Roman" w:hAnsi="Times New Roman" w:eastAsia="宋体" w:cs="Times New Roman"/>
      <w:b/>
      <w:bCs/>
      <w:sz w:val="28"/>
      <w:szCs w:val="28"/>
    </w:rPr>
  </w:style>
  <w:style w:type="paragraph" w:styleId="7">
    <w:name w:val="heading 5"/>
    <w:basedOn w:val="1"/>
    <w:next w:val="1"/>
    <w:semiHidden/>
    <w:unhideWhenUsed/>
    <w:qFormat/>
    <w:uiPriority w:val="0"/>
    <w:pPr>
      <w:keepNext/>
      <w:keepLines/>
      <w:spacing w:beforeLines="0" w:beforeAutospacing="0" w:afterLines="0" w:afterAutospacing="0" w:line="360" w:lineRule="auto"/>
      <w:outlineLvl w:val="4"/>
    </w:pPr>
    <w:rPr>
      <w:rFonts w:ascii="Times New Roman" w:hAnsi="Times New Roman" w:eastAsia="宋体" w:cs="Times New Roman"/>
      <w:b/>
      <w:bCs/>
    </w:rPr>
  </w:style>
  <w:style w:type="paragraph" w:styleId="8">
    <w:name w:val="heading 6"/>
    <w:basedOn w:val="1"/>
    <w:next w:val="1"/>
    <w:semiHidden/>
    <w:unhideWhenUsed/>
    <w:qFormat/>
    <w:uiPriority w:val="0"/>
    <w:pPr>
      <w:keepNext/>
      <w:keepLines/>
      <w:spacing w:beforeLines="0" w:beforeAutospacing="0" w:afterLines="0" w:afterAutospacing="0" w:line="360" w:lineRule="auto"/>
      <w:outlineLvl w:val="5"/>
    </w:pPr>
    <w:rPr>
      <w:rFonts w:ascii="Times New Roman" w:hAnsi="Times New Roman" w:eastAsia="宋体" w:cs="Times New Roman"/>
      <w:b/>
    </w:rPr>
  </w:style>
  <w:style w:type="character" w:default="1" w:styleId="25">
    <w:name w:val="Default Paragraph Font"/>
    <w:autoRedefine/>
    <w:unhideWhenUsed/>
    <w:qFormat/>
    <w:uiPriority w:val="1"/>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5">
    <w:name w:val="table of authorities"/>
    <w:basedOn w:val="1"/>
    <w:next w:val="1"/>
    <w:autoRedefine/>
    <w:qFormat/>
    <w:uiPriority w:val="0"/>
    <w:pPr>
      <w:ind w:left="200" w:leftChars="200"/>
    </w:pPr>
  </w:style>
  <w:style w:type="paragraph" w:styleId="9">
    <w:name w:val="Normal Indent"/>
    <w:basedOn w:val="1"/>
    <w:next w:val="1"/>
    <w:autoRedefine/>
    <w:qFormat/>
    <w:uiPriority w:val="0"/>
    <w:pPr>
      <w:ind w:firstLine="420"/>
    </w:pPr>
  </w:style>
  <w:style w:type="paragraph" w:styleId="10">
    <w:name w:val="annotation text"/>
    <w:basedOn w:val="1"/>
    <w:autoRedefine/>
    <w:qFormat/>
    <w:uiPriority w:val="0"/>
    <w:pPr>
      <w:jc w:val="left"/>
    </w:pPr>
  </w:style>
  <w:style w:type="paragraph" w:styleId="11">
    <w:name w:val="Salutation"/>
    <w:basedOn w:val="1"/>
    <w:next w:val="1"/>
    <w:autoRedefine/>
    <w:qFormat/>
    <w:uiPriority w:val="99"/>
  </w:style>
  <w:style w:type="paragraph" w:styleId="12">
    <w:name w:val="Body Text"/>
    <w:basedOn w:val="1"/>
    <w:next w:val="13"/>
    <w:autoRedefine/>
    <w:qFormat/>
    <w:uiPriority w:val="0"/>
    <w:pPr>
      <w:widowControl/>
      <w:snapToGrid w:val="0"/>
      <w:spacing w:before="60" w:after="160" w:line="259" w:lineRule="auto"/>
      <w:ind w:right="113"/>
    </w:pPr>
    <w:rPr>
      <w:kern w:val="0"/>
      <w:sz w:val="18"/>
      <w:szCs w:val="20"/>
    </w:rPr>
  </w:style>
  <w:style w:type="paragraph" w:customStyle="1" w:styleId="13">
    <w:name w:val="正文首行缩进 21"/>
    <w:basedOn w:val="14"/>
    <w:next w:val="12"/>
    <w:qFormat/>
    <w:uiPriority w:val="0"/>
    <w:pPr>
      <w:spacing w:after="120"/>
      <w:ind w:left="420" w:leftChars="200" w:firstLine="420" w:firstLineChars="200"/>
    </w:pPr>
    <w:rPr>
      <w:sz w:val="21"/>
    </w:rPr>
  </w:style>
  <w:style w:type="paragraph" w:customStyle="1" w:styleId="14">
    <w:name w:val="正文文本缩进1"/>
    <w:basedOn w:val="1"/>
    <w:qFormat/>
    <w:uiPriority w:val="0"/>
    <w:pPr>
      <w:ind w:firstLine="538" w:firstLineChars="192"/>
    </w:pPr>
    <w:rPr>
      <w:kern w:val="0"/>
      <w:sz w:val="28"/>
    </w:rPr>
  </w:style>
  <w:style w:type="paragraph" w:styleId="15">
    <w:name w:val="Body Text Indent"/>
    <w:basedOn w:val="1"/>
    <w:next w:val="16"/>
    <w:autoRedefine/>
    <w:qFormat/>
    <w:uiPriority w:val="0"/>
    <w:pPr>
      <w:spacing w:after="120"/>
      <w:ind w:left="420" w:leftChars="200"/>
    </w:pPr>
    <w:rPr>
      <w:kern w:val="0"/>
      <w:sz w:val="24"/>
      <w:szCs w:val="20"/>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7">
    <w:name w:val="Block Text"/>
    <w:basedOn w:val="1"/>
    <w:autoRedefine/>
    <w:qFormat/>
    <w:uiPriority w:val="0"/>
    <w:pPr>
      <w:spacing w:line="540" w:lineRule="exact"/>
      <w:ind w:left="-3" w:right="-14" w:firstLine="524" w:firstLineChars="187"/>
    </w:pPr>
    <w:rPr>
      <w:rFonts w:eastAsia="方正仿宋简体"/>
      <w:sz w:val="28"/>
    </w:rPr>
  </w:style>
  <w:style w:type="paragraph" w:styleId="18">
    <w:name w:val="Body Text Indent 2"/>
    <w:basedOn w:val="1"/>
    <w:autoRedefine/>
    <w:qFormat/>
    <w:uiPriority w:val="0"/>
    <w:pPr>
      <w:spacing w:after="120" w:line="480" w:lineRule="auto"/>
      <w:ind w:left="420" w:leftChars="200"/>
    </w:pPr>
  </w:style>
  <w:style w:type="paragraph" w:styleId="19">
    <w:name w:val="footer"/>
    <w:basedOn w:val="1"/>
    <w:autoRedefine/>
    <w:qFormat/>
    <w:uiPriority w:val="99"/>
    <w:pPr>
      <w:tabs>
        <w:tab w:val="center" w:pos="4153"/>
        <w:tab w:val="right" w:pos="8306"/>
      </w:tabs>
      <w:snapToGrid w:val="0"/>
      <w:jc w:val="left"/>
    </w:pPr>
    <w:rPr>
      <w:kern w:val="0"/>
      <w:sz w:val="18"/>
      <w:szCs w:val="20"/>
    </w:rPr>
  </w:style>
  <w:style w:type="paragraph" w:styleId="20">
    <w:name w:val="table of figures"/>
    <w:basedOn w:val="1"/>
    <w:next w:val="1"/>
    <w:qFormat/>
    <w:uiPriority w:val="0"/>
    <w:pPr>
      <w:ind w:left="200" w:leftChars="200" w:hanging="200" w:hangingChars="200"/>
    </w:pPr>
    <w:rPr>
      <w:rFonts w:ascii="Calibri" w:hAnsi="Calibri"/>
      <w:szCs w:val="22"/>
    </w:rPr>
  </w:style>
  <w:style w:type="paragraph" w:styleId="21">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22">
    <w:name w:val="Body Text First Indent 2"/>
    <w:basedOn w:val="15"/>
    <w:next w:val="1"/>
    <w:autoRedefine/>
    <w:qFormat/>
    <w:uiPriority w:val="0"/>
    <w:pPr>
      <w:ind w:firstLine="420" w:firstLineChars="200"/>
    </w:pPr>
    <w:rPr>
      <w:sz w:val="21"/>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customStyle="1" w:styleId="27">
    <w:name w:val="标题 3 Char"/>
    <w:link w:val="4"/>
    <w:autoRedefine/>
    <w:qFormat/>
    <w:uiPriority w:val="0"/>
    <w:rPr>
      <w:rFonts w:ascii="Times New Roman" w:hAnsi="Times New Roman" w:eastAsia="宋体" w:cs="Times New Roman"/>
      <w:b/>
      <w:bCs/>
      <w:sz w:val="30"/>
      <w:szCs w:val="30"/>
    </w:rPr>
  </w:style>
  <w:style w:type="paragraph" w:customStyle="1" w:styleId="28">
    <w:name w:val="Body Text 21"/>
    <w:basedOn w:val="1"/>
    <w:autoRedefine/>
    <w:qFormat/>
    <w:uiPriority w:val="0"/>
    <w:pPr>
      <w:spacing w:after="120" w:line="480" w:lineRule="auto"/>
    </w:pPr>
  </w:style>
  <w:style w:type="character" w:customStyle="1" w:styleId="29">
    <w:name w:val="标题 2 Char"/>
    <w:link w:val="3"/>
    <w:autoRedefine/>
    <w:qFormat/>
    <w:uiPriority w:val="0"/>
    <w:rPr>
      <w:rFonts w:ascii="Times New Roman" w:hAnsi="Times New Roman" w:eastAsia="宋体"/>
      <w:b/>
      <w:sz w:val="32"/>
      <w:szCs w:val="32"/>
    </w:rPr>
  </w:style>
  <w:style w:type="paragraph" w:customStyle="1" w:styleId="30">
    <w:name w:val="表格"/>
    <w:basedOn w:val="1"/>
    <w:next w:val="1"/>
    <w:autoRedefine/>
    <w:qFormat/>
    <w:uiPriority w:val="0"/>
    <w:pPr>
      <w:spacing w:line="240" w:lineRule="auto"/>
      <w:ind w:left="0" w:firstLine="0" w:firstLineChars="0"/>
      <w:jc w:val="center"/>
    </w:pPr>
    <w:rPr>
      <w:rFonts w:ascii="Times New Roman" w:hAnsi="Times New Roman" w:eastAsia="宋体"/>
      <w:sz w:val="21"/>
      <w:szCs w:val="21"/>
    </w:rPr>
  </w:style>
  <w:style w:type="paragraph" w:customStyle="1" w:styleId="31">
    <w:name w:val="正文（居中）"/>
    <w:basedOn w:val="1"/>
    <w:autoRedefine/>
    <w:qFormat/>
    <w:uiPriority w:val="0"/>
    <w:pPr>
      <w:spacing w:line="240" w:lineRule="auto"/>
      <w:ind w:firstLine="0" w:firstLineChars="0"/>
      <w:jc w:val="center"/>
    </w:pPr>
    <w:rPr>
      <w:rFonts w:ascii="Times New Roman" w:hAnsi="Times New Roman"/>
    </w:rPr>
  </w:style>
  <w:style w:type="paragraph" w:customStyle="1" w:styleId="32">
    <w:name w:val="正文（无缩进）"/>
    <w:basedOn w:val="1"/>
    <w:autoRedefine/>
    <w:qFormat/>
    <w:uiPriority w:val="0"/>
    <w:pPr>
      <w:spacing w:line="240" w:lineRule="auto"/>
      <w:ind w:firstLine="0" w:firstLineChars="0"/>
      <w:jc w:val="left"/>
    </w:pPr>
    <w:rPr>
      <w:rFonts w:ascii="Times New Roman" w:hAnsi="Times New Roman" w:eastAsia="宋体"/>
    </w:rPr>
  </w:style>
  <w:style w:type="character" w:customStyle="1" w:styleId="33">
    <w:name w:val=" Char Char5"/>
    <w:basedOn w:val="25"/>
    <w:link w:val="2"/>
    <w:autoRedefine/>
    <w:qFormat/>
    <w:uiPriority w:val="0"/>
    <w:rPr>
      <w:rFonts w:ascii="Times New Roman" w:hAnsi="Times New Roman" w:eastAsia="宋体" w:cs="Times New Roman"/>
      <w:b/>
      <w:kern w:val="2"/>
      <w:sz w:val="44"/>
      <w:szCs w:val="44"/>
      <w:lang w:val="en-US" w:eastAsia="zh-CN" w:bidi="ar-SA"/>
    </w:rPr>
  </w:style>
  <w:style w:type="character" w:customStyle="1" w:styleId="34">
    <w:name w:val="标题 4 Char"/>
    <w:link w:val="6"/>
    <w:autoRedefine/>
    <w:qFormat/>
    <w:uiPriority w:val="0"/>
    <w:rPr>
      <w:rFonts w:ascii="Times New Roman" w:hAnsi="Times New Roman" w:eastAsia="宋体" w:cs="Times New Roman"/>
      <w:b/>
      <w:sz w:val="28"/>
      <w:szCs w:val="28"/>
    </w:rPr>
  </w:style>
  <w:style w:type="table" w:customStyle="1" w:styleId="35">
    <w:name w:val="TableGrid"/>
    <w:basedOn w:val="23"/>
    <w:autoRedefine/>
    <w:qFormat/>
    <w:uiPriority w:val="0"/>
    <w:rPr>
      <w:rFonts w:hint="eastAsia" w:ascii="等线" w:hAnsi="等线" w:eastAsia="等线" w:cs="等线"/>
      <w:kern w:val="2"/>
      <w:sz w:val="21"/>
      <w:szCs w:val="22"/>
    </w:rPr>
    <w:tblPr>
      <w:tblCellMar>
        <w:top w:w="0" w:type="dxa"/>
        <w:left w:w="0" w:type="dxa"/>
        <w:bottom w:w="0" w:type="dxa"/>
        <w:right w:w="0" w:type="dxa"/>
      </w:tblCellMar>
    </w:tblPr>
  </w:style>
  <w:style w:type="paragraph" w:customStyle="1" w:styleId="36">
    <w:name w:val="表格内容"/>
    <w:basedOn w:val="1"/>
    <w:next w:val="1"/>
    <w:qFormat/>
    <w:uiPriority w:val="0"/>
    <w:pPr>
      <w:adjustRightInd/>
      <w:snapToGrid/>
      <w:spacing w:line="240" w:lineRule="auto"/>
      <w:ind w:firstLine="0" w:firstLineChars="0"/>
      <w:jc w:val="center"/>
    </w:pPr>
    <w:rPr>
      <w:rFonts w:ascii="Times New Roman" w:hAnsi="Times New Roman" w:eastAsia="宋体"/>
      <w:kern w:val="0"/>
      <w:szCs w:val="21"/>
    </w:rPr>
  </w:style>
  <w:style w:type="paragraph" w:customStyle="1" w:styleId="37">
    <w:name w:val="Default"/>
    <w:basedOn w:val="38"/>
    <w:next w:val="1"/>
    <w:qFormat/>
    <w:uiPriority w:val="0"/>
    <w:pPr>
      <w:widowControl w:val="0"/>
      <w:tabs>
        <w:tab w:val="left" w:pos="2760"/>
      </w:tabs>
      <w:autoSpaceDE w:val="0"/>
      <w:autoSpaceDN w:val="0"/>
      <w:adjustRightInd w:val="0"/>
    </w:pPr>
    <w:rPr>
      <w:rFonts w:ascii="宋体" w:cs="宋体"/>
      <w:color w:val="000000"/>
      <w:sz w:val="24"/>
      <w:szCs w:val="24"/>
      <w:lang w:val="en-US" w:eastAsia="zh-CN" w:bidi="ar-SA"/>
    </w:rPr>
  </w:style>
  <w:style w:type="paragraph" w:customStyle="1" w:styleId="38">
    <w:name w:val="纯文本1"/>
    <w:basedOn w:val="1"/>
    <w:qFormat/>
    <w:uiPriority w:val="0"/>
    <w:pPr>
      <w:tabs>
        <w:tab w:val="left" w:pos="2760"/>
      </w:tabs>
      <w:adjustRightInd w:val="0"/>
    </w:pPr>
    <w:rPr>
      <w:rFonts w:ascii="宋体" w:hAnsi="Courier New"/>
      <w:szCs w:val="20"/>
    </w:rPr>
  </w:style>
  <w:style w:type="paragraph" w:customStyle="1" w:styleId="39">
    <w:name w:val="表格新"/>
    <w:basedOn w:val="1"/>
    <w:autoRedefine/>
    <w:qFormat/>
    <w:uiPriority w:val="0"/>
    <w:pPr>
      <w:jc w:val="center"/>
    </w:pPr>
    <w:rPr>
      <w:bCs/>
      <w:szCs w:val="21"/>
    </w:rPr>
  </w:style>
  <w:style w:type="paragraph" w:customStyle="1" w:styleId="40">
    <w:name w:val="11111"/>
    <w:basedOn w:val="1"/>
    <w:next w:val="1"/>
    <w:autoRedefine/>
    <w:qFormat/>
    <w:uiPriority w:val="0"/>
    <w:pPr>
      <w:spacing w:line="360" w:lineRule="auto"/>
      <w:ind w:firstLine="200" w:firstLineChars="200"/>
    </w:pPr>
    <w:rPr>
      <w:rFonts w:hAnsi="宋体" w:cs="宋体"/>
      <w:kern w:val="2"/>
      <w:szCs w:val="24"/>
    </w:rPr>
  </w:style>
  <w:style w:type="paragraph" w:customStyle="1" w:styleId="41">
    <w:name w:val="！正文"/>
    <w:basedOn w:val="1"/>
    <w:qFormat/>
    <w:uiPriority w:val="99"/>
    <w:pPr>
      <w:spacing w:line="460" w:lineRule="exact"/>
      <w:ind w:firstLine="200"/>
    </w:pPr>
    <w:rPr>
      <w:spacing w:val="-2"/>
      <w:szCs w:val="20"/>
    </w:rPr>
  </w:style>
  <w:style w:type="paragraph" w:customStyle="1" w:styleId="42">
    <w:name w:val="表格内文字 小5"/>
    <w:basedOn w:val="1"/>
    <w:next w:val="1"/>
    <w:qFormat/>
    <w:locked/>
    <w:uiPriority w:val="0"/>
    <w:pPr>
      <w:spacing w:line="240" w:lineRule="auto"/>
      <w:ind w:firstLine="0" w:firstLineChars="0"/>
      <w:jc w:val="center"/>
    </w:pPr>
    <w:rPr>
      <w:rFonts w:ascii="方正书宋" w:hAnsi="宋体" w:eastAsia="方正书宋"/>
      <w:color w:val="000000"/>
      <w:sz w:val="18"/>
      <w:szCs w:val="18"/>
      <w:lang w:eastAsia="zh-CN"/>
    </w:rPr>
  </w:style>
  <w:style w:type="character" w:customStyle="1" w:styleId="43">
    <w:name w:val="正文文本 (2) Exact"/>
    <w:autoRedefine/>
    <w:unhideWhenUsed/>
    <w:qFormat/>
    <w:uiPriority w:val="99"/>
    <w:rPr>
      <w:rFonts w:hint="eastAsia" w:ascii="MingLiU" w:hAnsi="MingLiU" w:eastAsia="MingLiU"/>
      <w:sz w:val="34"/>
    </w:rPr>
  </w:style>
  <w:style w:type="paragraph" w:customStyle="1" w:styleId="44">
    <w:name w:val="样式 首行缩进:  2 字符1"/>
    <w:basedOn w:val="1"/>
    <w:qFormat/>
    <w:uiPriority w:val="0"/>
    <w:pPr>
      <w:adjustRightInd w:val="0"/>
      <w:snapToGrid w:val="0"/>
      <w:spacing w:line="360" w:lineRule="auto"/>
      <w:ind w:firstLine="480" w:firstLineChars="200"/>
    </w:pPr>
    <w:rPr>
      <w:rFonts w:cs="宋体"/>
      <w:sz w:val="24"/>
    </w:rPr>
  </w:style>
  <w:style w:type="paragraph" w:customStyle="1" w:styleId="45">
    <w:name w:val="正文首行缩进:  2"/>
    <w:basedOn w:val="1"/>
    <w:qFormat/>
    <w:uiPriority w:val="0"/>
    <w:pPr>
      <w:overflowPunct w:val="0"/>
      <w:adjustRightInd w:val="0"/>
      <w:spacing w:line="360" w:lineRule="auto"/>
      <w:ind w:firstLine="480" w:firstLineChars="200"/>
    </w:pPr>
    <w:rPr>
      <w:rFonts w:cs="宋体"/>
    </w:rPr>
  </w:style>
  <w:style w:type="paragraph" w:customStyle="1" w:styleId="46">
    <w:name w:val="Table Paragraph"/>
    <w:basedOn w:val="1"/>
    <w:qFormat/>
    <w:uiPriority w:val="1"/>
    <w:rPr>
      <w:rFonts w:ascii="宋体" w:hAnsi="宋体" w:cs="宋体"/>
      <w:lang w:val="zh-CN" w:bidi="zh-CN"/>
    </w:rPr>
  </w:style>
  <w:style w:type="paragraph" w:customStyle="1" w:styleId="47">
    <w:name w:val="txt"/>
    <w:basedOn w:val="48"/>
    <w:qFormat/>
    <w:uiPriority w:val="0"/>
    <w:rPr>
      <w:sz w:val="21"/>
      <w:szCs w:val="21"/>
    </w:rPr>
  </w:style>
  <w:style w:type="paragraph" w:customStyle="1" w:styleId="48">
    <w:name w:val="text"/>
    <w:basedOn w:val="1"/>
    <w:qFormat/>
    <w:uiPriority w:val="0"/>
    <w:pPr>
      <w:wordWrap w:val="0"/>
      <w:spacing w:line="360" w:lineRule="auto"/>
      <w:ind w:firstLine="200" w:firstLineChars="200"/>
    </w:pPr>
    <w:rPr>
      <w:sz w:val="24"/>
      <w:szCs w:val="24"/>
    </w:rPr>
  </w:style>
  <w:style w:type="paragraph" w:customStyle="1" w:styleId="49">
    <w:name w:val="Other|1"/>
    <w:basedOn w:val="1"/>
    <w:qFormat/>
    <w:uiPriority w:val="0"/>
    <w:pPr>
      <w:widowControl w:val="0"/>
      <w:shd w:val="clear" w:color="auto" w:fill="auto"/>
      <w:spacing w:after="80" w:line="401" w:lineRule="auto"/>
      <w:ind w:firstLine="400"/>
    </w:pPr>
    <w:rPr>
      <w:rFonts w:ascii="MingLiU" w:hAnsi="MingLiU" w:eastAsia="MingLiU" w:cs="MingLiU"/>
      <w:sz w:val="20"/>
      <w:szCs w:val="20"/>
      <w:u w:val="none"/>
      <w:shd w:val="clear" w:color="auto" w:fill="FFFFFF"/>
      <w:lang w:val="zh-TW" w:eastAsia="zh-TW" w:bidi="zh-TW"/>
    </w:rPr>
  </w:style>
  <w:style w:type="paragraph" w:customStyle="1" w:styleId="50">
    <w:name w:val="Table caption|1"/>
    <w:basedOn w:val="1"/>
    <w:qFormat/>
    <w:uiPriority w:val="0"/>
    <w:rPr>
      <w:rFonts w:ascii="宋体" w:hAnsi="宋体" w:cs="宋体"/>
      <w:b/>
      <w:bCs/>
    </w:rPr>
  </w:style>
  <w:style w:type="paragraph" w:customStyle="1" w:styleId="51">
    <w:name w:val="Body text|2"/>
    <w:basedOn w:val="1"/>
    <w:qFormat/>
    <w:uiPriority w:val="0"/>
    <w:pPr>
      <w:spacing w:line="288" w:lineRule="auto"/>
      <w:jc w:val="center"/>
    </w:pPr>
    <w:rPr>
      <w:rFonts w:ascii="宋体" w:hAnsi="宋体" w:cs="宋体"/>
      <w:sz w:val="20"/>
      <w:szCs w:val="20"/>
    </w:rPr>
  </w:style>
  <w:style w:type="paragraph" w:customStyle="1" w:styleId="52">
    <w:name w:val="表头"/>
    <w:basedOn w:val="9"/>
    <w:next w:val="1"/>
    <w:qFormat/>
    <w:uiPriority w:val="0"/>
    <w:pPr>
      <w:jc w:val="center"/>
    </w:pPr>
    <w:rPr>
      <w:rFonts w:hint="eastAsia"/>
      <w:b/>
      <w:bCs/>
      <w:szCs w:val="21"/>
    </w:rPr>
  </w:style>
  <w:style w:type="paragraph" w:customStyle="1" w:styleId="53">
    <w:name w:val="表格字体"/>
    <w:basedOn w:val="1"/>
    <w:qFormat/>
    <w:uiPriority w:val="0"/>
    <w:pPr>
      <w:jc w:val="center"/>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16.png"/><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wmf"/><Relationship Id="rId23" Type="http://schemas.openxmlformats.org/officeDocument/2006/relationships/image" Target="media/image10.png"/><Relationship Id="rId22" Type="http://schemas.openxmlformats.org/officeDocument/2006/relationships/image" Target="media/image9.wmf"/><Relationship Id="rId21" Type="http://schemas.openxmlformats.org/officeDocument/2006/relationships/oleObject" Target="embeddings/oleObject4.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7.png"/><Relationship Id="rId17" Type="http://schemas.openxmlformats.org/officeDocument/2006/relationships/image" Target="media/image6.wmf"/><Relationship Id="rId16" Type="http://schemas.openxmlformats.org/officeDocument/2006/relationships/oleObject" Target="embeddings/oleObject2.bin"/><Relationship Id="rId15" Type="http://schemas.openxmlformats.org/officeDocument/2006/relationships/image" Target="media/image5.wmf"/><Relationship Id="rId14" Type="http://schemas.openxmlformats.org/officeDocument/2006/relationships/oleObject" Target="embeddings/oleObject1.bin"/><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g4NzE0NjQ5NzU1IiwKCSJHcm91cElkIiA6ICI4MDY3MTg3MjQiLAoJIkltYWdlIiA6ICJpVkJPUncwS0dnb0FBQUFOU1VoRVVnQUFCTEVBQUFPQ0NBWUFBQUNJOWtEWkFBQUFBWE5TUjBJQXJzNGM2UUFBSUFCSlJFRlVlSnpzM1hsOGpOZitCL0RQbVNXYkNDVktTZEhhVXlJemxpNW90YjJYYTJ1UlcxdFZkNnFxOWxadmEvdXB2VzZ0UldscDBXcGF5clZURkszWWtobEJGRUVVRVhzMk1wUE1QT2YzUnpMVFRHWW1tV3d5NnZOK3ZieWFQTXQ1VGpSZnp6emY1NXp2QV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MEQvOWYyTmdSVnFwcDVBc0FBQUFBRWxGVGtTdVFtQ0M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59</Pages>
  <Words>33960</Words>
  <Characters>38409</Characters>
  <Lines>0</Lines>
  <Paragraphs>0</Paragraphs>
  <TotalTime>7</TotalTime>
  <ScaleCrop>false</ScaleCrop>
  <LinksUpToDate>false</LinksUpToDate>
  <CharactersWithSpaces>50001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2021-03-22T08:12:00Z</dcterms:created>
  <dc:creator>张宏成</dc:creator>
  <cp:lastModifiedBy>王学珍</cp:lastModifiedBy>
  <dcterms:modified xsi:type="dcterms:W3CDTF">2024-07-08T09:07:08Z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1BFFAA5E99A4479A94AB5395CD83F012_13</vt:lpwstr>
  </property>
</Properties>
</file>