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0" w:lineRule="auto"/>
        <w:rPr>
          <w:color w:val="auto"/>
        </w:rPr>
      </w:pPr>
    </w:p>
    <w:p>
      <w:pPr>
        <w:pStyle w:val="2"/>
        <w:spacing w:line="250" w:lineRule="auto"/>
        <w:rPr>
          <w:color w:val="auto"/>
        </w:rPr>
      </w:pPr>
    </w:p>
    <w:p>
      <w:pPr>
        <w:pStyle w:val="2"/>
        <w:spacing w:line="250" w:lineRule="auto"/>
        <w:rPr>
          <w:color w:val="auto"/>
        </w:rPr>
      </w:pPr>
    </w:p>
    <w:p>
      <w:pPr>
        <w:spacing w:before="231" w:line="221" w:lineRule="auto"/>
        <w:ind w:left="0" w:leftChars="0" w:firstLine="0" w:firstLineChars="0"/>
        <w:jc w:val="center"/>
        <w:outlineLvl w:val="0"/>
        <w:rPr>
          <w:rFonts w:ascii="宋体" w:hAnsi="宋体" w:eastAsia="宋体" w:cs="宋体"/>
          <w:color w:val="auto"/>
          <w:sz w:val="71"/>
          <w:szCs w:val="71"/>
        </w:rPr>
      </w:pPr>
      <w:r>
        <w:rPr>
          <w:rFonts w:ascii="宋体" w:hAnsi="宋体" w:eastAsia="宋体" w:cs="宋体"/>
          <w:color w:val="auto"/>
          <w:spacing w:val="6"/>
          <w:sz w:val="71"/>
          <w:szCs w:val="71"/>
        </w:rPr>
        <w:t>建设项目环境影响报告表</w:t>
      </w:r>
    </w:p>
    <w:p>
      <w:pPr>
        <w:spacing w:before="238" w:line="224" w:lineRule="auto"/>
        <w:jc w:val="center"/>
        <w:rPr>
          <w:rFonts w:ascii="宋体" w:hAnsi="宋体" w:eastAsia="宋体" w:cs="宋体"/>
          <w:color w:val="auto"/>
          <w:sz w:val="47"/>
          <w:szCs w:val="47"/>
        </w:rPr>
      </w:pPr>
      <w:r>
        <w:rPr>
          <w:rFonts w:ascii="宋体" w:hAnsi="宋体" w:eastAsia="宋体" w:cs="宋体"/>
          <w:color w:val="auto"/>
          <w:spacing w:val="3"/>
          <w:sz w:val="47"/>
          <w:szCs w:val="47"/>
        </w:rPr>
        <w:t>（生态影响类）</w:t>
      </w: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tabs>
          <w:tab w:val="left" w:pos="8589"/>
        </w:tabs>
        <w:spacing w:before="113" w:line="296" w:lineRule="auto"/>
        <w:ind w:left="2457" w:leftChars="332" w:hanging="1760" w:hangingChars="500"/>
        <w:jc w:val="both"/>
        <w:rPr>
          <w:rFonts w:hint="default" w:ascii="宋体" w:hAnsi="宋体" w:eastAsia="宋体" w:cs="宋体"/>
          <w:color w:val="auto"/>
          <w:spacing w:val="1"/>
          <w:sz w:val="35"/>
          <w:szCs w:val="35"/>
          <w:u w:val="single"/>
          <w:lang w:val="en-US" w:eastAsia="zh-CN"/>
        </w:rPr>
      </w:pPr>
      <w:r>
        <w:rPr>
          <w:rFonts w:ascii="宋体" w:hAnsi="宋体" w:eastAsia="宋体" w:cs="宋体"/>
          <w:color w:val="auto"/>
          <w:spacing w:val="1"/>
          <w:sz w:val="35"/>
          <w:szCs w:val="35"/>
        </w:rPr>
        <w:t>项目名称：</w:t>
      </w:r>
      <w:r>
        <w:rPr>
          <w:rFonts w:hint="eastAsia" w:ascii="宋体" w:hAnsi="宋体" w:cs="宋体"/>
          <w:color w:val="auto"/>
          <w:spacing w:val="1"/>
          <w:sz w:val="35"/>
          <w:szCs w:val="35"/>
          <w:u w:val="single"/>
          <w:lang w:val="en-US" w:eastAsia="zh-CN"/>
        </w:rPr>
        <w:t xml:space="preserve">     </w:t>
      </w:r>
      <w:r>
        <w:rPr>
          <w:rFonts w:hint="eastAsia" w:ascii="宋体" w:hAnsi="宋体" w:cs="宋体"/>
          <w:color w:val="auto"/>
          <w:spacing w:val="1"/>
          <w:sz w:val="35"/>
          <w:szCs w:val="35"/>
          <w:u w:val="single"/>
          <w:lang w:eastAsia="zh-CN"/>
        </w:rPr>
        <w:t>新疆鄯善县红台西砂石料矿</w:t>
      </w:r>
      <w:r>
        <w:rPr>
          <w:rFonts w:hint="eastAsia" w:ascii="宋体" w:hAnsi="宋体" w:cs="宋体"/>
          <w:color w:val="auto"/>
          <w:spacing w:val="1"/>
          <w:sz w:val="35"/>
          <w:szCs w:val="35"/>
          <w:u w:val="single"/>
          <w:lang w:val="en-US" w:eastAsia="zh-CN"/>
        </w:rPr>
        <w:t xml:space="preserve">       </w:t>
      </w:r>
    </w:p>
    <w:p>
      <w:pPr>
        <w:tabs>
          <w:tab w:val="left" w:pos="8589"/>
        </w:tabs>
        <w:spacing w:before="113" w:line="296" w:lineRule="auto"/>
        <w:jc w:val="both"/>
        <w:rPr>
          <w:rFonts w:ascii="宋体" w:hAnsi="宋体" w:eastAsia="宋体" w:cs="宋体"/>
          <w:color w:val="auto"/>
          <w:sz w:val="28"/>
          <w:szCs w:val="28"/>
        </w:rPr>
      </w:pPr>
      <w:r>
        <w:rPr>
          <w:rFonts w:ascii="宋体" w:hAnsi="宋体" w:eastAsia="宋体" w:cs="宋体"/>
          <w:color w:val="auto"/>
          <w:spacing w:val="1"/>
          <w:sz w:val="35"/>
          <w:szCs w:val="35"/>
        </w:rPr>
        <w:t>建设</w:t>
      </w:r>
      <w:r>
        <w:rPr>
          <w:rFonts w:hint="eastAsia" w:ascii="宋体" w:hAnsi="宋体" w:eastAsia="宋体" w:cs="宋体"/>
          <w:color w:val="auto"/>
          <w:spacing w:val="1"/>
          <w:sz w:val="35"/>
          <w:szCs w:val="35"/>
          <w:lang w:val="en-US" w:eastAsia="zh-CN"/>
        </w:rPr>
        <w:t>单位</w:t>
      </w:r>
      <w:r>
        <w:rPr>
          <w:rFonts w:ascii="宋体" w:hAnsi="宋体" w:eastAsia="宋体" w:cs="宋体"/>
          <w:color w:val="auto"/>
          <w:spacing w:val="1"/>
          <w:sz w:val="35"/>
          <w:szCs w:val="35"/>
        </w:rPr>
        <w:t>（盖章</w:t>
      </w:r>
      <w:r>
        <w:rPr>
          <w:rFonts w:ascii="宋体" w:hAnsi="宋体" w:eastAsia="宋体" w:cs="宋体"/>
          <w:color w:val="auto"/>
          <w:spacing w:val="25"/>
          <w:sz w:val="35"/>
          <w:szCs w:val="35"/>
        </w:rPr>
        <w:t>）：</w:t>
      </w:r>
      <w:r>
        <w:rPr>
          <w:rFonts w:hint="default" w:ascii="宋体" w:hAnsi="宋体" w:eastAsia="宋体" w:cs="宋体"/>
          <w:color w:val="auto"/>
          <w:spacing w:val="25"/>
          <w:sz w:val="35"/>
          <w:szCs w:val="35"/>
          <w:u w:val="single"/>
          <w:lang w:eastAsia="zh-CN"/>
        </w:rPr>
        <w:t>鄯善县泰航矿业有限公司</w:t>
      </w:r>
    </w:p>
    <w:p>
      <w:pPr>
        <w:tabs>
          <w:tab w:val="left" w:pos="8589"/>
        </w:tabs>
        <w:spacing w:before="113" w:line="296" w:lineRule="auto"/>
        <w:jc w:val="both"/>
        <w:rPr>
          <w:rFonts w:ascii="宋体" w:hAnsi="宋体" w:eastAsia="宋体" w:cs="宋体"/>
          <w:color w:val="auto"/>
          <w:spacing w:val="1"/>
          <w:sz w:val="35"/>
          <w:szCs w:val="35"/>
        </w:rPr>
      </w:pPr>
      <w:r>
        <w:rPr>
          <w:rFonts w:ascii="宋体" w:hAnsi="宋体" w:eastAsia="宋体" w:cs="宋体"/>
          <w:color w:val="auto"/>
          <w:spacing w:val="1"/>
          <w:sz w:val="35"/>
          <w:szCs w:val="35"/>
        </w:rPr>
        <w:t>编制日期：</w:t>
      </w:r>
      <w:r>
        <w:rPr>
          <w:rFonts w:ascii="宋体" w:hAnsi="宋体" w:eastAsia="宋体" w:cs="宋体"/>
          <w:color w:val="auto"/>
          <w:spacing w:val="1"/>
          <w:sz w:val="35"/>
          <w:szCs w:val="35"/>
          <w:u w:val="single"/>
        </w:rPr>
        <w:t xml:space="preserve">            202</w:t>
      </w:r>
      <w:r>
        <w:rPr>
          <w:rFonts w:hint="eastAsia" w:ascii="宋体" w:hAnsi="宋体" w:eastAsia="宋体" w:cs="宋体"/>
          <w:color w:val="auto"/>
          <w:spacing w:val="1"/>
          <w:sz w:val="35"/>
          <w:szCs w:val="35"/>
          <w:u w:val="single"/>
          <w:lang w:val="en-US" w:eastAsia="zh-CN"/>
        </w:rPr>
        <w:t>4</w:t>
      </w:r>
      <w:r>
        <w:rPr>
          <w:rFonts w:ascii="宋体" w:hAnsi="宋体" w:eastAsia="宋体" w:cs="宋体"/>
          <w:color w:val="auto"/>
          <w:spacing w:val="1"/>
          <w:sz w:val="35"/>
          <w:szCs w:val="35"/>
          <w:u w:val="single"/>
        </w:rPr>
        <w:t>年</w:t>
      </w:r>
      <w:r>
        <w:rPr>
          <w:rFonts w:hint="eastAsia" w:ascii="宋体" w:hAnsi="宋体" w:cs="宋体"/>
          <w:color w:val="auto"/>
          <w:spacing w:val="1"/>
          <w:sz w:val="35"/>
          <w:szCs w:val="35"/>
          <w:u w:val="single"/>
          <w:lang w:val="en-US" w:eastAsia="zh-CN"/>
        </w:rPr>
        <w:t>4</w:t>
      </w:r>
      <w:r>
        <w:rPr>
          <w:rFonts w:ascii="宋体" w:hAnsi="宋体" w:eastAsia="宋体" w:cs="宋体"/>
          <w:color w:val="auto"/>
          <w:spacing w:val="1"/>
          <w:sz w:val="35"/>
          <w:szCs w:val="35"/>
          <w:u w:val="single"/>
        </w:rPr>
        <w:t xml:space="preserve">月  </w:t>
      </w:r>
      <w:r>
        <w:rPr>
          <w:rFonts w:hint="eastAsia" w:ascii="宋体" w:hAnsi="宋体" w:eastAsia="宋体" w:cs="宋体"/>
          <w:color w:val="auto"/>
          <w:spacing w:val="1"/>
          <w:sz w:val="35"/>
          <w:szCs w:val="35"/>
          <w:u w:val="single"/>
          <w:lang w:val="en-US" w:eastAsia="zh-CN"/>
        </w:rPr>
        <w:t xml:space="preserve">         </w:t>
      </w:r>
      <w:r>
        <w:rPr>
          <w:rFonts w:ascii="宋体" w:hAnsi="宋体" w:eastAsia="宋体" w:cs="宋体"/>
          <w:color w:val="auto"/>
          <w:spacing w:val="1"/>
          <w:sz w:val="35"/>
          <w:szCs w:val="35"/>
        </w:rPr>
        <w:t xml:space="preserve">               </w:t>
      </w:r>
    </w:p>
    <w:p>
      <w:pPr>
        <w:pStyle w:val="2"/>
        <w:spacing w:line="254" w:lineRule="auto"/>
        <w:rPr>
          <w:color w:val="auto"/>
        </w:rPr>
      </w:pPr>
    </w:p>
    <w:p>
      <w:pPr>
        <w:pStyle w:val="2"/>
        <w:spacing w:line="254" w:lineRule="auto"/>
        <w:rPr>
          <w:color w:val="auto"/>
        </w:rPr>
      </w:pPr>
    </w:p>
    <w:p>
      <w:pPr>
        <w:pStyle w:val="2"/>
        <w:spacing w:line="254" w:lineRule="auto"/>
        <w:rPr>
          <w:color w:val="auto"/>
        </w:rPr>
      </w:pPr>
    </w:p>
    <w:p>
      <w:pPr>
        <w:pStyle w:val="2"/>
        <w:spacing w:line="255" w:lineRule="auto"/>
        <w:ind w:left="0" w:leftChars="0" w:firstLine="0" w:firstLineChars="0"/>
        <w:rPr>
          <w:rFonts w:hint="default" w:ascii="宋体" w:hAnsi="宋体" w:eastAsia="宋体" w:cs="宋体"/>
          <w:color w:val="auto"/>
          <w:spacing w:val="25"/>
          <w:kern w:val="2"/>
          <w:sz w:val="35"/>
          <w:szCs w:val="35"/>
          <w:u w:val="single"/>
          <w:lang w:val="en-US" w:eastAsia="zh-CN" w:bidi="ar-SA"/>
        </w:rPr>
      </w:pPr>
    </w:p>
    <w:p>
      <w:pPr>
        <w:spacing w:before="114" w:line="225" w:lineRule="auto"/>
        <w:ind w:left="1873"/>
        <w:rPr>
          <w:rFonts w:hint="default" w:ascii="宋体" w:hAnsi="宋体" w:eastAsia="宋体" w:cs="宋体"/>
          <w:color w:val="auto"/>
          <w:spacing w:val="25"/>
          <w:kern w:val="2"/>
          <w:sz w:val="35"/>
          <w:szCs w:val="35"/>
          <w:u w:val="none"/>
          <w:lang w:val="en-US" w:eastAsia="zh-CN" w:bidi="ar-SA"/>
        </w:rPr>
      </w:pPr>
      <w:r>
        <w:rPr>
          <w:rFonts w:hint="default" w:ascii="宋体" w:hAnsi="宋体" w:eastAsia="宋体" w:cs="宋体"/>
          <w:color w:val="auto"/>
          <w:spacing w:val="25"/>
          <w:kern w:val="2"/>
          <w:sz w:val="35"/>
          <w:szCs w:val="35"/>
          <w:u w:val="none"/>
          <w:lang w:val="en-US" w:eastAsia="zh-CN" w:bidi="ar-SA"/>
        </w:rPr>
        <w:t>中华人民共和国生态环境部制</w:t>
      </w:r>
    </w:p>
    <w:p>
      <w:pPr>
        <w:spacing w:line="225" w:lineRule="auto"/>
        <w:rPr>
          <w:rFonts w:hint="default" w:ascii="宋体" w:hAnsi="宋体" w:eastAsia="宋体" w:cs="宋体"/>
          <w:color w:val="auto"/>
          <w:spacing w:val="25"/>
          <w:kern w:val="2"/>
          <w:sz w:val="35"/>
          <w:szCs w:val="35"/>
          <w:u w:val="single"/>
          <w:lang w:val="en-US" w:eastAsia="zh-CN" w:bidi="ar-SA"/>
        </w:rPr>
        <w:sectPr>
          <w:footerReference r:id="rId5" w:type="default"/>
          <w:pgSz w:w="11906" w:h="16839"/>
          <w:pgMar w:top="1431" w:right="1530" w:bottom="1240" w:left="1785" w:header="0" w:footer="1078" w:gutter="0"/>
          <w:cols w:space="720" w:num="1"/>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sectPr>
          <w:headerReference r:id="rId6" w:type="default"/>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
        <w:rPr>
          <w:rFonts w:hint="default" w:ascii="Times New Roman" w:hAnsi="Times New Roman" w:eastAsia="仿宋" w:cs="Times New Roman"/>
          <w:color w:val="auto"/>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4258" w:type="dxa"/>
            <w:noWrap w:val="0"/>
            <w:vAlign w:val="top"/>
          </w:tcPr>
          <w:p>
            <w:pPr>
              <w:tabs>
                <w:tab w:val="left" w:pos="1440"/>
              </w:tabs>
              <w:spacing w:line="240" w:lineRule="auto"/>
              <w:ind w:firstLine="0" w:firstLineChars="0"/>
              <w:rPr>
                <w:rFonts w:hint="default" w:ascii="Times New Roman" w:hAnsi="Times New Roman" w:eastAsia="仿宋" w:cs="Times New Roman"/>
                <w:b/>
                <w:color w:val="auto"/>
                <w:szCs w:val="28"/>
                <w:shd w:val="clear" w:color="auto" w:fill="auto"/>
              </w:rPr>
            </w:pPr>
            <w:r>
              <w:rPr>
                <w:rFonts w:hint="default"/>
                <w:color w:val="auto"/>
                <w:lang w:val="en-US" w:eastAsia="zh-CN"/>
              </w:rPr>
              <w:drawing>
                <wp:anchor distT="0" distB="0" distL="114300" distR="114300" simplePos="0" relativeHeight="251697152" behindDoc="0" locked="0" layoutInCell="1" allowOverlap="1">
                  <wp:simplePos x="0" y="0"/>
                  <wp:positionH relativeFrom="column">
                    <wp:posOffset>-6985</wp:posOffset>
                  </wp:positionH>
                  <wp:positionV relativeFrom="paragraph">
                    <wp:posOffset>160655</wp:posOffset>
                  </wp:positionV>
                  <wp:extent cx="2602230" cy="1952625"/>
                  <wp:effectExtent l="0" t="0" r="7620" b="9525"/>
                  <wp:wrapNone/>
                  <wp:docPr id="3" name="图片 3" descr="微信图片_2023111511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15110908"/>
                          <pic:cNvPicPr>
                            <a:picLocks noChangeAspect="1"/>
                          </pic:cNvPicPr>
                        </pic:nvPicPr>
                        <pic:blipFill>
                          <a:blip r:embed="rId13"/>
                          <a:stretch>
                            <a:fillRect/>
                          </a:stretch>
                        </pic:blipFill>
                        <pic:spPr>
                          <a:xfrm>
                            <a:off x="0" y="0"/>
                            <a:ext cx="2602230" cy="1952625"/>
                          </a:xfrm>
                          <a:prstGeom prst="rect">
                            <a:avLst/>
                          </a:prstGeom>
                          <a:noFill/>
                          <a:ln>
                            <a:noFill/>
                          </a:ln>
                        </pic:spPr>
                      </pic:pic>
                    </a:graphicData>
                  </a:graphic>
                </wp:anchor>
              </w:drawing>
            </w:r>
          </w:p>
          <w:p>
            <w:pPr>
              <w:tabs>
                <w:tab w:val="left" w:pos="1440"/>
              </w:tabs>
              <w:spacing w:line="240" w:lineRule="auto"/>
              <w:ind w:firstLine="0" w:firstLineChars="0"/>
              <w:jc w:val="center"/>
              <w:rPr>
                <w:rFonts w:hint="default" w:ascii="Times New Roman" w:hAnsi="Times New Roman" w:eastAsia="仿宋" w:cs="Times New Roman"/>
                <w:b/>
                <w:color w:val="auto"/>
                <w:szCs w:val="28"/>
                <w:shd w:val="clear" w:color="auto" w:fill="auto"/>
                <w:lang w:eastAsia="zh-CN"/>
              </w:rPr>
            </w:pPr>
          </w:p>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shd w:val="clear" w:color="auto" w:fill="auto"/>
                <w:lang w:val="en-US" w:eastAsia="zh-CN"/>
              </w:rPr>
            </w:pPr>
          </w:p>
        </w:tc>
        <w:tc>
          <w:tcPr>
            <w:tcW w:w="4258" w:type="dxa"/>
            <w:noWrap w:val="0"/>
            <w:vAlign w:val="top"/>
          </w:tcPr>
          <w:p>
            <w:pPr>
              <w:tabs>
                <w:tab w:val="left" w:pos="1440"/>
              </w:tabs>
              <w:spacing w:line="240" w:lineRule="auto"/>
              <w:ind w:firstLine="0" w:firstLineChars="0"/>
              <w:jc w:val="both"/>
              <w:rPr>
                <w:rFonts w:hint="default" w:ascii="Times New Roman" w:hAnsi="Times New Roman" w:eastAsia="仿宋" w:cs="Times New Roman"/>
                <w:color w:val="auto"/>
                <w:lang w:eastAsia="zh-CN"/>
              </w:rPr>
            </w:pPr>
          </w:p>
          <w:p>
            <w:pPr>
              <w:pStyle w:val="34"/>
              <w:rPr>
                <w:rFonts w:hint="default" w:ascii="Times New Roman" w:hAnsi="Times New Roman" w:eastAsia="仿宋" w:cs="Times New Roman"/>
                <w:color w:val="auto"/>
                <w:lang w:eastAsia="zh-CN"/>
              </w:rPr>
            </w:pPr>
            <w:r>
              <w:rPr>
                <w:rFonts w:hint="default"/>
                <w:color w:val="auto"/>
                <w:lang w:val="en-US" w:eastAsia="zh-CN"/>
              </w:rPr>
              <w:drawing>
                <wp:anchor distT="0" distB="0" distL="114300" distR="114300" simplePos="0" relativeHeight="251693056" behindDoc="1" locked="0" layoutInCell="1" allowOverlap="1">
                  <wp:simplePos x="0" y="0"/>
                  <wp:positionH relativeFrom="column">
                    <wp:posOffset>37465</wp:posOffset>
                  </wp:positionH>
                  <wp:positionV relativeFrom="paragraph">
                    <wp:posOffset>1905</wp:posOffset>
                  </wp:positionV>
                  <wp:extent cx="2532380" cy="1900555"/>
                  <wp:effectExtent l="0" t="0" r="1270" b="4445"/>
                  <wp:wrapNone/>
                  <wp:docPr id="10" name="图片 3" descr="微信图片_2023111511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微信图片_20231115110914"/>
                          <pic:cNvPicPr>
                            <a:picLocks noChangeAspect="1"/>
                          </pic:cNvPicPr>
                        </pic:nvPicPr>
                        <pic:blipFill>
                          <a:blip r:embed="rId14"/>
                          <a:stretch>
                            <a:fillRect/>
                          </a:stretch>
                        </pic:blipFill>
                        <pic:spPr>
                          <a:xfrm>
                            <a:off x="0" y="0"/>
                            <a:ext cx="2532380" cy="1900555"/>
                          </a:xfrm>
                          <a:prstGeom prst="rect">
                            <a:avLst/>
                          </a:prstGeom>
                          <a:noFill/>
                          <a:ln>
                            <a:noFill/>
                          </a:ln>
                        </pic:spPr>
                      </pic:pic>
                    </a:graphicData>
                  </a:graphic>
                </wp:anchor>
              </w:drawing>
            </w:r>
          </w:p>
          <w:p>
            <w:pPr>
              <w:pStyle w:val="34"/>
              <w:jc w:val="center"/>
              <w:rPr>
                <w:rFonts w:hint="default" w:ascii="Times New Roman" w:hAnsi="Times New Roman" w:eastAsia="仿宋"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258" w:type="dxa"/>
            <w:noWrap w:val="0"/>
            <w:vAlign w:val="top"/>
          </w:tcPr>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bCs/>
                <w:color w:val="auto"/>
                <w:lang w:val="en-US" w:eastAsia="zh-CN"/>
              </w:rPr>
              <w:t>项目区现状</w:t>
            </w:r>
          </w:p>
        </w:tc>
        <w:tc>
          <w:tcPr>
            <w:tcW w:w="4258" w:type="dxa"/>
            <w:noWrap w:val="0"/>
            <w:vAlign w:val="top"/>
          </w:tcPr>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bCs/>
                <w:color w:val="auto"/>
                <w:lang w:val="en-US" w:eastAsia="zh-CN"/>
              </w:rPr>
              <w:t>项目区现状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4258" w:type="dxa"/>
            <w:noWrap w:val="0"/>
            <w:vAlign w:val="top"/>
          </w:tcPr>
          <w:p>
            <w:pPr>
              <w:pStyle w:val="34"/>
              <w:jc w:val="center"/>
              <w:rPr>
                <w:rFonts w:hint="default" w:ascii="Times New Roman" w:hAnsi="Times New Roman" w:eastAsia="仿宋" w:cs="Times New Roman"/>
                <w:b/>
                <w:color w:val="auto"/>
                <w:szCs w:val="28"/>
                <w:lang w:val="en-US" w:eastAsia="zh-CN"/>
              </w:rPr>
            </w:pPr>
            <w:r>
              <w:rPr>
                <w:rFonts w:hint="default"/>
                <w:color w:val="auto"/>
                <w:lang w:val="en-US" w:eastAsia="zh-CN"/>
              </w:rPr>
              <w:drawing>
                <wp:anchor distT="0" distB="0" distL="114300" distR="114300" simplePos="0" relativeHeight="251695104" behindDoc="1" locked="0" layoutInCell="1" allowOverlap="1">
                  <wp:simplePos x="0" y="0"/>
                  <wp:positionH relativeFrom="column">
                    <wp:posOffset>69850</wp:posOffset>
                  </wp:positionH>
                  <wp:positionV relativeFrom="paragraph">
                    <wp:posOffset>101600</wp:posOffset>
                  </wp:positionV>
                  <wp:extent cx="2446655" cy="1866265"/>
                  <wp:effectExtent l="0" t="0" r="10795" b="635"/>
                  <wp:wrapNone/>
                  <wp:docPr id="5" name="图片 6" descr="微信图片_2023111511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微信图片_20231115111023"/>
                          <pic:cNvPicPr>
                            <a:picLocks noChangeAspect="1"/>
                          </pic:cNvPicPr>
                        </pic:nvPicPr>
                        <pic:blipFill>
                          <a:blip r:embed="rId15"/>
                          <a:stretch>
                            <a:fillRect/>
                          </a:stretch>
                        </pic:blipFill>
                        <pic:spPr>
                          <a:xfrm>
                            <a:off x="0" y="0"/>
                            <a:ext cx="2446655" cy="1866265"/>
                          </a:xfrm>
                          <a:prstGeom prst="rect">
                            <a:avLst/>
                          </a:prstGeom>
                          <a:noFill/>
                          <a:ln>
                            <a:noFill/>
                          </a:ln>
                        </pic:spPr>
                      </pic:pic>
                    </a:graphicData>
                  </a:graphic>
                </wp:anchor>
              </w:drawing>
            </w:r>
          </w:p>
        </w:tc>
        <w:tc>
          <w:tcPr>
            <w:tcW w:w="4258" w:type="dxa"/>
            <w:noWrap w:val="0"/>
            <w:vAlign w:val="top"/>
          </w:tcPr>
          <w:p>
            <w:pPr>
              <w:pStyle w:val="34"/>
              <w:jc w:val="center"/>
              <w:rPr>
                <w:rFonts w:hint="default" w:ascii="Times New Roman" w:hAnsi="Times New Roman" w:eastAsia="仿宋" w:cs="Times New Roman"/>
                <w:color w:val="auto"/>
                <w:lang w:val="en-US" w:eastAsia="zh-CN"/>
              </w:rPr>
            </w:pPr>
            <w:r>
              <w:rPr>
                <w:rFonts w:hint="default"/>
                <w:color w:val="auto"/>
                <w:lang w:val="en-US" w:eastAsia="zh-CN"/>
              </w:rPr>
              <w:drawing>
                <wp:anchor distT="0" distB="0" distL="114300" distR="114300" simplePos="0" relativeHeight="251694080" behindDoc="1" locked="0" layoutInCell="1" allowOverlap="1">
                  <wp:simplePos x="0" y="0"/>
                  <wp:positionH relativeFrom="column">
                    <wp:posOffset>1270</wp:posOffset>
                  </wp:positionH>
                  <wp:positionV relativeFrom="paragraph">
                    <wp:posOffset>76200</wp:posOffset>
                  </wp:positionV>
                  <wp:extent cx="2563495" cy="1924050"/>
                  <wp:effectExtent l="0" t="0" r="8255" b="0"/>
                  <wp:wrapNone/>
                  <wp:docPr id="4" name="图片 5" descr="微信图片_2023111511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微信图片_20231115111318"/>
                          <pic:cNvPicPr>
                            <a:picLocks noChangeAspect="1"/>
                          </pic:cNvPicPr>
                        </pic:nvPicPr>
                        <pic:blipFill>
                          <a:blip r:embed="rId16"/>
                          <a:stretch>
                            <a:fillRect/>
                          </a:stretch>
                        </pic:blipFill>
                        <pic:spPr>
                          <a:xfrm>
                            <a:off x="0" y="0"/>
                            <a:ext cx="2563495" cy="19240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4258" w:type="dxa"/>
            <w:noWrap w:val="0"/>
            <w:vAlign w:val="top"/>
          </w:tcPr>
          <w:p>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bCs/>
                <w:color w:val="auto"/>
                <w:lang w:val="en-US" w:eastAsia="zh-CN"/>
              </w:rPr>
              <w:t>项目区现状</w:t>
            </w:r>
          </w:p>
        </w:tc>
        <w:tc>
          <w:tcPr>
            <w:tcW w:w="4258" w:type="dxa"/>
            <w:noWrap w:val="0"/>
            <w:vAlign w:val="top"/>
          </w:tcPr>
          <w:p>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lang w:val="en-US" w:eastAsia="zh-CN"/>
              </w:rPr>
            </w:pPr>
            <w:r>
              <w:rPr>
                <w:rFonts w:hint="eastAsia" w:ascii="Times New Roman" w:hAnsi="Times New Roman" w:eastAsia="仿宋" w:cs="Times New Roman"/>
                <w:b/>
                <w:bCs/>
                <w:color w:val="auto"/>
                <w:lang w:val="en-US" w:eastAsia="zh-CN"/>
              </w:rPr>
              <w:t>项目区现状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jc w:val="center"/>
        </w:trPr>
        <w:tc>
          <w:tcPr>
            <w:tcW w:w="8516" w:type="dxa"/>
            <w:gridSpan w:val="2"/>
            <w:noWrap w:val="0"/>
            <w:vAlign w:val="top"/>
          </w:tcPr>
          <w:p>
            <w:pPr>
              <w:pStyle w:val="34"/>
              <w:jc w:val="center"/>
              <w:rPr>
                <w:rFonts w:hint="default" w:ascii="Times New Roman" w:hAnsi="Times New Roman" w:eastAsia="仿宋" w:cs="Times New Roman"/>
                <w:color w:val="auto"/>
                <w:lang w:val="en-US" w:eastAsia="zh-CN"/>
              </w:rPr>
            </w:pPr>
            <w:r>
              <w:rPr>
                <w:rFonts w:hint="eastAsia" w:eastAsia="宋体"/>
                <w:color w:val="auto"/>
                <w:lang w:eastAsia="zh-CN"/>
              </w:rPr>
              <w:drawing>
                <wp:anchor distT="0" distB="0" distL="114300" distR="114300" simplePos="0" relativeHeight="251696128" behindDoc="1" locked="0" layoutInCell="1" allowOverlap="1">
                  <wp:simplePos x="0" y="0"/>
                  <wp:positionH relativeFrom="column">
                    <wp:posOffset>1191895</wp:posOffset>
                  </wp:positionH>
                  <wp:positionV relativeFrom="paragraph">
                    <wp:posOffset>144145</wp:posOffset>
                  </wp:positionV>
                  <wp:extent cx="3056255" cy="2463800"/>
                  <wp:effectExtent l="0" t="0" r="10795" b="12700"/>
                  <wp:wrapNone/>
                  <wp:docPr id="9" name="图片 2" descr="微信图片_2023111511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微信图片_20231115110852"/>
                          <pic:cNvPicPr>
                            <a:picLocks noChangeAspect="1"/>
                          </pic:cNvPicPr>
                        </pic:nvPicPr>
                        <pic:blipFill>
                          <a:blip r:embed="rId17"/>
                          <a:stretch>
                            <a:fillRect/>
                          </a:stretch>
                        </pic:blipFill>
                        <pic:spPr>
                          <a:xfrm>
                            <a:off x="0" y="0"/>
                            <a:ext cx="3056255" cy="24638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6" w:type="dxa"/>
            <w:gridSpan w:val="2"/>
            <w:noWrap w:val="0"/>
            <w:vAlign w:val="top"/>
          </w:tcPr>
          <w:p>
            <w:pPr>
              <w:pStyle w:val="34"/>
              <w:jc w:val="center"/>
              <w:rPr>
                <w:rFonts w:hint="default" w:ascii="Times New Roman" w:hAnsi="Times New Roman" w:eastAsia="仿宋" w:cs="Times New Roman"/>
                <w:color w:val="auto"/>
                <w:lang w:val="en-US" w:eastAsia="zh-CN"/>
              </w:rPr>
            </w:pPr>
            <w:r>
              <w:rPr>
                <w:rFonts w:hint="eastAsia" w:ascii="Times New Roman" w:hAnsi="Times New Roman" w:eastAsia="仿宋" w:cs="Times New Roman"/>
                <w:b/>
                <w:bCs/>
                <w:color w:val="auto"/>
                <w:lang w:val="en-US" w:eastAsia="zh-CN"/>
              </w:rPr>
              <w:t>项目区现状</w:t>
            </w:r>
          </w:p>
        </w:tc>
      </w:tr>
    </w:tbl>
    <w:p>
      <w:pPr>
        <w:rPr>
          <w:color w:val="auto"/>
        </w:rPr>
        <w:sectPr>
          <w:pgSz w:w="11906" w:h="16838"/>
          <w:pgMar w:top="1440" w:right="1800" w:bottom="1440" w:left="1800" w:header="851" w:footer="992" w:gutter="0"/>
          <w:cols w:space="720" w:num="1"/>
          <w:docGrid w:type="lines"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一、建设项目基本情况</w:t>
      </w:r>
    </w:p>
    <w:tbl>
      <w:tblPr>
        <w:tblStyle w:val="25"/>
        <w:tblW w:w="0" w:type="auto"/>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85"/>
        <w:gridCol w:w="2558"/>
        <w:gridCol w:w="2355"/>
        <w:gridCol w:w="8"/>
        <w:gridCol w:w="2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建设项目名称</w:t>
            </w:r>
          </w:p>
        </w:tc>
        <w:tc>
          <w:tcPr>
            <w:tcW w:w="7758" w:type="dxa"/>
            <w:gridSpan w:val="4"/>
            <w:vAlign w:val="center"/>
          </w:tcPr>
          <w:p>
            <w:pPr>
              <w:pStyle w:val="46"/>
              <w:spacing w:line="240" w:lineRule="auto"/>
              <w:ind w:firstLine="0" w:firstLineChars="0"/>
              <w:rPr>
                <w:rFonts w:hint="default" w:ascii="Times New Roman" w:hAnsi="Times New Roman" w:eastAsia="仿宋" w:cs="Times New Roman"/>
                <w:color w:val="auto"/>
                <w:kern w:val="2"/>
                <w:sz w:val="24"/>
                <w:szCs w:val="24"/>
                <w:highlight w:val="none"/>
                <w:lang w:eastAsia="zh-CN" w:bidi="ar-SA"/>
              </w:rPr>
            </w:pPr>
            <w:r>
              <w:rPr>
                <w:rFonts w:hint="eastAsia" w:ascii="Times New Roman" w:hAnsi="Times New Roman" w:eastAsia="仿宋" w:cs="Times New Roman"/>
                <w:color w:val="auto"/>
                <w:kern w:val="2"/>
                <w:sz w:val="24"/>
                <w:szCs w:val="24"/>
                <w:highlight w:val="none"/>
                <w:lang w:eastAsia="zh-CN" w:bidi="ar-SA"/>
              </w:rPr>
              <w:t>新疆鄯善县红台西砂石料矿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项目代码</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建设单位联系人</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c>
          <w:tcPr>
            <w:tcW w:w="2363"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联系方式</w:t>
            </w:r>
          </w:p>
        </w:tc>
        <w:tc>
          <w:tcPr>
            <w:tcW w:w="2837"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lang w:val="zh-CN" w:bidi="zh-CN"/>
              </w:rPr>
            </w:pPr>
            <w:r>
              <w:rPr>
                <w:rFonts w:hint="default" w:ascii="Times New Roman" w:hAnsi="Times New Roman" w:eastAsia="仿宋" w:cs="Times New Roman"/>
                <w:color w:val="auto"/>
                <w:sz w:val="24"/>
                <w:szCs w:val="24"/>
                <w:lang w:val="zh-CN"/>
              </w:rPr>
              <w:t>建设地点</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地理</w:t>
            </w:r>
            <w:bookmarkStart w:id="7" w:name="_GoBack"/>
            <w:bookmarkEnd w:id="7"/>
            <w:r>
              <w:rPr>
                <w:rFonts w:hint="default" w:ascii="Times New Roman" w:hAnsi="Times New Roman" w:eastAsia="仿宋" w:cs="Times New Roman"/>
                <w:color w:val="auto"/>
                <w:sz w:val="24"/>
                <w:szCs w:val="24"/>
              </w:rPr>
              <w:t>坐标</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行业类别</w:t>
            </w:r>
          </w:p>
        </w:tc>
        <w:tc>
          <w:tcPr>
            <w:tcW w:w="2558" w:type="dxa"/>
            <w:vAlign w:val="center"/>
          </w:tcPr>
          <w:p>
            <w:pPr>
              <w:pStyle w:val="46"/>
              <w:spacing w:before="2" w:line="240" w:lineRule="auto"/>
              <w:ind w:right="211"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八、非金属矿采选业，11、土砂石开采（101）（不含河道采砂项目）</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用地（用海）面积（m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）/长度（km）</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299200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建设性质</w:t>
            </w:r>
          </w:p>
        </w:tc>
        <w:tc>
          <w:tcPr>
            <w:tcW w:w="2558" w:type="dxa"/>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新建（迁建）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□改建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□扩建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□技术改造</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申报情形</w:t>
            </w:r>
          </w:p>
        </w:tc>
        <w:tc>
          <w:tcPr>
            <w:tcW w:w="2845" w:type="dxa"/>
            <w:gridSpan w:val="2"/>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首次申报项目</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□不予批准后再次申报项目</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□超五年重新审核项目</w:t>
            </w:r>
          </w:p>
          <w:p>
            <w:pPr>
              <w:adjustRightInd w:val="0"/>
              <w:snapToGrid w:val="0"/>
              <w:spacing w:line="240" w:lineRule="auto"/>
              <w:ind w:firstLine="0" w:firstLineChars="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项目审批（核准/备案）部门（选填）</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项目审批（核准/</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备案）文号（选填）</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总投资（万元）</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1053.94</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环保投资（万元）</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132.17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环保投资占比（%）</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12.54</w:t>
            </w:r>
            <w:r>
              <w:rPr>
                <w:rFonts w:hint="default" w:ascii="Times New Roman" w:hAnsi="Times New Roman" w:eastAsia="仿宋" w:cs="Times New Roman"/>
                <w:color w:val="auto"/>
                <w:sz w:val="24"/>
                <w:szCs w:val="24"/>
                <w:highlight w:val="none"/>
                <w:lang w:val="en-US" w:eastAsia="zh-CN"/>
              </w:rPr>
              <w:t>%</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施工工期</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是否开工建设</w:t>
            </w:r>
          </w:p>
        </w:tc>
        <w:tc>
          <w:tcPr>
            <w:tcW w:w="7758" w:type="dxa"/>
            <w:gridSpan w:val="4"/>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否</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专项评价设置情况</w:t>
            </w:r>
          </w:p>
        </w:tc>
        <w:tc>
          <w:tcPr>
            <w:tcW w:w="7758" w:type="dxa"/>
            <w:gridSpan w:val="4"/>
            <w:tcMar>
              <w:top w:w="16" w:type="dxa"/>
              <w:left w:w="16" w:type="dxa"/>
              <w:right w:w="16" w:type="dxa"/>
            </w:tcMar>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规划情况</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《新疆维吾尔自治区矿产资源总体规划》（</w:t>
            </w:r>
            <w:r>
              <w:rPr>
                <w:rFonts w:hint="default" w:ascii="Times New Roman" w:hAnsi="Times New Roman" w:eastAsia="仿宋" w:cs="Times New Roman"/>
                <w:color w:val="auto"/>
                <w:sz w:val="24"/>
                <w:szCs w:val="24"/>
                <w:lang w:val="en-US" w:eastAsia="zh-CN"/>
              </w:rPr>
              <w:t>2021</w:t>
            </w:r>
            <w:r>
              <w:rPr>
                <w:rFonts w:hint="default" w:ascii="Times New Roman" w:hAnsi="Times New Roman" w:eastAsia="仿宋" w:cs="Times New Roman"/>
                <w:color w:val="auto"/>
                <w:sz w:val="24"/>
                <w:szCs w:val="24"/>
              </w:rPr>
              <w:t>-20</w:t>
            </w:r>
            <w:r>
              <w:rPr>
                <w:rFonts w:hint="default" w:ascii="Times New Roman" w:hAnsi="Times New Roman" w:eastAsia="仿宋" w:cs="Times New Roman"/>
                <w:color w:val="auto"/>
                <w:sz w:val="24"/>
                <w:szCs w:val="24"/>
                <w:lang w:val="en-US" w:eastAsia="zh-CN"/>
              </w:rPr>
              <w:t>25</w:t>
            </w:r>
            <w:r>
              <w:rPr>
                <w:rFonts w:hint="default" w:ascii="Times New Roman" w:hAnsi="Times New Roman" w:eastAsia="仿宋" w:cs="Times New Roman"/>
                <w:color w:val="auto"/>
                <w:sz w:val="24"/>
                <w:szCs w:val="24"/>
              </w:rPr>
              <w:t>年），自然资源部；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规划环境影响评价情况</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rPr>
            </w:pPr>
            <w:r>
              <w:rPr>
                <w:rFonts w:hint="eastAsia" w:eastAsia="仿宋" w:cs="Times New Roman"/>
                <w:color w:val="auto"/>
                <w:sz w:val="24"/>
                <w:szCs w:val="24"/>
                <w:lang w:val="en-US" w:eastAsia="zh-CN"/>
              </w:rPr>
              <w:t>《关于&lt;新疆维吾尔自治区矿产资源总体规划（2021-2025）环境影响报告书&gt;的审查意见》环审[2022]124号，2022年8月12日，生态环境部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规划及</w:t>
            </w:r>
            <w:r>
              <w:rPr>
                <w:rFonts w:hint="default" w:ascii="Times New Roman" w:hAnsi="Times New Roman" w:eastAsia="仿宋" w:cs="Times New Roman"/>
                <w:color w:val="auto"/>
                <w:sz w:val="24"/>
                <w:szCs w:val="24"/>
              </w:rPr>
              <w:t>规划环境影响评价</w:t>
            </w:r>
            <w:r>
              <w:rPr>
                <w:rFonts w:hint="default" w:ascii="Times New Roman" w:hAnsi="Times New Roman" w:eastAsia="仿宋" w:cs="Times New Roman"/>
                <w:color w:val="auto"/>
                <w:kern w:val="0"/>
                <w:sz w:val="24"/>
                <w:szCs w:val="24"/>
              </w:rPr>
              <w:t>符合性分析</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 w:cs="Times New Roman"/>
                <w:bCs/>
                <w:color w:val="auto"/>
                <w:kern w:val="0"/>
                <w:sz w:val="24"/>
                <w:szCs w:val="24"/>
                <w:lang w:val="en-US" w:eastAsia="zh-CN"/>
              </w:rPr>
            </w:pPr>
            <w:r>
              <w:rPr>
                <w:rFonts w:hint="default" w:ascii="Times New Roman" w:hAnsi="Times New Roman" w:eastAsia="仿宋" w:cs="Times New Roman"/>
                <w:bCs/>
                <w:color w:val="auto"/>
                <w:kern w:val="0"/>
                <w:sz w:val="24"/>
                <w:szCs w:val="24"/>
              </w:rPr>
              <w:t>本项目</w:t>
            </w:r>
            <w:r>
              <w:rPr>
                <w:rFonts w:hint="default" w:ascii="Times New Roman" w:hAnsi="Times New Roman" w:eastAsia="仿宋" w:cs="Times New Roman"/>
                <w:bCs/>
                <w:color w:val="auto"/>
                <w:kern w:val="0"/>
                <w:sz w:val="24"/>
                <w:szCs w:val="24"/>
                <w:lang w:eastAsia="zh-CN"/>
              </w:rPr>
              <w:t>与</w:t>
            </w:r>
            <w:r>
              <w:rPr>
                <w:rFonts w:hint="default" w:ascii="Times New Roman" w:hAnsi="Times New Roman" w:eastAsia="仿宋" w:cs="Times New Roman"/>
                <w:bCs/>
                <w:color w:val="auto"/>
                <w:kern w:val="0"/>
                <w:sz w:val="24"/>
                <w:szCs w:val="24"/>
              </w:rPr>
              <w:t>《新疆维吾尔自治区矿产资源总体规划（20</w:t>
            </w:r>
            <w:r>
              <w:rPr>
                <w:rFonts w:hint="default" w:ascii="Times New Roman" w:hAnsi="Times New Roman" w:eastAsia="仿宋" w:cs="Times New Roman"/>
                <w:bCs/>
                <w:color w:val="auto"/>
                <w:kern w:val="0"/>
                <w:sz w:val="24"/>
                <w:szCs w:val="24"/>
                <w:lang w:val="en-US" w:eastAsia="zh-CN"/>
              </w:rPr>
              <w:t>21</w:t>
            </w:r>
            <w:r>
              <w:rPr>
                <w:rFonts w:hint="default" w:ascii="Times New Roman" w:hAnsi="Times New Roman" w:eastAsia="仿宋" w:cs="Times New Roman"/>
                <w:bCs/>
                <w:color w:val="auto"/>
                <w:kern w:val="0"/>
                <w:sz w:val="24"/>
                <w:szCs w:val="24"/>
              </w:rPr>
              <w:t>－202</w:t>
            </w:r>
            <w:r>
              <w:rPr>
                <w:rFonts w:hint="default" w:ascii="Times New Roman" w:hAnsi="Times New Roman" w:eastAsia="仿宋" w:cs="Times New Roman"/>
                <w:bCs/>
                <w:color w:val="auto"/>
                <w:kern w:val="0"/>
                <w:sz w:val="24"/>
                <w:szCs w:val="24"/>
                <w:lang w:val="en-US" w:eastAsia="zh-CN"/>
              </w:rPr>
              <w:t>5</w:t>
            </w:r>
            <w:r>
              <w:rPr>
                <w:rFonts w:hint="default" w:ascii="Times New Roman" w:hAnsi="Times New Roman" w:eastAsia="仿宋" w:cs="Times New Roman"/>
                <w:bCs/>
                <w:color w:val="auto"/>
                <w:kern w:val="0"/>
                <w:sz w:val="24"/>
                <w:szCs w:val="24"/>
              </w:rPr>
              <w:t>年）》</w:t>
            </w:r>
            <w:r>
              <w:rPr>
                <w:rFonts w:hint="default" w:ascii="Times New Roman" w:hAnsi="Times New Roman" w:eastAsia="仿宋" w:cs="Times New Roman"/>
                <w:bCs/>
                <w:color w:val="auto"/>
                <w:kern w:val="0"/>
                <w:sz w:val="24"/>
                <w:szCs w:val="24"/>
                <w:lang w:val="en-US" w:eastAsia="zh-CN"/>
              </w:rPr>
              <w:t>的</w:t>
            </w:r>
            <w:r>
              <w:rPr>
                <w:rFonts w:hint="default" w:ascii="Times New Roman" w:hAnsi="Times New Roman" w:eastAsia="仿宋" w:cs="Times New Roman"/>
                <w:bCs/>
                <w:color w:val="auto"/>
                <w:kern w:val="0"/>
                <w:sz w:val="24"/>
                <w:szCs w:val="24"/>
              </w:rPr>
              <w:t>符合性分析见表1-1</w:t>
            </w:r>
            <w:r>
              <w:rPr>
                <w:rFonts w:hint="default" w:ascii="Times New Roman" w:hAnsi="Times New Roman" w:eastAsia="仿宋" w:cs="Times New Roman"/>
                <w:bCs/>
                <w:color w:val="auto"/>
                <w:kern w:val="0"/>
                <w:sz w:val="24"/>
                <w:szCs w:val="24"/>
                <w:lang w:eastAsia="zh-CN"/>
              </w:rPr>
              <w:t>，</w:t>
            </w:r>
            <w:r>
              <w:rPr>
                <w:rFonts w:hint="default" w:ascii="Times New Roman" w:hAnsi="Times New Roman" w:eastAsia="仿宋" w:cs="Times New Roman"/>
                <w:bCs/>
                <w:color w:val="auto"/>
                <w:kern w:val="0"/>
                <w:sz w:val="24"/>
                <w:szCs w:val="24"/>
                <w:lang w:val="en-US" w:eastAsia="zh-CN"/>
              </w:rPr>
              <w:t>与《新疆维吾尔自治区矿产资源总体规划（2021-2025）环境影响报告书》的审查意见符合性分析</w:t>
            </w:r>
            <w:r>
              <w:rPr>
                <w:rFonts w:hint="default" w:ascii="Times New Roman" w:hAnsi="Times New Roman" w:eastAsia="仿宋" w:cs="Times New Roman"/>
                <w:color w:val="auto"/>
                <w:sz w:val="24"/>
                <w:szCs w:val="24"/>
                <w:lang w:val="en-US" w:eastAsia="zh-CN"/>
              </w:rPr>
              <w:t>见表1-2。</w:t>
            </w:r>
          </w:p>
          <w:p>
            <w:pPr>
              <w:pStyle w:val="6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表1-1与《新疆维吾尔自治区矿产资源总体规划（20</w:t>
            </w:r>
            <w:r>
              <w:rPr>
                <w:rFonts w:hint="default" w:ascii="Times New Roman" w:hAnsi="Times New Roman" w:eastAsia="仿宋" w:cs="Times New Roman"/>
                <w:b/>
                <w:color w:val="auto"/>
                <w:kern w:val="0"/>
                <w:sz w:val="21"/>
                <w:szCs w:val="21"/>
                <w:lang w:val="en-US" w:eastAsia="zh-CN"/>
              </w:rPr>
              <w:t>21</w:t>
            </w:r>
            <w:r>
              <w:rPr>
                <w:rFonts w:hint="default" w:ascii="Times New Roman" w:hAnsi="Times New Roman" w:eastAsia="仿宋" w:cs="Times New Roman"/>
                <w:b/>
                <w:color w:val="auto"/>
                <w:kern w:val="0"/>
                <w:sz w:val="21"/>
                <w:szCs w:val="21"/>
              </w:rPr>
              <w:t>－202</w:t>
            </w:r>
            <w:r>
              <w:rPr>
                <w:rFonts w:hint="default" w:ascii="Times New Roman" w:hAnsi="Times New Roman" w:eastAsia="仿宋" w:cs="Times New Roman"/>
                <w:b/>
                <w:color w:val="auto"/>
                <w:kern w:val="0"/>
                <w:sz w:val="21"/>
                <w:szCs w:val="21"/>
                <w:lang w:val="en-US" w:eastAsia="zh-CN"/>
              </w:rPr>
              <w:t>5</w:t>
            </w:r>
            <w:r>
              <w:rPr>
                <w:rFonts w:hint="default" w:ascii="Times New Roman" w:hAnsi="Times New Roman" w:eastAsia="仿宋" w:cs="Times New Roman"/>
                <w:b/>
                <w:color w:val="auto"/>
                <w:kern w:val="0"/>
                <w:sz w:val="21"/>
                <w:szCs w:val="21"/>
              </w:rPr>
              <w:t>年）》符合性分析</w:t>
            </w:r>
          </w:p>
          <w:tbl>
            <w:tblPr>
              <w:tblStyle w:val="25"/>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4"/>
              <w:gridCol w:w="273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《新疆维吾尔自治区矿产资源总体规划</w:t>
                  </w:r>
                </w:p>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（20</w:t>
                  </w:r>
                  <w:r>
                    <w:rPr>
                      <w:rFonts w:hint="default" w:ascii="Times New Roman" w:hAnsi="Times New Roman" w:eastAsia="仿宋" w:cs="Times New Roman"/>
                      <w:color w:val="auto"/>
                      <w:kern w:val="0"/>
                      <w:sz w:val="21"/>
                      <w:szCs w:val="21"/>
                      <w:lang w:val="en-US" w:eastAsia="zh-CN"/>
                    </w:rPr>
                    <w:t>21</w:t>
                  </w:r>
                  <w:r>
                    <w:rPr>
                      <w:rFonts w:hint="default" w:ascii="Times New Roman" w:hAnsi="Times New Roman" w:eastAsia="仿宋" w:cs="Times New Roman"/>
                      <w:color w:val="auto"/>
                      <w:kern w:val="0"/>
                      <w:sz w:val="21"/>
                      <w:szCs w:val="21"/>
                    </w:rPr>
                    <w:t>－202</w:t>
                  </w:r>
                  <w:r>
                    <w:rPr>
                      <w:rFonts w:hint="default" w:ascii="Times New Roman" w:hAnsi="Times New Roman" w:eastAsia="仿宋" w:cs="Times New Roman"/>
                      <w:color w:val="auto"/>
                      <w:kern w:val="0"/>
                      <w:sz w:val="21"/>
                      <w:szCs w:val="21"/>
                      <w:lang w:val="en-US" w:eastAsia="zh-CN"/>
                    </w:rPr>
                    <w:t>5</w:t>
                  </w:r>
                  <w:r>
                    <w:rPr>
                      <w:rFonts w:hint="default" w:ascii="Times New Roman" w:hAnsi="Times New Roman" w:eastAsia="仿宋" w:cs="Times New Roman"/>
                      <w:color w:val="auto"/>
                      <w:kern w:val="0"/>
                      <w:sz w:val="21"/>
                      <w:szCs w:val="21"/>
                    </w:rPr>
                    <w:t>年）》要求</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3"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b/>
                      <w:bCs/>
                      <w:color w:val="auto"/>
                      <w:kern w:val="0"/>
                      <w:sz w:val="21"/>
                      <w:szCs w:val="21"/>
                    </w:rPr>
                    <w:t>重点勘查区</w:t>
                  </w:r>
                  <w:r>
                    <w:rPr>
                      <w:rFonts w:hint="default" w:ascii="Times New Roman" w:hAnsi="Times New Roman" w:eastAsia="仿宋" w:cs="Times New Roman"/>
                      <w:color w:val="auto"/>
                      <w:kern w:val="0"/>
                      <w:sz w:val="21"/>
                      <w:szCs w:val="21"/>
                    </w:rPr>
                    <w:t>：部署45个国家级和38个自治区级重点勘查区。在国家和自治区紧缺矿种的具有找矿潜力的区域，南疆四地州经济欠发达地区所在的西南天山、昆仑山以及阿尔金山地区等重点勘查区内，通过优先设置出让探矿权，引导商业性矿产资源勘查，促进社会资本投入</w:t>
                  </w:r>
                  <w:r>
                    <w:rPr>
                      <w:rFonts w:hint="default" w:ascii="Times New Roman" w:hAnsi="Times New Roman" w:eastAsia="仿宋" w:cs="Times New Roman"/>
                      <w:color w:val="auto"/>
                      <w:kern w:val="0"/>
                      <w:sz w:val="21"/>
                      <w:szCs w:val="21"/>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采矿权通过挂牌竞拍取得，本项目的建成后，有利于</w:t>
                  </w:r>
                  <w:r>
                    <w:rPr>
                      <w:rFonts w:hint="eastAsia" w:eastAsia="仿宋" w:cs="Times New Roman"/>
                      <w:color w:val="auto"/>
                      <w:kern w:val="0"/>
                      <w:sz w:val="21"/>
                      <w:szCs w:val="21"/>
                      <w:lang w:val="en-US" w:eastAsia="zh-CN"/>
                    </w:rPr>
                    <w:t>鄯善县</w:t>
                  </w:r>
                  <w:r>
                    <w:rPr>
                      <w:rFonts w:hint="default" w:ascii="Times New Roman" w:hAnsi="Times New Roman" w:eastAsia="仿宋" w:cs="Times New Roman"/>
                      <w:color w:val="auto"/>
                      <w:kern w:val="0"/>
                      <w:sz w:val="21"/>
                      <w:szCs w:val="21"/>
                    </w:rPr>
                    <w:t>的社会发展</w:t>
                  </w:r>
                  <w:r>
                    <w:rPr>
                      <w:rFonts w:hint="default" w:ascii="Times New Roman" w:hAnsi="Times New Roman" w:eastAsia="仿宋" w:cs="Times New Roman"/>
                      <w:color w:val="auto"/>
                      <w:kern w:val="0"/>
                      <w:sz w:val="21"/>
                      <w:szCs w:val="21"/>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6"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b/>
                      <w:bCs/>
                      <w:color w:val="auto"/>
                      <w:kern w:val="0"/>
                      <w:sz w:val="21"/>
                      <w:szCs w:val="21"/>
                      <w:highlight w:val="none"/>
                    </w:rPr>
                    <w:t>限制勘查区</w:t>
                  </w:r>
                  <w:r>
                    <w:rPr>
                      <w:rFonts w:hint="default" w:ascii="Times New Roman" w:hAnsi="Times New Roman" w:eastAsia="仿宋" w:cs="Times New Roman"/>
                      <w:color w:val="auto"/>
                      <w:kern w:val="0"/>
                      <w:sz w:val="21"/>
                      <w:szCs w:val="21"/>
                      <w:highlight w:val="none"/>
                    </w:rPr>
                    <w:t>：钨、稀土等国家规定实行保护性开采的特定矿种分布区域；严重供大于求以及下游产业产能过剩、耗能大、污染重的矿产分布区域；具有地方特色且资源储量有限，需要保护的区域；虽有可靠的资源基础和市场需求，但现阶段开发技术条件不成熟的区域；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把生态文明建设目标任务落实到国土资源管理工作中，做好探矿权稳妥有序退出保护区基础工作，并确保新设探矿权不再进入国家和自治区级自然保护区</w:t>
                  </w:r>
                  <w:r>
                    <w:rPr>
                      <w:rFonts w:hint="default" w:ascii="Times New Roman" w:hAnsi="Times New Roman" w:eastAsia="仿宋" w:cs="Times New Roman"/>
                      <w:color w:val="auto"/>
                      <w:kern w:val="0"/>
                      <w:sz w:val="21"/>
                      <w:szCs w:val="21"/>
                      <w:highlight w:val="none"/>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本项目不涉及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及有关法律法规规定的限制勘查区</w:t>
                  </w:r>
                  <w:r>
                    <w:rPr>
                      <w:rFonts w:hint="default" w:ascii="Times New Roman" w:hAnsi="Times New Roman" w:eastAsia="仿宋" w:cs="Times New Roman"/>
                      <w:color w:val="auto"/>
                      <w:kern w:val="0"/>
                      <w:sz w:val="21"/>
                      <w:szCs w:val="21"/>
                      <w:highlight w:val="none"/>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8"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重点矿区</w:t>
                  </w:r>
                  <w:r>
                    <w:rPr>
                      <w:rFonts w:hint="default" w:ascii="Times New Roman" w:hAnsi="Times New Roman" w:eastAsia="仿宋" w:cs="Times New Roman"/>
                      <w:color w:val="auto"/>
                      <w:kern w:val="0"/>
                      <w:sz w:val="21"/>
                      <w:szCs w:val="21"/>
                    </w:rPr>
                    <w:t>：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eastAsia" w:eastAsia="仿宋" w:cs="Times New Roman"/>
                      <w:color w:val="auto"/>
                      <w:kern w:val="0"/>
                      <w:sz w:val="21"/>
                      <w:szCs w:val="21"/>
                      <w:lang w:eastAsia="zh-CN"/>
                    </w:rPr>
                    <w:t>本项目位于新疆维吾尔自治区吐鲁番地区</w:t>
                  </w:r>
                  <w:r>
                    <w:rPr>
                      <w:rFonts w:hint="eastAsia" w:eastAsia="仿宋" w:cs="Times New Roman"/>
                      <w:color w:val="auto"/>
                      <w:kern w:val="0"/>
                      <w:sz w:val="21"/>
                      <w:szCs w:val="21"/>
                      <w:lang w:val="en-US" w:eastAsia="zh-CN"/>
                    </w:rPr>
                    <w:t>七克台镇北东56°方向直线距离36.5千米处</w:t>
                  </w:r>
                  <w:r>
                    <w:rPr>
                      <w:rFonts w:hint="default" w:ascii="Times New Roman" w:hAnsi="Times New Roman" w:eastAsia="仿宋" w:cs="Times New Roman"/>
                      <w:color w:val="auto"/>
                      <w:kern w:val="0"/>
                      <w:sz w:val="21"/>
                      <w:szCs w:val="21"/>
                      <w:lang w:val="en-US" w:eastAsia="zh-CN"/>
                    </w:rPr>
                    <w:t>，项目的建设有利于矿山资源的开发，</w:t>
                  </w:r>
                  <w:r>
                    <w:rPr>
                      <w:rFonts w:hint="default" w:ascii="Times New Roman" w:hAnsi="Times New Roman" w:eastAsia="仿宋" w:cs="Times New Roman"/>
                      <w:color w:val="auto"/>
                      <w:kern w:val="0"/>
                      <w:sz w:val="21"/>
                      <w:szCs w:val="21"/>
                    </w:rPr>
                    <w:t>矿山占有矿石资源储量与矿山开采规模及矿山服务年限相匹配，具备与矿山开采规模相配套的人才、资金、技术和管理资质条件，符合当地的矿产资源总体规划</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限制开采区</w:t>
                  </w:r>
                  <w:r>
                    <w:rPr>
                      <w:rFonts w:hint="default" w:ascii="Times New Roman" w:hAnsi="Times New Roman" w:eastAsia="仿宋" w:cs="Times New Roman"/>
                      <w:color w:val="auto"/>
                      <w:kern w:val="0"/>
                      <w:sz w:val="21"/>
                      <w:szCs w:val="21"/>
                    </w:rPr>
                    <w:t>：严重供大于求以及下游产业产能过剩、耗能大、污染重的矿产分布区域；具有地方特色且需保护性限制开采矿种的分布区域；虽有可靠的资源基础，但当前市场容量有限，应用研究不够，资源利用方式不合理的区域；在较高技术经济条件与一定外部条件下，才能达到资源合理利用的区域；需要进行矿产资源储备和保护的矿产地；钨矿分布区域；国家和地方规定的其他限制开采矿产资源的区域。区内要进一步严格矿业权管理，按照现行法律法规加强监督管理</w:t>
                  </w:r>
                </w:p>
              </w:tc>
              <w:tc>
                <w:tcPr>
                  <w:tcW w:w="1811" w:type="pct"/>
                  <w:vMerge w:val="restar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本项目不在限制开采区，亦不在禁止开采区内，符合规划要求</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禁止开采区</w:t>
                  </w:r>
                  <w:r>
                    <w:rPr>
                      <w:rFonts w:hint="default" w:ascii="Times New Roman" w:hAnsi="Times New Roman" w:eastAsia="仿宋" w:cs="Times New Roman"/>
                      <w:color w:val="auto"/>
                      <w:kern w:val="0"/>
                      <w:sz w:val="21"/>
                      <w:szCs w:val="21"/>
                    </w:rPr>
                    <w:t>：国家和自治区级自然保护区、风景名胜区、历史遗迹保护区，重要饮用水水源保护区、重要湿地保护区、国家级森林公园、地质公园；铁路、高速公路、国道、省道、油气管线等线型工程两侧一定距离内；军事管理区、重要工业区、大型水利工程设施、城镇市政工程设施等一定范围内，机场和国防工程设施圈定的地区。</w:t>
                  </w:r>
                </w:p>
              </w:tc>
              <w:tc>
                <w:tcPr>
                  <w:tcW w:w="1811" w:type="pct"/>
                  <w:vMerge w:val="continue"/>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8"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全面落实主体功能区规划和生态保护要求，严格执行矿产资源规划分区管理措施。区内未经主管部门同意，不得新设与资源环境保护功能不相符的矿业权。全面清理相关区域内已有的矿产资源勘查开发项目，研究制定退出补偿方案，在维护矿业权人合法权益的前提下逐步有序退出，及时复垦被破坏土地；确需保留的项目，实行清单式管理，明确资源环境保护要求和措施，强化资源环境保护</w:t>
                  </w:r>
                </w:p>
              </w:tc>
              <w:tc>
                <w:tcPr>
                  <w:tcW w:w="1811" w:type="pct"/>
                  <w:vAlign w:val="center"/>
                </w:tcPr>
                <w:p>
                  <w:pPr>
                    <w:widowControl/>
                    <w:adjustRightInd w:val="0"/>
                    <w:snapToGrid w:val="0"/>
                    <w:spacing w:line="240" w:lineRule="auto"/>
                    <w:ind w:firstLine="0" w:firstLineChars="0"/>
                    <w:jc w:val="center"/>
                    <w:rPr>
                      <w:rFonts w:hint="eastAsia"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本项目建设单位通过挂牌竞拍取得</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采矿权，并已制定了矿产资源开发利用方案，建设单位</w:t>
                  </w:r>
                  <w:r>
                    <w:rPr>
                      <w:rFonts w:hint="default" w:ascii="Times New Roman" w:hAnsi="Times New Roman" w:eastAsia="仿宋" w:cs="Times New Roman"/>
                      <w:color w:val="auto"/>
                      <w:kern w:val="0"/>
                      <w:sz w:val="21"/>
                      <w:szCs w:val="21"/>
                      <w:lang w:val="en-US" w:eastAsia="zh-CN"/>
                    </w:rPr>
                    <w:t>已</w:t>
                  </w:r>
                  <w:r>
                    <w:rPr>
                      <w:rFonts w:hint="default" w:ascii="Times New Roman" w:hAnsi="Times New Roman" w:eastAsia="仿宋" w:cs="Times New Roman"/>
                      <w:color w:val="auto"/>
                      <w:kern w:val="0"/>
                      <w:sz w:val="21"/>
                      <w:szCs w:val="21"/>
                    </w:rPr>
                    <w:t>委托</w:t>
                  </w:r>
                  <w:r>
                    <w:rPr>
                      <w:rFonts w:hint="default" w:ascii="Times New Roman" w:hAnsi="Times New Roman" w:eastAsia="仿宋" w:cs="Times New Roman"/>
                      <w:color w:val="auto"/>
                      <w:kern w:val="0"/>
                      <w:sz w:val="21"/>
                      <w:szCs w:val="21"/>
                      <w:lang w:eastAsia="zh-CN"/>
                    </w:rPr>
                    <w:t>新疆瑞新源矿业技术有限公司</w:t>
                  </w:r>
                  <w:r>
                    <w:rPr>
                      <w:rFonts w:hint="default" w:ascii="Times New Roman" w:hAnsi="Times New Roman" w:eastAsia="仿宋" w:cs="Times New Roman"/>
                      <w:color w:val="auto"/>
                      <w:kern w:val="0"/>
                      <w:sz w:val="21"/>
                      <w:szCs w:val="21"/>
                    </w:rPr>
                    <w:t>编制</w:t>
                  </w:r>
                  <w:r>
                    <w:rPr>
                      <w:rFonts w:hint="default" w:ascii="Times New Roman" w:hAnsi="Times New Roman" w:eastAsia="仿宋" w:cs="Times New Roman"/>
                      <w:color w:val="auto"/>
                      <w:kern w:val="0"/>
                      <w:sz w:val="21"/>
                      <w:szCs w:val="21"/>
                      <w:lang w:val="en-US" w:eastAsia="zh-CN"/>
                    </w:rPr>
                    <w:t>了</w:t>
                  </w:r>
                  <w:r>
                    <w:rPr>
                      <w:rFonts w:hint="default" w:ascii="Times New Roman" w:hAnsi="Times New Roman" w:eastAsia="仿宋" w:cs="Times New Roman"/>
                      <w:color w:val="auto"/>
                      <w:kern w:val="0"/>
                      <w:sz w:val="21"/>
                      <w:szCs w:val="21"/>
                    </w:rPr>
                    <w:t>《</w:t>
                  </w:r>
                  <w:r>
                    <w:rPr>
                      <w:rFonts w:hint="eastAsia" w:eastAsia="仿宋" w:cs="Times New Roman"/>
                      <w:color w:val="auto"/>
                      <w:kern w:val="0"/>
                      <w:sz w:val="21"/>
                      <w:szCs w:val="21"/>
                      <w:lang w:eastAsia="zh-CN"/>
                    </w:rPr>
                    <w:t>新疆鄯善县木鄯公路东砂石料矿</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做到边开采边复垦</w:t>
                  </w:r>
                  <w:r>
                    <w:rPr>
                      <w:rFonts w:hint="eastAsia" w:eastAsia="仿宋" w:cs="Times New Roman"/>
                      <w:color w:val="auto"/>
                      <w:kern w:val="0"/>
                      <w:sz w:val="21"/>
                      <w:szCs w:val="21"/>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bl>
          <w:p>
            <w:pPr>
              <w:pStyle w:val="66"/>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w:t>
            </w:r>
            <w:r>
              <w:rPr>
                <w:rFonts w:hint="default" w:ascii="Times New Roman" w:hAnsi="Times New Roman" w:eastAsia="仿宋" w:cs="Times New Roman"/>
                <w:b/>
                <w:color w:val="auto"/>
                <w:kern w:val="0"/>
                <w:sz w:val="21"/>
                <w:szCs w:val="21"/>
                <w:lang w:val="en-US" w:eastAsia="zh-CN"/>
              </w:rPr>
              <w:t>2</w:t>
            </w:r>
            <w:r>
              <w:rPr>
                <w:rFonts w:hint="default" w:ascii="Times New Roman" w:hAnsi="Times New Roman" w:eastAsia="仿宋" w:cs="Times New Roman"/>
                <w:b/>
                <w:color w:val="auto"/>
                <w:kern w:val="0"/>
                <w:sz w:val="21"/>
                <w:szCs w:val="21"/>
              </w:rPr>
              <w:t>与《新疆维吾尔自治区矿产资源总体规划（2021-2025）环境影响报告书》的审查意见符合性分析</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8"/>
              <w:gridCol w:w="198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vertAlign w:val="baseline"/>
                    </w:rPr>
                    <w:t>《新疆维吾尔自治区矿产资源总体规划（2021-2025）环境影响报告书）环境影响报告书》的审查意见</w:t>
                  </w:r>
                </w:p>
              </w:tc>
              <w:tc>
                <w:tcPr>
                  <w:tcW w:w="1983" w:type="dxa"/>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本项目</w:t>
                  </w:r>
                </w:p>
              </w:tc>
              <w:tc>
                <w:tcPr>
                  <w:tcW w:w="798" w:type="dxa"/>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一）坚持生态优先，绿色发展。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进一步强化《规划》的生态环境保护总体要求，将细化后的绿色开发、生态修复等相关目标、指标作为《规划》实施的硬约束。《规划》应严格执行国家矿产资源合理开发利用“三率”（即开采回采率、选矿回收率、综合利用率）相关要求，确保全区矿山整体“三率”水平达标率达到85%以上。优化并落实绿色矿山建设标准体系，到规划期末，全区大中型固体生产矿山基本达到绿色矿山建设水平。应进一步合理确定布局、规模、结构和开发时序，采取严格的生态保护和修复措施，确保优化后的《规划》符合绿色发展要求，推动生态环境保护与矿产资源开发目标同步实现。</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本项目不占用禁止开发的区域，矿区范围内无保护区等环境敏感目标；环评要求</w:t>
                  </w:r>
                  <w:r>
                    <w:rPr>
                      <w:rFonts w:hint="eastAsia" w:ascii="Times New Roman" w:hAnsi="Times New Roman" w:eastAsia="仿宋" w:cs="Times New Roman"/>
                      <w:color w:val="auto"/>
                      <w:sz w:val="21"/>
                      <w:szCs w:val="21"/>
                      <w:vertAlign w:val="baseline"/>
                      <w:lang w:val="en-US" w:eastAsia="zh-CN"/>
                    </w:rPr>
                    <w:t>建筑用砂</w:t>
                  </w:r>
                  <w:r>
                    <w:rPr>
                      <w:rFonts w:hint="default" w:ascii="Times New Roman" w:hAnsi="Times New Roman" w:eastAsia="仿宋" w:cs="Times New Roman"/>
                      <w:color w:val="auto"/>
                      <w:sz w:val="21"/>
                      <w:szCs w:val="21"/>
                      <w:vertAlign w:val="baseline"/>
                      <w:lang w:val="en-US" w:eastAsia="zh-CN"/>
                    </w:rPr>
                    <w:t>按照绿色矿山水平进行建设；环评中提出了生态保护和污染防治措施，确保矿山达到绿色矿山建设水平。</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严格保护生态空间，优化《规划》布局。将生态保护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本项目不涉及生态保护红线；属国家规划矿区；</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建设符合“三线一单”要求，符合生态环境分区管控及相关环境保护要求。</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三）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硫铁矿、砖瓦用粘土等矿产；严格控制开采钨、稀土等特定保护性矿产。严格尾矿库的新建和管理，确保符合相关要求。</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本项目建设规模符合矿区总体规划要求和《产业结构调整指导目录（2024年）》；建设规模属于</w:t>
                  </w:r>
                  <w:r>
                    <w:rPr>
                      <w:rFonts w:hint="eastAsia" w:ascii="Times New Roman" w:hAnsi="Times New Roman" w:eastAsia="仿宋" w:cs="Times New Roman"/>
                      <w:color w:val="auto"/>
                      <w:sz w:val="21"/>
                      <w:szCs w:val="21"/>
                      <w:vertAlign w:val="baseline"/>
                      <w:lang w:val="en-US" w:eastAsia="zh-CN"/>
                    </w:rPr>
                    <w:t>大</w:t>
                  </w:r>
                  <w:r>
                    <w:rPr>
                      <w:rFonts w:hint="default" w:ascii="Times New Roman" w:hAnsi="Times New Roman" w:eastAsia="仿宋" w:cs="Times New Roman"/>
                      <w:color w:val="auto"/>
                      <w:sz w:val="21"/>
                      <w:szCs w:val="21"/>
                      <w:vertAlign w:val="baseline"/>
                      <w:lang w:val="en-US" w:eastAsia="zh-CN"/>
                    </w:rPr>
                    <w:t>型矿山，符合矿山最低开采规模准入要求；煤矿对</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进行了生态整治和土地复垦</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四）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建设符合自治区生态环境分区管控方案；不涉及生态红线；矿山建设和运营过程中采取了污染防治措施和生态保护措施，减轻</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开采带来的不良环境影响。</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五）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11000公顷。重视关闭矿山及历史遗留矿山的生态环境问题，明确污染治理、生态修复的任务、要求和完成时限。对可能造成重金属污染等环境问题的矿区，进一步优化开发方式，推进结构调整，加大治理投入。</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已加强</w:t>
                  </w:r>
                  <w:r>
                    <w:rPr>
                      <w:rFonts w:hint="default" w:ascii="Times New Roman" w:hAnsi="Times New Roman" w:eastAsia="仿宋" w:cs="Times New Roman"/>
                      <w:color w:val="auto"/>
                      <w:sz w:val="21"/>
                      <w:szCs w:val="21"/>
                      <w:vertAlign w:val="baseline"/>
                      <w:lang w:val="en-US" w:eastAsia="zh-CN"/>
                    </w:rPr>
                    <w:t>矿山生态恢复和环境治理；对运营过程中的废气、废水等</w:t>
                  </w:r>
                  <w:r>
                    <w:rPr>
                      <w:rFonts w:hint="eastAsia" w:ascii="Times New Roman" w:hAnsi="Times New Roman" w:eastAsia="仿宋" w:cs="Times New Roman"/>
                      <w:color w:val="auto"/>
                      <w:sz w:val="21"/>
                      <w:szCs w:val="21"/>
                      <w:vertAlign w:val="baseline"/>
                      <w:lang w:val="en-US" w:eastAsia="zh-CN"/>
                    </w:rPr>
                    <w:t>提出</w:t>
                  </w:r>
                  <w:r>
                    <w:rPr>
                      <w:rFonts w:hint="default" w:ascii="Times New Roman" w:hAnsi="Times New Roman" w:eastAsia="仿宋" w:cs="Times New Roman"/>
                      <w:color w:val="auto"/>
                      <w:sz w:val="21"/>
                      <w:szCs w:val="21"/>
                      <w:vertAlign w:val="baseline"/>
                      <w:lang w:val="en-US" w:eastAsia="zh-CN"/>
                    </w:rPr>
                    <w:t>污染防治措施。</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六）加强生态环境保护监测和预警。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1983"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环评要求</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建设生态、地下水、土壤等监控体系和预警机制；采取污染防治措施和生态保护措施，防止地下水、土壤环境质量下降。</w:t>
                  </w:r>
                </w:p>
              </w:tc>
              <w:tc>
                <w:tcPr>
                  <w:tcW w:w="798" w:type="dxa"/>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bl>
          <w:p>
            <w:pPr>
              <w:pStyle w:val="35"/>
              <w:ind w:left="0" w:leftChars="0"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Cs w:val="21"/>
              </w:rPr>
            </w:pPr>
            <w:bookmarkStart w:id="0" w:name="_Hlk56690880"/>
            <w:r>
              <w:rPr>
                <w:rFonts w:hint="default" w:ascii="Times New Roman" w:hAnsi="Times New Roman" w:eastAsia="仿宋" w:cs="Times New Roman"/>
                <w:color w:val="auto"/>
                <w:kern w:val="0"/>
                <w:sz w:val="24"/>
                <w:szCs w:val="24"/>
              </w:rPr>
              <w:t>其他符合性分析</w:t>
            </w:r>
            <w:bookmarkEnd w:id="0"/>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1、产业政策符合性分析</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调查分析，本项目生产规模、采用生产工艺和设备及产品均不属于《产业结构调整指导目录（2024年本）》2023年第7号令中鼓励类、限制类和淘汰类的项目，属于鼓励类、限制类和淘汰类之外的允许类项目，符合国家、自治区及地方当前产业政策的要求。</w:t>
            </w:r>
          </w:p>
          <w:p>
            <w:pPr>
              <w:numPr>
                <w:ilvl w:val="0"/>
                <w:numId w:val="1"/>
              </w:numPr>
              <w:autoSpaceDE w:val="0"/>
              <w:autoSpaceDN w:val="0"/>
              <w:adjustRightInd w:val="0"/>
              <w:snapToGrid w:val="0"/>
              <w:ind w:firstLine="422"/>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“三线一单”符合性分析</w:t>
            </w:r>
          </w:p>
          <w:p>
            <w:pPr>
              <w:numPr>
                <w:ilvl w:val="0"/>
                <w:numId w:val="0"/>
              </w:numPr>
              <w:autoSpaceDE w:val="0"/>
              <w:autoSpaceDN w:val="0"/>
              <w:adjustRightInd w:val="0"/>
              <w:snapToGrid w:val="0"/>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（1）与新疆维吾尔自治区“三线一单”符合性分析</w:t>
            </w:r>
          </w:p>
          <w:p>
            <w:pPr>
              <w:numPr>
                <w:ilvl w:val="0"/>
                <w:numId w:val="0"/>
              </w:numPr>
              <w:autoSpaceDE w:val="0"/>
              <w:autoSpaceDN w:val="0"/>
              <w:adjustRightInd w:val="0"/>
              <w:snapToGrid w:val="0"/>
              <w:spacing w:line="360" w:lineRule="auto"/>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根据新疆维吾尔自治区人民政府办公厅新政发〔2021〕18号《关于印发《新疆维吾尔自治区“三线一单”生态环境分区管控方案》的通知》要求，</w:t>
            </w:r>
          </w:p>
          <w:p>
            <w:pPr>
              <w:pStyle w:val="85"/>
              <w:spacing w:line="360" w:lineRule="auto"/>
              <w:ind w:left="0" w:leftChars="0" w:firstLine="0" w:firstLineChars="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对照自治区编制的三线一单生态环境分区管控要求，分析如下。</w:t>
            </w:r>
          </w:p>
          <w:p>
            <w:pPr>
              <w:pStyle w:val="85"/>
              <w:spacing w:line="360" w:lineRule="auto"/>
              <w:ind w:left="0" w:leftChars="0" w:firstLine="0" w:firstLineChars="0"/>
              <w:jc w:val="center"/>
              <w:rPr>
                <w:rFonts w:hint="default" w:ascii="Times New Roman" w:hAnsi="Times New Roman" w:eastAsia="仿宋" w:cs="Times New Roman"/>
                <w:b/>
                <w:bCs/>
                <w:color w:val="auto"/>
                <w:kern w:val="0"/>
                <w:sz w:val="21"/>
                <w:szCs w:val="21"/>
                <w:lang w:val="en-US" w:eastAsia="zh-CN" w:bidi="ar-SA"/>
              </w:rPr>
            </w:pPr>
            <w:r>
              <w:rPr>
                <w:rFonts w:hint="eastAsia" w:ascii="Times New Roman" w:hAnsi="Times New Roman" w:eastAsia="仿宋" w:cs="Times New Roman"/>
                <w:b/>
                <w:bCs/>
                <w:color w:val="auto"/>
                <w:kern w:val="0"/>
                <w:sz w:val="21"/>
                <w:szCs w:val="21"/>
                <w:lang w:val="en-US" w:eastAsia="zh-CN" w:bidi="ar-SA"/>
              </w:rPr>
              <w:t>表1-3</w:t>
            </w:r>
            <w:r>
              <w:rPr>
                <w:rFonts w:hint="default" w:ascii="Times New Roman" w:hAnsi="Times New Roman" w:eastAsia="仿宋" w:cs="Times New Roman"/>
                <w:b/>
                <w:bCs/>
                <w:color w:val="auto"/>
                <w:kern w:val="0"/>
                <w:sz w:val="21"/>
                <w:szCs w:val="21"/>
                <w:lang w:val="en-US" w:eastAsia="zh-CN" w:bidi="ar-SA"/>
              </w:rPr>
              <w:t>与新疆维吾尔自治区“三线一单”符合性分析</w:t>
            </w:r>
          </w:p>
          <w:tbl>
            <w:tblPr>
              <w:tblStyle w:val="86"/>
              <w:tblW w:w="494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3543"/>
              <w:gridCol w:w="2942"/>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2734" w:type="pct"/>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“三线一单”要求</w:t>
                  </w:r>
                </w:p>
              </w:tc>
              <w:tc>
                <w:tcPr>
                  <w:tcW w:w="1926"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本项目情况</w:t>
                  </w:r>
                </w:p>
              </w:tc>
              <w:tc>
                <w:tcPr>
                  <w:tcW w:w="339"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jc w:val="center"/>
              </w:trPr>
              <w:tc>
                <w:tcPr>
                  <w:tcW w:w="415"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生态保护红线</w:t>
                  </w:r>
                </w:p>
              </w:tc>
              <w:tc>
                <w:tcPr>
                  <w:tcW w:w="2318"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tc>
              <w:tc>
                <w:tcPr>
                  <w:tcW w:w="1926"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项目位于新疆维吾尔自治区吐鲁番地区鄯善县七克台镇北东56°方向直线距离36.5千米处，项目周边无自然保护区、饮用水源地保护区等生态保护目标，符合生态保护红线要求。</w:t>
                  </w:r>
                </w:p>
              </w:tc>
              <w:tc>
                <w:tcPr>
                  <w:tcW w:w="339"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415"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环境质量底线</w:t>
                  </w:r>
                </w:p>
              </w:tc>
              <w:tc>
                <w:tcPr>
                  <w:tcW w:w="2318"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926"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本项目产生的废气、废水、噪声、固废等污染物均采取了严格的治理和处置措施，污染物能达标排放，采取相应措施后经预测能够满足相关标准要求，符合环境质量底线的要求，不会对环境质量底线产生冲击。</w:t>
                  </w:r>
                </w:p>
              </w:tc>
              <w:tc>
                <w:tcPr>
                  <w:tcW w:w="339"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415"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资源利用上线</w:t>
                  </w:r>
                </w:p>
              </w:tc>
              <w:tc>
                <w:tcPr>
                  <w:tcW w:w="2318"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按照自然资源资产“只能增值、不能贬值”的原则，以保障生态安全和改善环境质量为目的，利用自然资源资产负债表，结合自然资源开发管控，提出的分区域分阶段的资源开发利用总量、强度、效率等上线管控要求。</w:t>
                  </w:r>
                </w:p>
              </w:tc>
              <w:tc>
                <w:tcPr>
                  <w:tcW w:w="1926"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本项目为土砂石开采项目，运营期间仅使用少量水资源和电量，不会突破资源利用上线。</w:t>
                  </w:r>
                </w:p>
              </w:tc>
              <w:tc>
                <w:tcPr>
                  <w:tcW w:w="339"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jc w:val="center"/>
              </w:trPr>
              <w:tc>
                <w:tcPr>
                  <w:tcW w:w="415" w:type="pct"/>
                  <w:tcBorders>
                    <w:bottom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环境准入清单</w:t>
                  </w:r>
                </w:p>
              </w:tc>
              <w:tc>
                <w:tcPr>
                  <w:tcW w:w="2318" w:type="pct"/>
                  <w:tcBorders>
                    <w:bottom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指基于环境管控单元，统筹考虑生态保护红线、环境质量底线、资源利用上线的管控要求，提出的空间布局、污染物排放、环境风险、资源开发利用等方面禁止和限制的环境准入要求。</w:t>
                  </w:r>
                </w:p>
              </w:tc>
              <w:tc>
                <w:tcPr>
                  <w:tcW w:w="1926" w:type="pct"/>
                  <w:tcBorders>
                    <w:bottom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属于土砂石开采项目，根据《吐鲁番市“三线一单”生态环境分区管控方案》中附件3吐鲁番市生态环境准入清单分析，本项目符合鄯善县生态环境准入清单要求。本项目不属于《新疆维吾尔自治区28个国家重点生态功能区县（市）产业准入负面清单（试行）》中产业准入负面清单范畴。</w:t>
                  </w:r>
                </w:p>
              </w:tc>
              <w:tc>
                <w:tcPr>
                  <w:tcW w:w="339" w:type="pct"/>
                  <w:tcBorders>
                    <w:bottom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bl>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通过上表可知，本项目与《新疆维吾尔自治区“三线一单”生态环境分区管控方案的通知》相符。</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（2）与吐鲁番市“三线一单”符合性：</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①生态保护红线</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本项目位于新疆吐鲁番市鄯善县七克台镇，不位于生态保护红线区域和生态保护红线区以外的饮用水水源保护区、水源涵养区、防风固沙区、土地沙化防控区、水土流失防控区等一般生态空间管控区，项目所在区域属于重点管控单元，不属于生态红线划定范围区。</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②环境质量底线</w:t>
            </w:r>
          </w:p>
          <w:p>
            <w:pPr>
              <w:keepNext w:val="0"/>
              <w:keepLines w:val="0"/>
              <w:widowControl/>
              <w:suppressLineNumbers w:val="0"/>
              <w:jc w:val="left"/>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color w:val="auto"/>
                <w:kern w:val="0"/>
                <w:sz w:val="24"/>
                <w:szCs w:val="24"/>
                <w:highlight w:val="none"/>
                <w:lang w:val="en-US" w:eastAsia="zh-CN" w:bidi="ar"/>
              </w:rPr>
              <w:t>依据《生态保护红线、环境质量底线、资源利用上线和环境准入负面清单编制技术指南（试行）》（环办环评[2017]99号），环境质量底线是指按照水、大气、土壤</w:t>
            </w:r>
            <w:r>
              <w:rPr>
                <w:rFonts w:hint="default" w:ascii="Times New Roman" w:hAnsi="Times New Roman" w:eastAsia="仿宋" w:cs="Times New Roman"/>
                <w:b w:val="0"/>
                <w:bCs w:val="0"/>
                <w:color w:val="auto"/>
                <w:kern w:val="0"/>
                <w:sz w:val="24"/>
                <w:szCs w:val="24"/>
                <w:highlight w:val="none"/>
                <w:lang w:val="en-US" w:eastAsia="zh-CN" w:bidi="ar"/>
              </w:rPr>
              <w:t>环境</w:t>
            </w:r>
            <w:r>
              <w:rPr>
                <w:rFonts w:hint="default" w:ascii="Times New Roman" w:hAnsi="Times New Roman" w:eastAsia="仿宋" w:cs="Times New Roman"/>
                <w:b w:val="0"/>
                <w:bCs w:val="0"/>
                <w:color w:val="auto"/>
                <w:kern w:val="0"/>
                <w:sz w:val="24"/>
                <w:szCs w:val="24"/>
              </w:rPr>
              <w:t>质量不断优化的原则，结合环境质量现状和相关规划、功能区划要求，考虑环境质量改善潜力，确定的分区域分阶段环境质量目标及相应的环境管控、污染物排放控制等要求。项目所在区域地下水环境、声环境及土壤环境质量现状良好，均可达到相应的环境功能区划要求。项目污染物经处理后达标排放，对周边环境质量影响较小，符合环境质量底线要求。</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③资源利用上线</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依据《生态保护红线、环境质量底线、资源利用上线和环境准入负面清单编制技术指南（试行）》（环办环评[2017]99号），资源利用上线是指按照自然资源资产“只能增值、不能贬值”的原则，以保证生态安全和改善环境质量为目的，利用自然资源资产负债表，结合自然资源开发管控，提出的分区域分阶段的资源开发利用总量、强度、效率等上线管控要求。本项目主要进行煤炭提质工作，项目建设不会对区域资源利用上线造成冲击。</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④生态环境准入清单</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rPr>
              <w:t>根据吐鲁番市人民政府办公室2021年6月发布的《吐鲁番市“三线一单”生态环境分区管控方案》（吐政办〔2021〕24号），吐鲁番市共划定管控单元64个，优先保护单元17个，重点管控单元36个，一般管控单元11个</w:t>
            </w:r>
            <w:r>
              <w:rPr>
                <w:rFonts w:hint="default" w:ascii="Times New Roman" w:hAnsi="Times New Roman" w:eastAsia="仿宋" w:cs="Times New Roman"/>
                <w:b w:val="0"/>
                <w:bCs/>
                <w:color w:val="auto"/>
                <w:kern w:val="0"/>
                <w:sz w:val="24"/>
                <w:szCs w:val="24"/>
                <w:lang w:eastAsia="zh-CN"/>
              </w:rPr>
              <w:t>，</w:t>
            </w:r>
            <w:r>
              <w:rPr>
                <w:rFonts w:hint="default" w:ascii="Times New Roman" w:hAnsi="Times New Roman" w:eastAsia="仿宋" w:cs="Times New Roman"/>
                <w:b w:val="0"/>
                <w:bCs/>
                <w:color w:val="auto"/>
                <w:kern w:val="0"/>
                <w:sz w:val="24"/>
                <w:szCs w:val="24"/>
              </w:rPr>
              <w:t>本项目位于新疆吐鲁番市鄯善县，</w:t>
            </w:r>
            <w:r>
              <w:rPr>
                <w:rFonts w:hint="default" w:ascii="Times New Roman" w:hAnsi="Times New Roman" w:eastAsia="仿宋" w:cs="Times New Roman"/>
                <w:b w:val="0"/>
                <w:bCs/>
                <w:color w:val="auto"/>
                <w:kern w:val="0"/>
                <w:sz w:val="24"/>
                <w:szCs w:val="24"/>
                <w:highlight w:val="none"/>
                <w:lang w:val="en-US" w:eastAsia="zh-CN"/>
              </w:rPr>
              <w:t>环境管控单元编码为</w:t>
            </w:r>
            <w:r>
              <w:rPr>
                <w:rFonts w:hint="default" w:ascii="Times New Roman" w:hAnsi="Times New Roman" w:eastAsia="仿宋" w:cs="Times New Roman"/>
                <w:b w:val="0"/>
                <w:bCs/>
                <w:color w:val="auto"/>
                <w:kern w:val="0"/>
                <w:sz w:val="24"/>
                <w:szCs w:val="24"/>
              </w:rPr>
              <w:t>ZH65042130004</w:t>
            </w:r>
            <w:r>
              <w:rPr>
                <w:rFonts w:hint="default" w:ascii="Times New Roman" w:hAnsi="Times New Roman" w:eastAsia="仿宋" w:cs="Times New Roman"/>
                <w:b w:val="0"/>
                <w:bCs/>
                <w:color w:val="auto"/>
                <w:kern w:val="0"/>
                <w:sz w:val="24"/>
                <w:szCs w:val="24"/>
                <w:highlight w:val="none"/>
                <w:lang w:val="en-US" w:eastAsia="zh-CN"/>
              </w:rPr>
              <w:t>，</w:t>
            </w:r>
            <w:r>
              <w:rPr>
                <w:rFonts w:hint="default" w:ascii="Times New Roman" w:hAnsi="Times New Roman" w:eastAsia="仿宋" w:cs="Times New Roman"/>
                <w:b w:val="0"/>
                <w:bCs/>
                <w:color w:val="auto"/>
                <w:kern w:val="0"/>
                <w:sz w:val="24"/>
                <w:szCs w:val="24"/>
                <w:highlight w:val="none"/>
              </w:rPr>
              <w:t>根据吐政办〔2021〕24号项目所在单元属于</w:t>
            </w:r>
            <w:r>
              <w:rPr>
                <w:rFonts w:hint="default" w:ascii="Times New Roman" w:hAnsi="Times New Roman" w:eastAsia="仿宋" w:cs="Times New Roman"/>
                <w:b w:val="0"/>
                <w:bCs/>
                <w:color w:val="auto"/>
                <w:kern w:val="0"/>
                <w:sz w:val="24"/>
                <w:szCs w:val="24"/>
              </w:rPr>
              <w:t>鄯善县其他一般管控单元</w:t>
            </w:r>
            <w:r>
              <w:rPr>
                <w:rFonts w:hint="eastAsia" w:eastAsia="仿宋" w:cs="Times New Roman"/>
                <w:b w:val="0"/>
                <w:bCs/>
                <w:color w:val="auto"/>
                <w:kern w:val="0"/>
                <w:sz w:val="24"/>
                <w:szCs w:val="24"/>
                <w:lang w:eastAsia="zh-CN"/>
              </w:rPr>
              <w:t>，</w:t>
            </w:r>
            <w:r>
              <w:rPr>
                <w:rFonts w:hint="default" w:ascii="Times New Roman" w:hAnsi="Times New Roman" w:eastAsia="仿宋" w:cs="Times New Roman"/>
                <w:b w:val="0"/>
                <w:bCs/>
                <w:color w:val="auto"/>
                <w:kern w:val="0"/>
                <w:sz w:val="24"/>
                <w:szCs w:val="24"/>
              </w:rPr>
              <w:t>符合性分析见表1-</w:t>
            </w:r>
            <w:r>
              <w:rPr>
                <w:rFonts w:hint="eastAsia" w:eastAsia="仿宋" w:cs="Times New Roman"/>
                <w:b w:val="0"/>
                <w:bCs/>
                <w:color w:val="auto"/>
                <w:kern w:val="0"/>
                <w:sz w:val="24"/>
                <w:szCs w:val="24"/>
                <w:lang w:val="en-US" w:eastAsia="zh-CN"/>
              </w:rPr>
              <w:t>4</w:t>
            </w:r>
            <w:r>
              <w:rPr>
                <w:rFonts w:hint="default" w:ascii="Times New Roman" w:hAnsi="Times New Roman" w:eastAsia="仿宋" w:cs="Times New Roman"/>
                <w:b w:val="0"/>
                <w:bCs/>
                <w:color w:val="auto"/>
                <w:kern w:val="0"/>
                <w:sz w:val="24"/>
                <w:szCs w:val="24"/>
              </w:rPr>
              <w:t>。</w:t>
            </w:r>
            <w:r>
              <w:rPr>
                <w:rFonts w:hint="eastAsia" w:ascii="Times New Roman" w:hAnsi="Times New Roman" w:eastAsia="仿宋" w:cs="Times New Roman"/>
                <w:b w:val="0"/>
                <w:bCs/>
                <w:color w:val="auto"/>
                <w:kern w:val="0"/>
                <w:sz w:val="24"/>
                <w:szCs w:val="24"/>
                <w:lang w:val="en-US" w:eastAsia="zh-CN"/>
              </w:rPr>
              <w:t>详见图1-1：项目与吐鲁番市环境综合管控单元关系图。</w:t>
            </w:r>
          </w:p>
          <w:p>
            <w:pPr>
              <w:keepNext w:val="0"/>
              <w:keepLines w:val="0"/>
              <w:pageBreakBefore w:val="0"/>
              <w:widowControl w:val="0"/>
              <w:kinsoku/>
              <w:wordWrap/>
              <w:overflowPunct/>
              <w:topLinePunct w:val="0"/>
              <w:autoSpaceDE w:val="0"/>
              <w:autoSpaceDN w:val="0"/>
              <w:bidi w:val="0"/>
              <w:adjustRightInd/>
              <w:snapToGrid/>
              <w:spacing w:line="360" w:lineRule="auto"/>
              <w:ind w:firstLine="422"/>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w:t>
            </w:r>
            <w:r>
              <w:rPr>
                <w:rFonts w:hint="eastAsia" w:eastAsia="仿宋" w:cs="Times New Roman"/>
                <w:b/>
                <w:color w:val="auto"/>
                <w:kern w:val="0"/>
                <w:sz w:val="21"/>
                <w:szCs w:val="21"/>
                <w:lang w:val="en-US" w:eastAsia="zh-CN"/>
              </w:rPr>
              <w:t>4</w:t>
            </w:r>
            <w:r>
              <w:rPr>
                <w:rFonts w:hint="default" w:ascii="Times New Roman" w:hAnsi="Times New Roman" w:eastAsia="仿宋" w:cs="Times New Roman"/>
                <w:b/>
                <w:color w:val="auto"/>
                <w:kern w:val="0"/>
                <w:sz w:val="21"/>
                <w:szCs w:val="21"/>
              </w:rPr>
              <w:t>与《吐鲁番市生态环境准入清单》的符合性分析</w:t>
            </w:r>
          </w:p>
          <w:tbl>
            <w:tblPr>
              <w:tblStyle w:val="86"/>
              <w:tblW w:w="489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4023"/>
              <w:gridCol w:w="2037"/>
              <w:gridCol w:w="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314" w:type="pct"/>
                  <w:gridSpan w:val="2"/>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管控要求</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本项目情况</w:t>
                  </w:r>
                </w:p>
              </w:tc>
              <w:tc>
                <w:tcPr>
                  <w:tcW w:w="33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重空间</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布局约束</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1.禁止新建、扩建、改建原油加工、天然气加工、油母页岩提炼原油、煤制原油及其他石油制品、煤化工、炼焦、煤炭热解、电石、除单纯混合和分装外的化学原料制造、化学品制造、炼钢、炼铁、金属冶炼等等三类工业项目，现有三类工业项目应制定计划，限期外迁；禁止新建金属压延加工、含有电镀/喷漆等表面处理工艺的金属制品加工制造（喷漆工艺指使用油性漆量（含稀释剂）10吨及以上）等涉气二类工业项目（基础设施等民生工程除外），改、扩建的不得新增大气污染物排放因子和排放总量。</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本项目不属于禁止类建设项目。</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w:t>
                  </w:r>
                </w:p>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yellow"/>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2.不得在居民集中区新建垃圾分拣中心等臭气异味影响较大的项目；不得在居民集中区新建涉及易燃易爆物质的大型仓储项目</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本项目位于鄯善</w:t>
                  </w:r>
                  <w:r>
                    <w:rPr>
                      <w:rFonts w:hint="eastAsia" w:ascii="Times New Roman" w:hAnsi="Times New Roman" w:eastAsia="仿宋" w:cs="Times New Roman"/>
                      <w:b w:val="0"/>
                      <w:bCs/>
                      <w:color w:val="auto"/>
                      <w:kern w:val="0"/>
                      <w:sz w:val="21"/>
                      <w:szCs w:val="21"/>
                      <w:lang w:val="en-US" w:eastAsia="zh-CN" w:bidi="ar-SA"/>
                    </w:rPr>
                    <w:t>县</w:t>
                  </w:r>
                  <w:r>
                    <w:rPr>
                      <w:rFonts w:hint="default" w:ascii="Times New Roman" w:hAnsi="Times New Roman" w:eastAsia="仿宋" w:cs="Times New Roman"/>
                      <w:b w:val="0"/>
                      <w:bCs/>
                      <w:color w:val="auto"/>
                      <w:kern w:val="0"/>
                      <w:sz w:val="21"/>
                      <w:szCs w:val="21"/>
                      <w:lang w:val="en-US" w:eastAsia="zh-CN" w:bidi="ar-SA"/>
                    </w:rPr>
                    <w:t>，选址不在居民区。</w:t>
                  </w:r>
                </w:p>
              </w:tc>
              <w:tc>
                <w:tcPr>
                  <w:tcW w:w="337"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3.新建、扩建、改建公路、铁路、输油输气管道等各类工程，需要穿越、跨越坎儿井的，应当对工程建设期间、运行过程中可能给坎儿井造成的危害进行论证，并制定坎儿井保护方案。</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项目区</w:t>
                  </w:r>
                  <w:r>
                    <w:rPr>
                      <w:rFonts w:hint="eastAsia" w:ascii="Times New Roman" w:hAnsi="Times New Roman" w:eastAsia="仿宋" w:cs="Times New Roman"/>
                      <w:b w:val="0"/>
                      <w:bCs/>
                      <w:color w:val="auto"/>
                      <w:kern w:val="0"/>
                      <w:sz w:val="21"/>
                      <w:szCs w:val="21"/>
                      <w:highlight w:val="none"/>
                      <w:lang w:val="en-US" w:eastAsia="zh-CN" w:bidi="ar-SA"/>
                    </w:rPr>
                    <w:t>不涉及</w:t>
                  </w:r>
                </w:p>
              </w:tc>
              <w:tc>
                <w:tcPr>
                  <w:tcW w:w="337"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yellow"/>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污染物</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排放管控</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1.加强噪声和臭气异味防治。涉臭气异味企业应采取封闭、加盖等收集处理措施，提高臭气废气收集率和处理率，明显减少工业臭气异味排放；完成餐饮油烟综合整治，大中型餐饮企业（包括单位食堂）必须安装高效油烟净化装置并进行定期清洗；严格施工扬尘监管。</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本项目排放污染物均能达标。</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2.加强污水处理设施运行管理，全面加强配套管网建设，推进污泥处理处置</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本项目食堂废水经隔油处理后与其他生活污水暂存于化粪池，定期委托个人由吸污泵车拉运至鄯善县污水处理厂处置。</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3.通过经济手段引导供热、供气、供电管网覆盖区域居民减少散煤使用，大力推进“电化农村”建设。逐步将风能、太阳能、电力等清洁能源利用项目扩展到各乡镇。</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本项目供暖主要为办公室供暖，采用</w:t>
                  </w:r>
                  <w:r>
                    <w:rPr>
                      <w:rFonts w:hint="eastAsia" w:ascii="Times New Roman" w:hAnsi="Times New Roman" w:eastAsia="仿宋" w:cs="Times New Roman"/>
                      <w:b w:val="0"/>
                      <w:bCs/>
                      <w:color w:val="auto"/>
                      <w:kern w:val="0"/>
                      <w:sz w:val="21"/>
                      <w:szCs w:val="21"/>
                      <w:lang w:val="en-US" w:eastAsia="zh-CN" w:bidi="ar-SA"/>
                    </w:rPr>
                    <w:t>电暖器</w:t>
                  </w:r>
                  <w:r>
                    <w:rPr>
                      <w:rFonts w:hint="default" w:ascii="Times New Roman" w:hAnsi="Times New Roman" w:eastAsia="仿宋" w:cs="Times New Roman"/>
                      <w:b w:val="0"/>
                      <w:bCs/>
                      <w:color w:val="auto"/>
                      <w:kern w:val="0"/>
                      <w:sz w:val="21"/>
                      <w:szCs w:val="21"/>
                      <w:lang w:val="en-US" w:eastAsia="zh-CN" w:bidi="ar-SA"/>
                    </w:rPr>
                    <w:t>取暖。</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4.推进农业农村污染防治，防治畜禽养殖污染，科学规划布局畜禽养殖，配套建设粪便污水贮存、处理、利用设施，新改扩建规模化畜禽养殖场（小区）要实施雨污分流、粪便污水资源化利用；控制农业面源污染，控制农田化肥农药使用量，大力发展生态循环农业，加快推广测土配方施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安全用药、绿色防控、农业废弃物资源化利用等农业清洁生产技术与装备；优化种植业结构与布局；加快农村环境综合整治。</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本项目不涉及。</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5.推进农村生活污水治理。因地制宜，采取“以城带村”、“以乡（镇）带村”、“联村”、“单村”、“联户”、“单户”等多种方式，实施农村生活污水治理工程，合理布局，科学设计。</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本项目食堂废水经隔油处理后与其他生活污水暂存于化粪池，定期委托个人由吸污泵车拉运至鄯善县污水处理厂处置</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6.严格按照《新疆维吾尔自治区坎儿井保护条例》对区域内坎儿井进行保护，禁止向坎儿井水源、明渠、蓄水池倾倒废污水、垃圾等废弃物。</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w:t>
                  </w:r>
                  <w:r>
                    <w:rPr>
                      <w:rFonts w:hint="eastAsia" w:ascii="Times New Roman" w:hAnsi="Times New Roman" w:eastAsia="仿宋" w:cs="Times New Roman"/>
                      <w:b w:val="0"/>
                      <w:bCs/>
                      <w:color w:val="auto"/>
                      <w:kern w:val="0"/>
                      <w:sz w:val="21"/>
                      <w:szCs w:val="21"/>
                      <w:highlight w:val="none"/>
                      <w:lang w:val="en-US" w:eastAsia="zh-CN" w:bidi="ar-SA"/>
                    </w:rPr>
                    <w:t>不涉及</w:t>
                  </w:r>
                  <w:r>
                    <w:rPr>
                      <w:rFonts w:hint="default" w:ascii="Times New Roman" w:hAnsi="Times New Roman" w:eastAsia="仿宋" w:cs="Times New Roman"/>
                      <w:b w:val="0"/>
                      <w:bCs/>
                      <w:color w:val="auto"/>
                      <w:kern w:val="0"/>
                      <w:sz w:val="21"/>
                      <w:szCs w:val="21"/>
                      <w:highlight w:val="none"/>
                      <w:lang w:val="en-US" w:eastAsia="zh-CN" w:bidi="ar-SA"/>
                    </w:rPr>
                    <w:t>。</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环境风险防控</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1.紧邻居住、科教、医院等环境敏感点的工业用地，禁止新建环境风险潜势等级高于Ⅲ级的建设项目</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本项目风险物质主要为废矿油泄漏，需加强日常管理，避免因危险废物</w:t>
                  </w:r>
                  <w:r>
                    <w:rPr>
                      <w:rFonts w:hint="eastAsia" w:eastAsia="仿宋" w:cs="Times New Roman"/>
                      <w:b w:val="0"/>
                      <w:bCs/>
                      <w:color w:val="auto"/>
                      <w:kern w:val="0"/>
                      <w:sz w:val="21"/>
                      <w:szCs w:val="21"/>
                      <w:lang w:val="en-US" w:eastAsia="zh-CN" w:bidi="ar-SA"/>
                    </w:rPr>
                    <w:t>泄漏</w:t>
                  </w:r>
                  <w:r>
                    <w:rPr>
                      <w:rFonts w:hint="default" w:ascii="Times New Roman" w:hAnsi="Times New Roman" w:eastAsia="仿宋" w:cs="Times New Roman"/>
                      <w:b w:val="0"/>
                      <w:bCs/>
                      <w:color w:val="auto"/>
                      <w:kern w:val="0"/>
                      <w:sz w:val="21"/>
                      <w:szCs w:val="21"/>
                      <w:lang w:val="en-US" w:eastAsia="zh-CN" w:bidi="ar-SA"/>
                    </w:rPr>
                    <w:t>、乱堆乱弃造成环境污染。</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2.严格管控易导致环境风险的有毒有害和易燃易爆物质的使用和贮运，涉及此类物质的项目必须编制风险应急预案</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本项目风险物质主要为废矿油泄漏，需加强日常管理，避免因危险废物</w:t>
                  </w:r>
                  <w:r>
                    <w:rPr>
                      <w:rFonts w:hint="eastAsia" w:eastAsia="仿宋" w:cs="Times New Roman"/>
                      <w:b w:val="0"/>
                      <w:bCs/>
                      <w:color w:val="auto"/>
                      <w:kern w:val="0"/>
                      <w:sz w:val="21"/>
                      <w:szCs w:val="21"/>
                      <w:lang w:val="en-US" w:eastAsia="zh-CN" w:bidi="ar-SA"/>
                    </w:rPr>
                    <w:t>泄漏</w:t>
                  </w:r>
                  <w:r>
                    <w:rPr>
                      <w:rFonts w:hint="default" w:ascii="Times New Roman" w:hAnsi="Times New Roman" w:eastAsia="仿宋" w:cs="Times New Roman"/>
                      <w:b w:val="0"/>
                      <w:bCs/>
                      <w:color w:val="auto"/>
                      <w:kern w:val="0"/>
                      <w:sz w:val="21"/>
                      <w:szCs w:val="21"/>
                      <w:lang w:val="en-US" w:eastAsia="zh-CN" w:bidi="ar-SA"/>
                    </w:rPr>
                    <w:t>、乱堆乱弃造成环境污染。</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3.强化企业环境风险防范设施设备建设和正常运行监管，建立常态化的企业隐患排查整治监管机制，涉危的风险企业应及时编制环境风险应急预案并定期更新，每年至少开展一次应急演练。强化应急物资储备和救援队伍建设</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本项目风险物质主要为废矿油泄漏，需加强日常管理，避免因危险废物</w:t>
                  </w:r>
                  <w:r>
                    <w:rPr>
                      <w:rFonts w:hint="eastAsia" w:ascii="Times New Roman" w:hAnsi="Times New Roman" w:eastAsia="仿宋" w:cs="Times New Roman"/>
                      <w:b w:val="0"/>
                      <w:bCs/>
                      <w:color w:val="auto"/>
                      <w:kern w:val="0"/>
                      <w:sz w:val="21"/>
                      <w:szCs w:val="21"/>
                      <w:lang w:val="en-US" w:eastAsia="zh-CN" w:bidi="ar-SA"/>
                    </w:rPr>
                    <w:t>泄漏</w:t>
                  </w:r>
                  <w:r>
                    <w:rPr>
                      <w:rFonts w:hint="default" w:ascii="Times New Roman" w:hAnsi="Times New Roman" w:eastAsia="仿宋" w:cs="Times New Roman"/>
                      <w:b w:val="0"/>
                      <w:bCs/>
                      <w:color w:val="auto"/>
                      <w:kern w:val="0"/>
                      <w:sz w:val="21"/>
                      <w:szCs w:val="21"/>
                      <w:lang w:val="en-US" w:eastAsia="zh-CN" w:bidi="ar-SA"/>
                    </w:rPr>
                    <w:t>、乱堆乱弃造成环境污染。</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4.加强风险防控体系建设，防范环境风险。稳妥处置突发环境污染事件，制定和完善污染事故处置应急预案，强化危险源、敏感点的监测、分析、预测、预警</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本项目环境风险主要为废矿油暂存，需加强日常管理，避免因危险废物</w:t>
                  </w:r>
                  <w:r>
                    <w:rPr>
                      <w:rFonts w:hint="eastAsia" w:ascii="Times New Roman" w:hAnsi="Times New Roman" w:eastAsia="仿宋" w:cs="Times New Roman"/>
                      <w:b w:val="0"/>
                      <w:bCs/>
                      <w:color w:val="auto"/>
                      <w:kern w:val="0"/>
                      <w:sz w:val="21"/>
                      <w:szCs w:val="21"/>
                      <w:lang w:val="en-US" w:eastAsia="zh-CN" w:bidi="ar-SA"/>
                    </w:rPr>
                    <w:t>泄漏</w:t>
                  </w:r>
                  <w:r>
                    <w:rPr>
                      <w:rFonts w:hint="default" w:ascii="Times New Roman" w:hAnsi="Times New Roman" w:eastAsia="仿宋" w:cs="Times New Roman"/>
                      <w:b w:val="0"/>
                      <w:bCs/>
                      <w:color w:val="auto"/>
                      <w:kern w:val="0"/>
                      <w:sz w:val="21"/>
                      <w:szCs w:val="21"/>
                      <w:lang w:val="en-US" w:eastAsia="zh-CN" w:bidi="ar-SA"/>
                    </w:rPr>
                    <w:t>、乱堆乱弃造成环境污染。</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资源利</w:t>
                  </w:r>
                </w:p>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用要求</w:t>
                  </w:r>
                </w:p>
              </w:tc>
              <w:tc>
                <w:tcPr>
                  <w:tcW w:w="266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全面开展节水型社会建设，推进节水产品推广普及，限制高耗水服务业用水</w:t>
                  </w:r>
                </w:p>
              </w:tc>
              <w:tc>
                <w:tcPr>
                  <w:tcW w:w="1348"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本项目不属于高耗水行业。</w:t>
                  </w:r>
                </w:p>
              </w:tc>
              <w:tc>
                <w:tcPr>
                  <w:tcW w:w="33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仿宋" w:cs="Times New Roman"/>
                <w:b/>
                <w:bCs/>
                <w:color w:val="auto"/>
                <w:spacing w:val="-1"/>
              </w:rPr>
            </w:pPr>
            <w:r>
              <w:rPr>
                <w:rFonts w:hint="default" w:ascii="Times New Roman" w:hAnsi="Times New Roman" w:eastAsia="仿宋" w:cs="Times New Roman"/>
                <w:b/>
                <w:bCs/>
                <w:color w:val="auto"/>
                <w:spacing w:val="-1"/>
              </w:rPr>
              <w:t>表 1</w:t>
            </w:r>
            <w:r>
              <w:rPr>
                <w:rFonts w:hint="eastAsia" w:eastAsia="仿宋" w:cs="Times New Roman"/>
                <w:b/>
                <w:bCs/>
                <w:color w:val="auto"/>
                <w:spacing w:val="-1"/>
                <w:lang w:val="en-US" w:eastAsia="zh-CN"/>
              </w:rPr>
              <w:t>-5</w:t>
            </w:r>
            <w:r>
              <w:rPr>
                <w:rFonts w:hint="default" w:ascii="Times New Roman" w:hAnsi="Times New Roman" w:eastAsia="仿宋" w:cs="Times New Roman"/>
                <w:b/>
                <w:bCs/>
                <w:color w:val="auto"/>
                <w:spacing w:val="-1"/>
              </w:rPr>
              <w:t xml:space="preserve">  项目与鄯善县环境管控单元生态环境准入清单（ 一般管控单元）符合性</w:t>
            </w:r>
          </w:p>
          <w:tbl>
            <w:tblPr>
              <w:tblStyle w:val="25"/>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19"/>
              <w:gridCol w:w="637"/>
              <w:gridCol w:w="489"/>
              <w:gridCol w:w="3120"/>
              <w:gridCol w:w="1498"/>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7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Cs/>
                      <w:color w:val="auto"/>
                      <w:sz w:val="21"/>
                      <w:szCs w:val="21"/>
                      <w:lang w:bidi="en-US"/>
                    </w:rPr>
                  </w:pPr>
                  <w:r>
                    <w:rPr>
                      <w:rFonts w:hint="default" w:ascii="Times New Roman" w:hAnsi="Times New Roman" w:eastAsia="仿宋" w:cs="Times New Roman"/>
                      <w:b w:val="0"/>
                      <w:bCs/>
                      <w:color w:val="auto"/>
                      <w:kern w:val="0"/>
                      <w:sz w:val="21"/>
                      <w:szCs w:val="21"/>
                      <w:lang w:val="en-US" w:eastAsia="zh-CN"/>
                    </w:rPr>
                    <w:t>管控单元编码</w:t>
                  </w:r>
                </w:p>
              </w:tc>
              <w:tc>
                <w:tcPr>
                  <w:tcW w:w="46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环境管控单元名称</w:t>
                  </w:r>
                </w:p>
              </w:tc>
              <w:tc>
                <w:tcPr>
                  <w:tcW w:w="4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Cs/>
                      <w:color w:val="auto"/>
                      <w:sz w:val="21"/>
                      <w:szCs w:val="21"/>
                      <w:lang w:val="en-US" w:eastAsia="zh-CN" w:bidi="en-US"/>
                    </w:rPr>
                  </w:pPr>
                  <w:r>
                    <w:rPr>
                      <w:rFonts w:hint="default" w:ascii="Times New Roman" w:hAnsi="Times New Roman" w:eastAsia="仿宋" w:cs="Times New Roman"/>
                      <w:bCs/>
                      <w:color w:val="auto"/>
                      <w:sz w:val="21"/>
                      <w:szCs w:val="21"/>
                      <w:lang w:val="en-US" w:eastAsia="zh-CN" w:bidi="en-US"/>
                    </w:rPr>
                    <w:t>环境管控单元类别</w:t>
                  </w:r>
                </w:p>
              </w:tc>
              <w:tc>
                <w:tcPr>
                  <w:tcW w:w="235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val="en-US" w:eastAsia="zh-CN" w:bidi="en-US"/>
                    </w:rPr>
                    <w:t>管控要求</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bidi="en-US"/>
                    </w:rPr>
                    <w:t>本项目情况</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eastAsia" w:ascii="Times New Roman" w:hAnsi="Times New Roman" w:eastAsia="仿宋" w:cs="Times New Roman"/>
                      <w:color w:val="auto"/>
                      <w:sz w:val="21"/>
                      <w:szCs w:val="21"/>
                      <w:lang w:val="en-US" w:eastAsia="zh-CN" w:bidi="en-U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jc w:val="center"/>
              </w:trPr>
              <w:tc>
                <w:tcPr>
                  <w:tcW w:w="47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r>
                    <w:rPr>
                      <w:rFonts w:hint="default" w:ascii="Times New Roman" w:hAnsi="Times New Roman" w:eastAsia="仿宋" w:cs="Times New Roman"/>
                      <w:bCs/>
                      <w:color w:val="auto"/>
                      <w:sz w:val="21"/>
                      <w:szCs w:val="21"/>
                      <w:lang w:bidi="en-US"/>
                    </w:rPr>
                    <w:t>ZH65042130004</w:t>
                  </w:r>
                </w:p>
              </w:tc>
              <w:tc>
                <w:tcPr>
                  <w:tcW w:w="46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val="0"/>
                      <w:bCs/>
                      <w:color w:val="auto"/>
                      <w:sz w:val="21"/>
                      <w:szCs w:val="21"/>
                      <w:lang w:bidi="en-US"/>
                    </w:rPr>
                  </w:pPr>
                  <w:r>
                    <w:rPr>
                      <w:rFonts w:hint="default" w:ascii="Times New Roman" w:hAnsi="Times New Roman" w:eastAsia="仿宋" w:cs="Times New Roman"/>
                      <w:b w:val="0"/>
                      <w:bCs/>
                      <w:color w:val="auto"/>
                      <w:sz w:val="21"/>
                      <w:szCs w:val="21"/>
                      <w:lang w:bidi="en-US"/>
                    </w:rPr>
                    <w:t>鄯善县其他一般管控单元</w:t>
                  </w:r>
                </w:p>
              </w:tc>
              <w:tc>
                <w:tcPr>
                  <w:tcW w:w="41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val="0"/>
                      <w:bCs/>
                      <w:color w:val="auto"/>
                      <w:sz w:val="21"/>
                      <w:szCs w:val="21"/>
                      <w:lang w:bidi="en-US"/>
                    </w:rPr>
                  </w:pPr>
                  <w:r>
                    <w:rPr>
                      <w:rFonts w:hint="default" w:ascii="Times New Roman" w:hAnsi="Times New Roman" w:eastAsia="仿宋" w:cs="Times New Roman"/>
                      <w:b w:val="0"/>
                      <w:bCs/>
                      <w:color w:val="auto"/>
                      <w:sz w:val="21"/>
                      <w:szCs w:val="21"/>
                      <w:lang w:bidi="en-US"/>
                    </w:rPr>
                    <w:t>一般管控单元</w:t>
                  </w: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空间布局约束</w:t>
                  </w:r>
                </w:p>
              </w:tc>
              <w:tc>
                <w:tcPr>
                  <w:tcW w:w="2031" w:type="pct"/>
                  <w:shd w:val="clear" w:color="auto" w:fill="auto"/>
                  <w:vAlign w:val="center"/>
                </w:tcPr>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hint="eastAsia" w:ascii="仿宋_GB2312" w:hAnsi="Times New Roman" w:eastAsia="仿宋_GB2312" w:cs="Times New Roman"/>
                      <w:color w:val="auto"/>
                      <w:lang w:bidi="en-US"/>
                    </w:rPr>
                    <w:t>1.原则上禁止建设涉及一类重金属、持久性有机污染物排放的工业项目。</w:t>
                  </w:r>
                </w:p>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ascii="仿宋_GB2312" w:hAnsi="Times New Roman" w:eastAsia="仿宋_GB2312" w:cs="Times New Roman"/>
                      <w:color w:val="auto"/>
                      <w:lang w:bidi="en-US"/>
                    </w:rPr>
                    <w:t>2.</w:t>
                  </w:r>
                  <w:r>
                    <w:rPr>
                      <w:rFonts w:hint="eastAsia" w:ascii="仿宋_GB2312" w:hAnsi="Times New Roman" w:eastAsia="仿宋_GB2312" w:cs="Times New Roman"/>
                      <w:color w:val="auto"/>
                      <w:lang w:bidi="en-US"/>
                    </w:rPr>
                    <w:t>限制进行大规模高强度工业化、城镇化开发，严格控制金属冶炼、石油化工、焦化等“高污染、高环境风险产品”工业项目，原则上不增加产能。现有“高污染、高环境风险产品”工业项目持续削减污染物排放总量并严格控制环境风险。</w:t>
                  </w:r>
                </w:p>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ascii="仿宋_GB2312" w:hAnsi="Times New Roman" w:eastAsia="仿宋_GB2312" w:cs="Times New Roman"/>
                      <w:color w:val="auto"/>
                      <w:lang w:bidi="en-US"/>
                    </w:rPr>
                    <w:t>3.</w:t>
                  </w:r>
                  <w:r>
                    <w:rPr>
                      <w:rFonts w:hint="eastAsia" w:ascii="仿宋_GB2312" w:hAnsi="Times New Roman" w:eastAsia="仿宋_GB2312" w:cs="Times New Roman"/>
                      <w:color w:val="auto"/>
                      <w:lang w:bidi="en-US"/>
                    </w:rPr>
                    <w:t>推进新能源的开发和利用，鼓励发展风力发电和太阳能发电。</w:t>
                  </w:r>
                </w:p>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仿宋_GB2312" w:hAnsi="Times New Roman" w:eastAsia="仿宋_GB2312" w:cs="Times New Roman"/>
                      <w:color w:val="auto"/>
                      <w:lang w:bidi="en-US"/>
                    </w:rPr>
                    <w:t>4</w:t>
                  </w:r>
                  <w:r>
                    <w:rPr>
                      <w:rFonts w:hint="eastAsia" w:ascii="仿宋_GB2312" w:hAnsi="Times New Roman" w:eastAsia="仿宋_GB2312" w:cs="Times New Roman"/>
                      <w:color w:val="auto"/>
                      <w:lang w:bidi="en-US"/>
                    </w:rPr>
                    <w:t>.建立集镇居住商业区、耕地保护区与工业功能区等集聚区块之间的防护带。</w:t>
                  </w:r>
                  <w:r>
                    <w:rPr>
                      <w:rFonts w:ascii="仿宋_GB2312" w:hAnsi="Times New Roman" w:eastAsia="仿宋_GB2312" w:cs="Times New Roman"/>
                      <w:color w:val="auto"/>
                      <w:lang w:bidi="en-US"/>
                    </w:rPr>
                    <w:t>5.</w:t>
                  </w:r>
                  <w:r>
                    <w:rPr>
                      <w:rFonts w:hint="eastAsia" w:ascii="仿宋_GB2312" w:hAnsi="Times New Roman" w:eastAsia="仿宋_GB2312" w:cs="Times New Roman"/>
                      <w:color w:val="auto"/>
                      <w:lang w:bidi="en-US"/>
                    </w:rPr>
                    <w:t>严格执行畜禽养殖禁养区规定，根据区域用地和消纳水平，合理确定养殖规模。加强基本农田保护，严格限制非农项目占用耕地。</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 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Times New Roman" w:hAnsi="Times New Roman" w:eastAsia="仿宋" w:cs="Times New Roman"/>
                      <w:color w:val="auto"/>
                      <w:sz w:val="21"/>
                      <w:szCs w:val="21"/>
                      <w:lang w:val="en-US" w:eastAsia="zh-CN" w:bidi="en-US"/>
                    </w:rPr>
                  </w:pPr>
                  <w:r>
                    <w:rPr>
                      <w:rFonts w:hint="eastAsia"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污染物排放管控</w:t>
                  </w:r>
                </w:p>
              </w:tc>
              <w:tc>
                <w:tcPr>
                  <w:tcW w:w="2031" w:type="pct"/>
                  <w:shd w:val="clear" w:color="auto" w:fill="auto"/>
                  <w:vAlign w:val="center"/>
                </w:tcPr>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hint="eastAsia" w:ascii="Times New Roman" w:hAnsi="Times New Roman" w:eastAsia="仿宋_GB2312" w:cs="Times New Roman"/>
                      <w:bCs/>
                      <w:color w:val="auto"/>
                    </w:rPr>
                    <w:t>1</w:t>
                  </w:r>
                  <w:r>
                    <w:rPr>
                      <w:rFonts w:ascii="Times New Roman" w:hAnsi="Times New Roman" w:eastAsia="仿宋_GB2312" w:cs="Times New Roman"/>
                      <w:bCs/>
                      <w:color w:val="auto"/>
                    </w:rPr>
                    <w:t>.加强农业面源污染治理，严格控制化肥农药施加量，逐步削减农业面源污染物排放量</w:t>
                  </w:r>
                  <w:r>
                    <w:rPr>
                      <w:rFonts w:hint="eastAsia" w:ascii="仿宋_GB2312" w:hAnsi="Times New Roman" w:eastAsia="仿宋_GB2312" w:cs="Times New Roman"/>
                      <w:color w:val="auto"/>
                      <w:lang w:bidi="en-US"/>
                    </w:rPr>
                    <w:t>。</w:t>
                  </w:r>
                </w:p>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仿宋_GB2312" w:hAnsi="Times New Roman" w:eastAsia="仿宋_GB2312" w:cs="Times New Roman"/>
                      <w:color w:val="auto"/>
                      <w:lang w:bidi="en-US"/>
                    </w:rPr>
                    <w:t>2</w:t>
                  </w:r>
                  <w:r>
                    <w:rPr>
                      <w:rFonts w:hint="eastAsia" w:ascii="仿宋_GB2312" w:hAnsi="Times New Roman" w:eastAsia="仿宋_GB2312" w:cs="Times New Roman"/>
                      <w:color w:val="auto"/>
                      <w:lang w:bidi="en-US"/>
                    </w:rPr>
                    <w:t>.加强矿产资源开采的环境保护工作。</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kern w:val="0"/>
                      <w:sz w:val="21"/>
                      <w:szCs w:val="21"/>
                    </w:rPr>
                    <w:t>本项目按规范</w:t>
                  </w:r>
                  <w:r>
                    <w:rPr>
                      <w:rFonts w:hint="default" w:ascii="Times New Roman" w:hAnsi="Times New Roman" w:eastAsia="仿宋" w:cs="Times New Roman"/>
                      <w:color w:val="auto"/>
                      <w:kern w:val="0"/>
                      <w:sz w:val="21"/>
                      <w:szCs w:val="21"/>
                      <w:lang w:val="en-US" w:eastAsia="zh-CN"/>
                    </w:rPr>
                    <w:t>委托新疆瑞新源矿业技术有限公司</w:t>
                  </w:r>
                  <w:r>
                    <w:rPr>
                      <w:rFonts w:hint="default" w:ascii="Times New Roman" w:hAnsi="Times New Roman" w:eastAsia="仿宋" w:cs="Times New Roman"/>
                      <w:color w:val="auto"/>
                      <w:kern w:val="0"/>
                      <w:sz w:val="21"/>
                      <w:szCs w:val="21"/>
                    </w:rPr>
                    <w:t>编制了</w:t>
                  </w:r>
                  <w:r>
                    <w:rPr>
                      <w:rFonts w:hint="eastAsia"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zh-TW"/>
                    </w:rPr>
                    <w:t>闭矿后对开采区、矿山道路、</w:t>
                  </w:r>
                  <w:r>
                    <w:rPr>
                      <w:rFonts w:hint="default" w:ascii="Times New Roman" w:hAnsi="Times New Roman" w:eastAsia="仿宋" w:cs="Times New Roman"/>
                      <w:color w:val="auto"/>
                      <w:kern w:val="0"/>
                      <w:sz w:val="21"/>
                      <w:szCs w:val="21"/>
                      <w:lang w:val="zh-TW" w:eastAsia="zh-CN"/>
                    </w:rPr>
                    <w:t>废石堆场</w:t>
                  </w:r>
                  <w:r>
                    <w:rPr>
                      <w:rFonts w:hint="default" w:ascii="Times New Roman" w:hAnsi="Times New Roman" w:eastAsia="仿宋" w:cs="Times New Roman"/>
                      <w:color w:val="auto"/>
                      <w:kern w:val="0"/>
                      <w:sz w:val="21"/>
                      <w:szCs w:val="21"/>
                      <w:lang w:val="zh-TW"/>
                    </w:rPr>
                    <w:t>等进行土地整治及回填表土，恢复生态</w:t>
                  </w:r>
                  <w:r>
                    <w:rPr>
                      <w:rFonts w:hint="default" w:ascii="Times New Roman" w:hAnsi="Times New Roman" w:eastAsia="仿宋" w:cs="Times New Roman"/>
                      <w:color w:val="auto"/>
                      <w:kern w:val="0"/>
                      <w:sz w:val="21"/>
                      <w:szCs w:val="21"/>
                    </w:rPr>
                    <w:t>。</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环境风险防控</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Times New Roman" w:hAnsi="Times New Roman" w:eastAsia="仿宋_GB2312" w:cs="Times New Roman"/>
                      <w:bCs/>
                      <w:color w:val="auto"/>
                    </w:rPr>
                    <w:t>禁止向农用地排放重金属或者其他有毒有害物质含量超标的污水、污泥，以及可能造成土壤污染的尾矿、矿渣等。加强农田土壤、灌溉水的监测及评价，对周边或区域环境风险源进行评估</w:t>
                  </w:r>
                  <w:r>
                    <w:rPr>
                      <w:rFonts w:hint="eastAsia" w:ascii="Times New Roman" w:hAnsi="Times New Roman" w:eastAsia="仿宋_GB2312" w:cs="Times New Roman"/>
                      <w:bCs/>
                      <w:color w:val="auto"/>
                    </w:rPr>
                    <w:t>。</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资源利用效率</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Times New Roman" w:hAnsi="Times New Roman" w:eastAsia="仿宋_GB2312" w:cs="Times New Roman"/>
                      <w:bCs/>
                      <w:color w:val="auto"/>
                    </w:rPr>
                    <w:t>实行水资源消耗总量和强度双控，推进农业节水，提高农业用水效率。优化能源结构，加强能源清洁利用</w:t>
                  </w:r>
                  <w:r>
                    <w:rPr>
                      <w:rFonts w:hint="eastAsia" w:ascii="Times New Roman" w:hAnsi="Times New Roman" w:eastAsia="仿宋_GB2312" w:cs="Times New Roman"/>
                      <w:bCs/>
                      <w:color w:val="auto"/>
                    </w:rPr>
                    <w:t>。</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相符</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16" w:firstLineChars="200"/>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color w:val="auto"/>
                <w:spacing w:val="-1"/>
              </w:rPr>
              <w:t>综上所述，项目符合“三线一单”相关要求。</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3"/>
              <w:jc w:val="both"/>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3、与《砂石行业绿色矿山建设规范》（DZT0316—2018）符合性分析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rPr>
              <w:t>根据《砂石行业绿色矿山建设规范》（DZT0316</w:t>
            </w:r>
            <w:r>
              <w:rPr>
                <w:rFonts w:hint="default" w:ascii="Times New Roman" w:hAnsi="Times New Roman" w:eastAsia="仿宋" w:cs="Times New Roman"/>
                <w:color w:val="auto"/>
                <w:kern w:val="0"/>
                <w:sz w:val="24"/>
                <w:szCs w:val="24"/>
                <w:lang w:val="en-US" w:eastAsia="zh-CN"/>
              </w:rPr>
              <w:t>-</w:t>
            </w:r>
            <w:r>
              <w:rPr>
                <w:rFonts w:hint="default" w:ascii="Times New Roman" w:hAnsi="Times New Roman" w:eastAsia="仿宋" w:cs="Times New Roman"/>
                <w:color w:val="auto"/>
                <w:kern w:val="0"/>
                <w:sz w:val="24"/>
                <w:szCs w:val="24"/>
              </w:rPr>
              <w:t>2018）建设指标要求，从</w:t>
            </w:r>
            <w:r>
              <w:rPr>
                <w:rFonts w:hint="default" w:ascii="Times New Roman" w:hAnsi="Times New Roman" w:eastAsia="仿宋" w:cs="Times New Roman"/>
                <w:color w:val="auto"/>
                <w:kern w:val="0"/>
                <w:sz w:val="24"/>
                <w:szCs w:val="24"/>
                <w:lang w:val="en-US" w:eastAsia="zh-CN"/>
              </w:rPr>
              <w:t>矿区环境</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资源开发利用</w:t>
            </w:r>
            <w:r>
              <w:rPr>
                <w:rFonts w:hint="default" w:ascii="Times New Roman" w:hAnsi="Times New Roman" w:eastAsia="仿宋" w:cs="Times New Roman"/>
                <w:color w:val="auto"/>
                <w:kern w:val="0"/>
                <w:sz w:val="24"/>
                <w:szCs w:val="24"/>
              </w:rPr>
              <w:t>方式、</w:t>
            </w:r>
            <w:r>
              <w:rPr>
                <w:rFonts w:hint="default" w:ascii="Times New Roman" w:hAnsi="Times New Roman" w:eastAsia="仿宋" w:cs="Times New Roman"/>
                <w:color w:val="auto"/>
                <w:kern w:val="0"/>
                <w:sz w:val="24"/>
                <w:szCs w:val="24"/>
                <w:lang w:val="en-US" w:eastAsia="zh-CN"/>
              </w:rPr>
              <w:t>资源综合利用</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节能减排、科技创新与数字化矿山、</w:t>
            </w:r>
            <w:r>
              <w:rPr>
                <w:rFonts w:hint="default" w:ascii="Times New Roman" w:hAnsi="Times New Roman" w:eastAsia="仿宋" w:cs="Times New Roman"/>
                <w:color w:val="auto"/>
                <w:kern w:val="0"/>
                <w:sz w:val="24"/>
                <w:szCs w:val="24"/>
              </w:rPr>
              <w:t>企业管理等多方面建设绿色矿山。</w:t>
            </w:r>
            <w:r>
              <w:rPr>
                <w:rFonts w:hint="default" w:ascii="Times New Roman" w:hAnsi="Times New Roman" w:eastAsia="仿宋" w:cs="Times New Roman"/>
                <w:color w:val="auto"/>
                <w:kern w:val="0"/>
                <w:sz w:val="24"/>
                <w:szCs w:val="24"/>
                <w:lang w:val="en-US" w:eastAsia="zh-CN"/>
              </w:rPr>
              <w:t>本项目与《砂石行业绿色矿山建设规范》（DZT0316-2018）符合性分析见表1-</w:t>
            </w:r>
            <w:r>
              <w:rPr>
                <w:rFonts w:hint="eastAsia" w:eastAsia="仿宋" w:cs="Times New Roman"/>
                <w:color w:val="auto"/>
                <w:kern w:val="0"/>
                <w:sz w:val="24"/>
                <w:szCs w:val="24"/>
                <w:lang w:val="en-US" w:eastAsia="zh-CN"/>
              </w:rPr>
              <w:t>6</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lang w:val="en-US" w:eastAsia="zh-CN"/>
              </w:rPr>
            </w:pPr>
            <w:r>
              <w:rPr>
                <w:rFonts w:hint="default" w:ascii="Times New Roman" w:hAnsi="Times New Roman" w:eastAsia="仿宋" w:cs="Times New Roman"/>
                <w:b/>
                <w:color w:val="auto"/>
                <w:sz w:val="21"/>
                <w:szCs w:val="21"/>
                <w:lang w:val="zh-TW"/>
              </w:rPr>
              <w:t>表1-</w:t>
            </w:r>
            <w:r>
              <w:rPr>
                <w:rFonts w:hint="eastAsia" w:eastAsia="仿宋" w:cs="Times New Roman"/>
                <w:b/>
                <w:color w:val="auto"/>
                <w:sz w:val="21"/>
                <w:szCs w:val="21"/>
                <w:lang w:val="en-US" w:eastAsia="zh-CN"/>
              </w:rPr>
              <w:t>6</w:t>
            </w:r>
            <w:r>
              <w:rPr>
                <w:rFonts w:hint="default" w:ascii="Times New Roman" w:hAnsi="Times New Roman" w:eastAsia="仿宋" w:cs="Times New Roman"/>
                <w:b/>
                <w:color w:val="auto"/>
                <w:sz w:val="21"/>
                <w:szCs w:val="21"/>
                <w:lang w:val="zh-TW" w:eastAsia="zh-CN"/>
              </w:rPr>
              <w:t>《砂石行业绿色矿山建设规范》（DZT0316-2018）</w:t>
            </w:r>
            <w:r>
              <w:rPr>
                <w:rFonts w:hint="default" w:ascii="Times New Roman" w:hAnsi="Times New Roman" w:eastAsia="仿宋" w:cs="Times New Roman"/>
                <w:b/>
                <w:color w:val="auto"/>
                <w:sz w:val="21"/>
                <w:szCs w:val="21"/>
                <w:lang w:val="zh-TW"/>
              </w:rPr>
              <w:t>符合性分析</w:t>
            </w:r>
            <w:r>
              <w:rPr>
                <w:rFonts w:hint="default" w:ascii="Times New Roman" w:hAnsi="Times New Roman" w:eastAsia="仿宋" w:cs="Times New Roman"/>
                <w:b/>
                <w:color w:val="auto"/>
                <w:sz w:val="21"/>
                <w:szCs w:val="21"/>
                <w:lang w:val="en-US" w:eastAsia="zh-CN"/>
              </w:rPr>
              <w:t>表</w:t>
            </w:r>
          </w:p>
          <w:tbl>
            <w:tblPr>
              <w:tblStyle w:val="26"/>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40"/>
              <w:gridCol w:w="2615"/>
              <w:gridCol w:w="3304"/>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序号</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指标</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要求</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1</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矿区环境</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矿区功能分区布局合理，矿区应绿化、美化，整体环境整洁美观；砂石原料开采、生产、运输、贮存等管理规范有序；矿山生产过程中应采取喷雾、喷洒水或生物纳膜、加装除尘设备等措施处置粉尘，工作场所粉尘浓度应符合GBZ2.1-2007的规定。应对输送系统、生产线、料库等采取有效措施进行抑尘，做好车辆保洁，车辆驶离矿区必须冲洗，严禁运料遗撒和带泥上路，保持矿区及周边环境卫生。</w:t>
                  </w:r>
                </w:p>
              </w:tc>
              <w:tc>
                <w:tcPr>
                  <w:tcW w:w="2157" w:type="pct"/>
                  <w:vAlign w:val="center"/>
                </w:tcPr>
                <w:p>
                  <w:pPr>
                    <w:autoSpaceDE w:val="0"/>
                    <w:autoSpaceDN w:val="0"/>
                    <w:adjustRightInd w:val="0"/>
                    <w:snapToGrid w:val="0"/>
                    <w:spacing w:line="240" w:lineRule="auto"/>
                    <w:ind w:left="0" w:leftChars="0" w:firstLine="0" w:firstLineChars="0"/>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sz w:val="21"/>
                      <w:szCs w:val="21"/>
                      <w:lang w:val="en-US" w:eastAsia="zh-CN"/>
                    </w:rPr>
                    <w:t>根据项目总平面图设计，矿区布置拟按生产、生活、贮存等功能区分开设置，针对不同功能区设置</w:t>
                  </w:r>
                  <w:r>
                    <w:rPr>
                      <w:rFonts w:hint="default" w:ascii="Times New Roman" w:hAnsi="Times New Roman" w:eastAsia="仿宋" w:cs="Times New Roman"/>
                      <w:color w:val="auto"/>
                      <w:sz w:val="21"/>
                      <w:szCs w:val="21"/>
                    </w:rPr>
                    <w:t>相应的管理机构和管理制度，</w:t>
                  </w:r>
                  <w:r>
                    <w:rPr>
                      <w:rFonts w:hint="default" w:ascii="Times New Roman" w:hAnsi="Times New Roman" w:eastAsia="仿宋" w:cs="Times New Roman"/>
                      <w:color w:val="auto"/>
                      <w:sz w:val="21"/>
                      <w:szCs w:val="21"/>
                      <w:lang w:val="en-US" w:eastAsia="zh-CN"/>
                    </w:rPr>
                    <w:t>运行后的道路、供水、供电、卫生</w:t>
                  </w:r>
                  <w:r>
                    <w:rPr>
                      <w:rFonts w:hint="default" w:ascii="Times New Roman" w:hAnsi="Times New Roman" w:eastAsia="仿宋" w:cs="Times New Roman"/>
                      <w:color w:val="auto"/>
                      <w:sz w:val="21"/>
                      <w:szCs w:val="21"/>
                    </w:rPr>
                    <w:t>、环保等配套设施</w:t>
                  </w:r>
                  <w:r>
                    <w:rPr>
                      <w:rFonts w:hint="default" w:ascii="Times New Roman" w:hAnsi="Times New Roman" w:eastAsia="仿宋" w:cs="Times New Roman"/>
                      <w:color w:val="auto"/>
                      <w:sz w:val="21"/>
                      <w:szCs w:val="21"/>
                      <w:lang w:val="en-US" w:eastAsia="zh-CN"/>
                    </w:rPr>
                    <w:t>拟配备齐全。开采及装卸过程拟采取洒水降尘；运输道路洒水降尘，运输车辆篷布遮盖，限速；堆土场</w:t>
                  </w:r>
                  <w:r>
                    <w:rPr>
                      <w:rFonts w:hint="eastAsia" w:eastAsia="仿宋" w:cs="Times New Roman"/>
                      <w:color w:val="auto"/>
                      <w:sz w:val="21"/>
                      <w:szCs w:val="21"/>
                      <w:lang w:val="en-US" w:eastAsia="zh-CN"/>
                    </w:rPr>
                    <w:t>采取防尘网苫盖</w:t>
                  </w:r>
                  <w:r>
                    <w:rPr>
                      <w:rFonts w:hint="default" w:ascii="Times New Roman" w:hAnsi="Times New Roman" w:eastAsia="仿宋" w:cs="Times New Roman"/>
                      <w:color w:val="auto"/>
                      <w:sz w:val="21"/>
                      <w:szCs w:val="21"/>
                      <w:lang w:val="en-US" w:eastAsia="zh-CN"/>
                    </w:rPr>
                    <w:t>，并洒水</w:t>
                  </w:r>
                  <w:r>
                    <w:rPr>
                      <w:rFonts w:hint="default" w:ascii="Times New Roman" w:hAnsi="Times New Roman" w:eastAsia="仿宋" w:cs="Times New Roman"/>
                      <w:color w:val="auto"/>
                      <w:sz w:val="21"/>
                      <w:szCs w:val="21"/>
                      <w:highlight w:val="none"/>
                      <w:lang w:val="en-US" w:eastAsia="zh-CN"/>
                    </w:rPr>
                    <w:t>保湿，避免粉尘产生。食堂废水经隔油处理后与其他生活污水暂存于化粪池，定期委托个人由吸污泵车拉运至鄯善县污水处理厂处置，生活垃圾由垃圾箱统一收集后由环卫部门妥善处置。本项目对筛分工序进行局部密闭，无法密闭部位安装水喷淋降尘。</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2</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资源开发方式</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开发应与环境保护、资源保护和城乡建设相协调，最大限度减少对自然环境的扰动和破坏，选择资源节约型、环境友好型开发方式。采用先进的工艺技术与装备，做到绿色开采、绿色生产、绿色存贮、绿色运输。应贯彻“边开采、边恢复”的原则，及时治理恢复矿山地质环境，复垦矿山占用土地和损毁土地。治理率和复垦率应达到矿山地质环境保护与土地复垦方案的要求。</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干法生产应配备高效除尘设备，并保持与生产设备同步运行。湿法生产应配置泥粉和水分离废水处理和循环使用系统。生产加工车间的产尘点要封闭，有利于形成负压除尘，皮带运输系统廊道应选用封闭方式，防止粉尘逸散。应选用低噪声生产设备，对高噪强振的设备，应采取消声、减振措施，合理设计工艺布置，控制噪声传播。砂石骨料成品堆场（库）应地面硬化，分类或分仓储存</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rPr>
                    <w:t>本项目按规范</w:t>
                  </w:r>
                  <w:r>
                    <w:rPr>
                      <w:rFonts w:hint="default" w:ascii="Times New Roman" w:hAnsi="Times New Roman" w:eastAsia="仿宋" w:cs="Times New Roman"/>
                      <w:color w:val="auto"/>
                      <w:kern w:val="0"/>
                      <w:sz w:val="21"/>
                      <w:szCs w:val="21"/>
                      <w:lang w:val="en-US" w:eastAsia="zh-CN"/>
                    </w:rPr>
                    <w:t>委托新疆瑞新源矿业技术有限公司</w:t>
                  </w:r>
                  <w:r>
                    <w:rPr>
                      <w:rFonts w:hint="default" w:ascii="Times New Roman" w:hAnsi="Times New Roman" w:eastAsia="仿宋" w:cs="Times New Roman"/>
                      <w:color w:val="auto"/>
                      <w:kern w:val="0"/>
                      <w:sz w:val="21"/>
                      <w:szCs w:val="21"/>
                    </w:rPr>
                    <w:t>编制了《</w:t>
                  </w:r>
                  <w:r>
                    <w:rPr>
                      <w:rFonts w:hint="eastAsia" w:eastAsia="仿宋" w:cs="Times New Roman"/>
                      <w:color w:val="auto"/>
                      <w:kern w:val="0"/>
                      <w:sz w:val="21"/>
                      <w:szCs w:val="21"/>
                      <w:lang w:eastAsia="zh-CN"/>
                    </w:rPr>
                    <w:t>鄯善县泰航矿业有限公司新疆鄯善县红台西建筑用砂矿矿产资源开发利用与生态保护修复方案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zh-TW"/>
                    </w:rPr>
                    <w:t>闭矿后对开采区、矿山道路、</w:t>
                  </w:r>
                  <w:r>
                    <w:rPr>
                      <w:rFonts w:hint="default" w:ascii="Times New Roman" w:hAnsi="Times New Roman" w:eastAsia="仿宋" w:cs="Times New Roman"/>
                      <w:color w:val="auto"/>
                      <w:kern w:val="0"/>
                      <w:sz w:val="21"/>
                      <w:szCs w:val="21"/>
                      <w:lang w:val="zh-TW" w:eastAsia="zh-CN"/>
                    </w:rPr>
                    <w:t>废石堆场</w:t>
                  </w:r>
                  <w:r>
                    <w:rPr>
                      <w:rFonts w:hint="default" w:ascii="Times New Roman" w:hAnsi="Times New Roman" w:eastAsia="仿宋" w:cs="Times New Roman"/>
                      <w:color w:val="auto"/>
                      <w:kern w:val="0"/>
                      <w:sz w:val="21"/>
                      <w:szCs w:val="21"/>
                      <w:lang w:val="zh-TW"/>
                    </w:rPr>
                    <w:t>等进行土地整治及回填表土，恢复生态</w:t>
                  </w:r>
                  <w:r>
                    <w:rPr>
                      <w:rFonts w:hint="default" w:ascii="Times New Roman" w:hAnsi="Times New Roman" w:eastAsia="仿宋" w:cs="Times New Roman"/>
                      <w:color w:val="auto"/>
                      <w:kern w:val="0"/>
                      <w:sz w:val="21"/>
                      <w:szCs w:val="21"/>
                    </w:rPr>
                    <w:t>。本项目开采方式采用挖掘机自上而下水平分层开采，本项目运输道路</w:t>
                  </w:r>
                  <w:r>
                    <w:rPr>
                      <w:rFonts w:hint="default" w:ascii="Times New Roman" w:hAnsi="Times New Roman" w:eastAsia="仿宋" w:cs="Times New Roman"/>
                      <w:color w:val="auto"/>
                      <w:sz w:val="21"/>
                      <w:szCs w:val="21"/>
                      <w:lang w:val="zh-TW"/>
                    </w:rPr>
                    <w:t>采用碎石硬化，道路定时洒水，出入车辆清洗轮胎，运输过程中遮盖，限速，以减少扬尘量。</w:t>
                  </w:r>
                  <w:r>
                    <w:rPr>
                      <w:rFonts w:hint="default" w:ascii="Times New Roman" w:hAnsi="Times New Roman" w:eastAsia="仿宋" w:cs="Times New Roman"/>
                      <w:color w:val="auto"/>
                      <w:sz w:val="21"/>
                      <w:szCs w:val="21"/>
                      <w:lang w:val="zh-TW" w:eastAsia="zh-CN"/>
                    </w:rPr>
                    <w:t>本项目</w:t>
                  </w:r>
                  <w:r>
                    <w:rPr>
                      <w:rFonts w:hint="default" w:ascii="Times New Roman" w:hAnsi="Times New Roman" w:eastAsia="仿宋" w:cs="Times New Roman"/>
                      <w:color w:val="auto"/>
                      <w:sz w:val="21"/>
                      <w:szCs w:val="21"/>
                      <w:highlight w:val="none"/>
                      <w:lang w:val="en-US" w:eastAsia="zh-CN"/>
                    </w:rPr>
                    <w:t>对筛分工序进行局部密闭，无法密闭部位安装水喷淋降尘</w:t>
                  </w:r>
                  <w:r>
                    <w:rPr>
                      <w:rFonts w:hint="default" w:ascii="Times New Roman" w:hAnsi="Times New Roman" w:eastAsia="仿宋" w:cs="Times New Roman"/>
                      <w:color w:val="auto"/>
                      <w:sz w:val="21"/>
                      <w:szCs w:val="21"/>
                      <w:lang w:val="en-US" w:eastAsia="zh-CN"/>
                    </w:rPr>
                    <w:t>。</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3</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资源综合利用</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应按照减量化、资源化。再利用的原则，对砂石生产工艺合理优化设计，提高成品率。充分利用石粉、泥粉等加工.副产品，提高资源综合利用水平。生产工艺技术和设备应符合国土资源部《矿产资源节约与综合利用鼓励、限制和淘汰技术目录》要求.剥离表土后，砂石矿山资源综合利用率不低于95%。</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本项目运营期采取的生产工艺技术和设备符合国土资源部《矿产资源节约与综合利用鼓励、限制和淘汰技术目录》要求；本项目运营期固废主要为生产废砂石，</w:t>
                  </w:r>
                  <w:r>
                    <w:rPr>
                      <w:rFonts w:hint="eastAsia" w:ascii="Times New Roman" w:hAnsi="Times New Roman" w:eastAsia="仿宋" w:cs="Times New Roman"/>
                      <w:color w:val="auto"/>
                      <w:kern w:val="0"/>
                      <w:sz w:val="21"/>
                      <w:szCs w:val="21"/>
                      <w:vertAlign w:val="baseline"/>
                      <w:lang w:val="en-US" w:eastAsia="zh-CN"/>
                    </w:rPr>
                    <w:t>后期</w:t>
                  </w:r>
                  <w:r>
                    <w:rPr>
                      <w:rFonts w:hint="default" w:ascii="Times New Roman" w:hAnsi="Times New Roman" w:eastAsia="仿宋" w:cs="Times New Roman"/>
                      <w:color w:val="auto"/>
                      <w:kern w:val="0"/>
                      <w:sz w:val="21"/>
                      <w:szCs w:val="21"/>
                      <w:vertAlign w:val="baseline"/>
                      <w:lang w:val="en-US" w:eastAsia="zh-CN"/>
                    </w:rPr>
                    <w:t>用于闭矿后采坑回填及周边生态修复，满足资源综合利用的要求。</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4</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节能减排</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建立能耗核算体系，采取节能减排措施，降低砂石生产能耗和设备损耗，使三废和噪音排放达到环保标准。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本项目不消耗天然气、煤炭等，所用能源主要</w:t>
                  </w:r>
                  <w:r>
                    <w:rPr>
                      <w:rFonts w:hint="default" w:ascii="Times New Roman" w:hAnsi="Times New Roman" w:eastAsia="仿宋" w:cs="Times New Roman"/>
                      <w:color w:val="auto"/>
                      <w:kern w:val="0"/>
                      <w:sz w:val="21"/>
                      <w:szCs w:val="21"/>
                      <w:highlight w:val="none"/>
                      <w:vertAlign w:val="baseline"/>
                      <w:lang w:val="en-US" w:eastAsia="zh-CN"/>
                    </w:rPr>
                    <w:t>包括水、电，用水量约</w:t>
                  </w:r>
                  <w:r>
                    <w:rPr>
                      <w:rFonts w:hint="eastAsia" w:eastAsia="仿宋" w:cs="Times New Roman"/>
                      <w:color w:val="auto"/>
                      <w:kern w:val="0"/>
                      <w:sz w:val="21"/>
                      <w:szCs w:val="21"/>
                      <w:highlight w:val="none"/>
                      <w:vertAlign w:val="baseline"/>
                      <w:lang w:val="en-US" w:eastAsia="zh-CN"/>
                    </w:rPr>
                    <w:t>48737.7</w:t>
                  </w:r>
                  <w:r>
                    <w:rPr>
                      <w:rFonts w:hint="default" w:ascii="Times New Roman" w:hAnsi="Times New Roman" w:eastAsia="仿宋" w:cs="Times New Roman"/>
                      <w:color w:val="auto"/>
                      <w:kern w:val="0"/>
                      <w:sz w:val="21"/>
                      <w:szCs w:val="21"/>
                      <w:highlight w:val="none"/>
                      <w:vertAlign w:val="baseline"/>
                      <w:lang w:val="en-US" w:eastAsia="zh-CN"/>
                    </w:rPr>
                    <w:t>m</w:t>
                  </w:r>
                  <w:r>
                    <w:rPr>
                      <w:rFonts w:hint="default" w:ascii="Times New Roman" w:hAnsi="Times New Roman" w:eastAsia="仿宋" w:cs="Times New Roman"/>
                      <w:color w:val="auto"/>
                      <w:kern w:val="0"/>
                      <w:sz w:val="21"/>
                      <w:szCs w:val="21"/>
                      <w:highlight w:val="none"/>
                      <w:vertAlign w:val="superscript"/>
                      <w:lang w:val="en-US" w:eastAsia="zh-CN"/>
                    </w:rPr>
                    <w:t>3</w:t>
                  </w:r>
                  <w:r>
                    <w:rPr>
                      <w:rFonts w:hint="default" w:ascii="Times New Roman" w:hAnsi="Times New Roman" w:eastAsia="仿宋" w:cs="Times New Roman"/>
                      <w:color w:val="auto"/>
                      <w:kern w:val="0"/>
                      <w:sz w:val="21"/>
                      <w:szCs w:val="21"/>
                      <w:highlight w:val="none"/>
                      <w:vertAlign w:val="baseline"/>
                      <w:lang w:val="en-US" w:eastAsia="zh-CN"/>
                    </w:rPr>
                    <w:t>/a，用电量约</w:t>
                  </w:r>
                  <w:r>
                    <w:rPr>
                      <w:rFonts w:hint="eastAsia" w:eastAsia="仿宋" w:cs="Times New Roman"/>
                      <w:color w:val="auto"/>
                      <w:kern w:val="0"/>
                      <w:sz w:val="21"/>
                      <w:szCs w:val="21"/>
                      <w:highlight w:val="none"/>
                      <w:vertAlign w:val="baseline"/>
                      <w:lang w:val="en-US" w:eastAsia="zh-CN"/>
                    </w:rPr>
                    <w:t>140616</w:t>
                  </w:r>
                  <w:r>
                    <w:rPr>
                      <w:rFonts w:hint="default" w:ascii="Times New Roman" w:hAnsi="Times New Roman" w:eastAsia="仿宋" w:cs="Times New Roman"/>
                      <w:color w:val="auto"/>
                      <w:kern w:val="0"/>
                      <w:sz w:val="21"/>
                      <w:szCs w:val="21"/>
                      <w:highlight w:val="none"/>
                      <w:vertAlign w:val="baseline"/>
                      <w:lang w:val="en-US" w:eastAsia="zh-CN"/>
                    </w:rPr>
                    <w:t>kW·h，</w:t>
                  </w:r>
                  <w:r>
                    <w:rPr>
                      <w:rFonts w:hint="default" w:ascii="Times New Roman" w:hAnsi="Times New Roman" w:eastAsia="仿宋" w:cs="Times New Roman"/>
                      <w:color w:val="auto"/>
                      <w:kern w:val="0"/>
                      <w:sz w:val="21"/>
                      <w:szCs w:val="21"/>
                      <w:vertAlign w:val="baseline"/>
                      <w:lang w:val="en-US" w:eastAsia="zh-CN"/>
                    </w:rPr>
                    <w:t>能耗较低；运营期三废及噪声分析，均可达标排放。</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5</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科技创新与数字化矿山</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建立科技研发队伍，推广转化科技成果，加大技术改造力度，推动产业绿色升级。建设数字化矿山，实现矿山企业生产、经营和管理信息化。</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建设单位拟在运营期建设数字化矿山，实现矿山企业生产、经营和管理信息化。</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6</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企业管理与企业形象</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应建立产权、责任、管理和文化等方面的企业管理制度。应建立质量管理体系、环境管理体系和职业健康安全管理体系，确保对质量、环境、职业健康与安全的管理。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建设单位拟在运营期按要求建立完整的企业管理制度。</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bCs w:val="0"/>
                <w:color w:val="auto"/>
                <w:sz w:val="24"/>
                <w:szCs w:val="24"/>
                <w:lang w:val="en-US" w:eastAsia="zh-CN"/>
              </w:rPr>
            </w:pPr>
            <w:r>
              <w:rPr>
                <w:rFonts w:hint="default" w:ascii="Times New Roman" w:hAnsi="Times New Roman" w:eastAsia="仿宋" w:cs="Times New Roman"/>
                <w:b/>
                <w:bCs w:val="0"/>
                <w:color w:val="auto"/>
                <w:sz w:val="24"/>
                <w:szCs w:val="24"/>
                <w:lang w:val="en-US" w:eastAsia="zh-CN"/>
              </w:rPr>
              <w:t>4、与《新疆维吾尔自治区大气污染防治条例》符合性分析</w:t>
            </w:r>
          </w:p>
          <w:p>
            <w:pPr>
              <w:autoSpaceDE w:val="0"/>
              <w:autoSpaceDN w:val="0"/>
              <w:adjustRightInd w:val="0"/>
              <w:snapToGrid w:val="0"/>
              <w:ind w:firstLine="420"/>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kern w:val="0"/>
                <w:sz w:val="24"/>
                <w:szCs w:val="24"/>
                <w:lang w:val="en-US" w:eastAsia="zh-CN"/>
              </w:rPr>
              <w:t>本项目运营期大气主要污染为粉尘，对照《新疆维吾尔自治区大气污染防治条例》中“第三章防治措施”中的“第四节扬尘污染防治”符合性分析见表1-</w:t>
            </w:r>
            <w:r>
              <w:rPr>
                <w:rFonts w:hint="eastAsia" w:eastAsia="仿宋" w:cs="Times New Roman"/>
                <w:color w:val="auto"/>
                <w:kern w:val="0"/>
                <w:sz w:val="24"/>
                <w:szCs w:val="24"/>
                <w:lang w:val="en-US" w:eastAsia="zh-CN"/>
              </w:rPr>
              <w:t>7</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sz w:val="21"/>
                <w:szCs w:val="21"/>
                <w:lang w:val="en-US" w:eastAsia="zh-CN"/>
              </w:rPr>
            </w:pPr>
            <w:r>
              <w:rPr>
                <w:rFonts w:hint="default" w:ascii="Times New Roman" w:hAnsi="Times New Roman" w:eastAsia="仿宋" w:cs="Times New Roman"/>
                <w:b/>
                <w:color w:val="auto"/>
                <w:sz w:val="21"/>
                <w:szCs w:val="21"/>
                <w:lang w:val="en-US" w:eastAsia="zh-CN"/>
              </w:rPr>
              <w:t>表1-</w:t>
            </w:r>
            <w:r>
              <w:rPr>
                <w:rFonts w:hint="eastAsia" w:eastAsia="仿宋" w:cs="Times New Roman"/>
                <w:b/>
                <w:color w:val="auto"/>
                <w:sz w:val="21"/>
                <w:szCs w:val="21"/>
                <w:lang w:val="en-US" w:eastAsia="zh-CN"/>
              </w:rPr>
              <w:t>7</w:t>
            </w:r>
            <w:r>
              <w:rPr>
                <w:rFonts w:hint="default" w:ascii="Times New Roman" w:hAnsi="Times New Roman" w:eastAsia="仿宋" w:cs="Times New Roman"/>
                <w:b/>
                <w:color w:val="auto"/>
                <w:sz w:val="21"/>
                <w:szCs w:val="21"/>
                <w:lang w:val="en-US" w:eastAsia="zh-CN"/>
              </w:rPr>
              <w:t>《新疆维吾尔自治区大气污染防治条例》符合性分析表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4313"/>
              <w:gridCol w:w="208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序号</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要求</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1</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三十七条各级人民政府应当加强对建设施工、矿产资源开采、物料运输的扬尘和沙尘污染的治理，保持道路清洁、控制料堆和渣土堆放，科学合理扩大绿地、水面、湿地、地面铺装和防风固沙绿化面积，防治扬尘污染。</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环评要求对开采、运输等过程扬尘进行雾炮机喷洒降尘、运输车辆篷布遮盖等大气污染治理。</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2</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第三十九条运输、处置建筑垃圾，应当经工程所在地的县（市、区）人民政府确定的监督管理部门同意，按照规定的运输时间、路线和要求清运到指定的场所处理；在场地内堆存的，应当有效覆盖。</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施工单位承诺运输、处置建筑垃圾按当地管理要求；场地堆存物料加盖篷布。</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3</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四十三条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表土堆场、废石堆场：</w:t>
                  </w:r>
                  <w:r>
                    <w:rPr>
                      <w:rFonts w:hint="eastAsia" w:eastAsia="仿宋" w:cs="Times New Roman"/>
                      <w:color w:val="auto"/>
                      <w:kern w:val="0"/>
                      <w:sz w:val="21"/>
                      <w:szCs w:val="21"/>
                      <w:vertAlign w:val="baseline"/>
                      <w:lang w:val="en-US" w:eastAsia="zh-CN"/>
                    </w:rPr>
                    <w:t>采取防尘网苫盖</w:t>
                  </w:r>
                  <w:r>
                    <w:rPr>
                      <w:rFonts w:hint="default" w:ascii="Times New Roman" w:hAnsi="Times New Roman" w:eastAsia="仿宋" w:cs="Times New Roman"/>
                      <w:color w:val="auto"/>
                      <w:kern w:val="0"/>
                      <w:sz w:val="21"/>
                      <w:szCs w:val="21"/>
                      <w:vertAlign w:val="baseline"/>
                      <w:lang w:val="en-US" w:eastAsia="zh-CN"/>
                    </w:rPr>
                    <w:t>，洒水保湿；装卸粉尘：雾炮机喷洒降尘，加强管理，规范作业等</w:t>
                  </w:r>
                  <w:r>
                    <w:rPr>
                      <w:rFonts w:hint="default" w:ascii="Times New Roman" w:hAnsi="Times New Roman" w:eastAsia="仿宋" w:cs="Times New Roman"/>
                      <w:color w:val="auto"/>
                      <w:kern w:val="0"/>
                      <w:sz w:val="21"/>
                      <w:szCs w:val="21"/>
                      <w:highlight w:val="none"/>
                      <w:vertAlign w:val="baseline"/>
                      <w:lang w:val="en-US" w:eastAsia="zh-CN"/>
                    </w:rPr>
                    <w:t>。</w:t>
                  </w:r>
                  <w:r>
                    <w:rPr>
                      <w:rFonts w:hint="default" w:ascii="Times New Roman" w:hAnsi="Times New Roman" w:eastAsia="仿宋" w:cs="Times New Roman"/>
                      <w:color w:val="auto"/>
                      <w:sz w:val="21"/>
                      <w:szCs w:val="21"/>
                      <w:highlight w:val="none"/>
                      <w:lang w:val="zh-TW" w:eastAsia="zh-CN"/>
                    </w:rPr>
                    <w:t>本项目对筛分工序采取局部密闭，无法密闭部位安装水喷淋降尘</w:t>
                  </w:r>
                  <w:r>
                    <w:rPr>
                      <w:rFonts w:hint="default" w:ascii="Times New Roman" w:hAnsi="Times New Roman" w:eastAsia="仿宋" w:cs="Times New Roman"/>
                      <w:color w:val="auto"/>
                      <w:sz w:val="21"/>
                      <w:szCs w:val="21"/>
                      <w:highlight w:val="none"/>
                      <w:lang w:val="en-US" w:eastAsia="zh-CN"/>
                    </w:rPr>
                    <w:t>。</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4</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四十四条矿山开采产生的废石、废渣、泥土等应当堆放到专门存放地，并采取围挡、设置防尘网或者防尘布等防尘措施；施工便道应当硬化。在采石、采砂和其他矿产资源开采过程中，或者在停办、关闭矿山前，采矿权人应当整修被损坏的道路和露天采矿场的边坡、断面，恢复原有地貌，并按照规定处置矿山开采废弃物，防止扬尘污染。</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表土堆场、废石堆场：</w:t>
                  </w:r>
                  <w:r>
                    <w:rPr>
                      <w:rFonts w:hint="eastAsia" w:eastAsia="仿宋" w:cs="Times New Roman"/>
                      <w:color w:val="auto"/>
                      <w:kern w:val="0"/>
                      <w:sz w:val="21"/>
                      <w:szCs w:val="21"/>
                      <w:vertAlign w:val="baseline"/>
                      <w:lang w:val="en-US" w:eastAsia="zh-CN"/>
                    </w:rPr>
                    <w:t>采取防尘网苫盖</w:t>
                  </w:r>
                  <w:r>
                    <w:rPr>
                      <w:rFonts w:hint="default" w:ascii="Times New Roman" w:hAnsi="Times New Roman" w:eastAsia="仿宋" w:cs="Times New Roman"/>
                      <w:color w:val="auto"/>
                      <w:kern w:val="0"/>
                      <w:sz w:val="21"/>
                      <w:szCs w:val="21"/>
                      <w:vertAlign w:val="baseline"/>
                      <w:lang w:val="en-US" w:eastAsia="zh-CN"/>
                    </w:rPr>
                    <w:t>，洒水保湿；筛选废砂石闭矿期用于采坑回填整治及土地复垦，并按要求编制了</w:t>
                  </w:r>
                  <w:r>
                    <w:rPr>
                      <w:rFonts w:hint="default" w:ascii="Times New Roman" w:hAnsi="Times New Roman" w:eastAsia="仿宋" w:cs="Times New Roman"/>
                      <w:color w:val="auto"/>
                      <w:kern w:val="0"/>
                      <w:sz w:val="21"/>
                      <w:szCs w:val="21"/>
                    </w:rPr>
                    <w:t>《</w:t>
                  </w:r>
                  <w:r>
                    <w:rPr>
                      <w:rFonts w:hint="eastAsia" w:eastAsia="仿宋" w:cs="Times New Roman"/>
                      <w:color w:val="auto"/>
                      <w:kern w:val="0"/>
                      <w:sz w:val="21"/>
                      <w:szCs w:val="21"/>
                      <w:lang w:eastAsia="zh-CN"/>
                    </w:rPr>
                    <w:t>鄯善县泰航矿业有限公司新疆鄯善县红台西建筑用砂矿矿产资源开发利用与生态保护修复方案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bl>
          <w:p>
            <w:pPr>
              <w:autoSpaceDE w:val="0"/>
              <w:autoSpaceDN w:val="0"/>
              <w:adjustRightInd w:val="0"/>
              <w:snapToGrid w:val="0"/>
              <w:ind w:firstLine="420"/>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5、与《工业料堆场扬尘整治规范》(DB65/T4061-2017）符合性分析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本项目属于一般控制区，常年平均风速≤2m/s，粒度＞0.5mm，对照《工业料堆场扬尘整治规范》(DB65/T4061-2017）中表1，本项目的堆场类型划分为Ⅱ类。针对Ⅱ类堆场扬尘防治方案，本项目堆场方案为防风抑尘网及喷洒水，符合其Ⅱ类堆场扬尘防治要求。因此，本项目堆场扬尘整治措施与《工业料堆场扬尘整治规范》（DB65/T4061-2017）相符。</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6、与《关于加快推进露天矿山综合整治工作实施意见的函》符合性分析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kern w:val="0"/>
                <w:sz w:val="24"/>
                <w:szCs w:val="24"/>
                <w:lang w:val="en-US" w:eastAsia="zh-CN"/>
              </w:rPr>
              <w:t>本项目与《矿山生态环境保护与恢复治理技术规范（试行）》(HJ651-2013）符合性分析见表1-</w:t>
            </w:r>
            <w:r>
              <w:rPr>
                <w:rFonts w:hint="eastAsia" w:eastAsia="仿宋" w:cs="Times New Roman"/>
                <w:color w:val="auto"/>
                <w:kern w:val="0"/>
                <w:sz w:val="24"/>
                <w:szCs w:val="24"/>
                <w:lang w:val="en-US" w:eastAsia="zh-CN"/>
              </w:rPr>
              <w:t>8</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sz w:val="21"/>
                <w:szCs w:val="21"/>
                <w:lang w:val="en-US" w:eastAsia="zh-CN"/>
              </w:rPr>
            </w:pPr>
            <w:r>
              <w:rPr>
                <w:rFonts w:hint="default" w:ascii="Times New Roman" w:hAnsi="Times New Roman" w:eastAsia="仿宋" w:cs="Times New Roman"/>
                <w:b/>
                <w:color w:val="auto"/>
                <w:sz w:val="21"/>
                <w:szCs w:val="21"/>
                <w:lang w:val="en-US" w:eastAsia="zh-CN"/>
              </w:rPr>
              <w:t>表1-</w:t>
            </w:r>
            <w:r>
              <w:rPr>
                <w:rFonts w:hint="eastAsia" w:eastAsia="仿宋" w:cs="Times New Roman"/>
                <w:b/>
                <w:color w:val="auto"/>
                <w:sz w:val="21"/>
                <w:szCs w:val="21"/>
                <w:lang w:val="en-US" w:eastAsia="zh-CN"/>
              </w:rPr>
              <w:t>8</w:t>
            </w:r>
            <w:r>
              <w:rPr>
                <w:rFonts w:hint="default" w:ascii="Times New Roman" w:hAnsi="Times New Roman" w:eastAsia="仿宋" w:cs="Times New Roman"/>
                <w:b/>
                <w:color w:val="auto"/>
                <w:sz w:val="21"/>
                <w:szCs w:val="21"/>
                <w:lang w:val="en-US" w:eastAsia="zh-CN"/>
              </w:rPr>
              <w:t>《关于加快推进露天矿山综合整治工作实施意见的函》符合性分析表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71"/>
              <w:gridCol w:w="3479"/>
              <w:gridCol w:w="1586"/>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序号</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类别</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要求</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1</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全面摸底排查露天矿山情况</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以违法违规开采和责任主体灭失的露天矿山为重点，全面查清本地区露天矿山基本情况，在全面核查露天矿山开发利用、环境保护、矿山地质环境恢复治理和土地复垦等情况的基础上，逐矿逐项登记汇总，分类建立台账，提出整治意见。</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本项目未开始运行，已提前按要求编制了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等</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2</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依法开展露天矿山综合整治</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依法关闭违反资源环境法律法规、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全面加强矸石山综合治理，消除自燃和冒烟现象。</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本项目未开始运行，运行时严格按照相关制度进行建设、运行及修复等。</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3</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加强露天矿山生态修复</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按照“谁开采、谁治理，边开采、边治理”原则，引导矿山按照绿色矿山建设行业标准，以环境影响报告书及批复、矿山地质环境保护与土地复垦方案等要求，开展生态修复。对责任主体灭失的露天矿山，按照“谁治理、谁受益”的原则，充分发挥财政资金的引导带动作用，大力探索构建“政府主导、政策扶持、社会参与、开发式治理、市场化运作”的矿山地质环境恢复和综合治理新模式，加快生态修复进度。</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本项目已编制完成</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正在编制项目环境影响报告表。后期建设单位严格按批复内容进行建设。</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4</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严格控制新建露天矿山建设项目</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严格贯彻国发〔2018〕22号文件有关要求，重点区域原则上禁止新建露天矿山建设项目，国发〔2018〕22号文件下发前环境影响评价文件已经批复的重点区域露天矿山，确需建设的，在严格落实生态环境保护、矿产资源规划和绿色矿山建设行业标准等要求前提下可继续批准建设。其他区域新建露天矿山建设项目，也应严格执行生态环境保护、矿产资源规划和绿色矿山建设行业标准等要求。</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本项目不属于重点区域，项目建设、运行及修复等严格按照要求执行</w:t>
                  </w:r>
                  <w:r>
                    <w:rPr>
                      <w:rFonts w:hint="eastAsia" w:eastAsia="仿宋" w:cs="Times New Roman"/>
                      <w:b w:val="0"/>
                      <w:bCs w:val="0"/>
                      <w:color w:val="auto"/>
                      <w:sz w:val="21"/>
                      <w:szCs w:val="21"/>
                      <w:vertAlign w:val="baseline"/>
                      <w:lang w:val="en-US" w:eastAsia="zh-CN"/>
                    </w:rPr>
                    <w:t>。</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bCs/>
                <w:color w:val="auto"/>
                <w:sz w:val="24"/>
                <w:szCs w:val="24"/>
                <w:lang w:val="en-US"/>
              </w:rPr>
            </w:pPr>
            <w:r>
              <w:rPr>
                <w:rFonts w:hint="default" w:ascii="Times New Roman" w:hAnsi="Times New Roman" w:eastAsia="仿宋" w:cs="Times New Roman"/>
                <w:b/>
                <w:bCs/>
                <w:color w:val="auto"/>
                <w:sz w:val="24"/>
                <w:szCs w:val="24"/>
                <w:lang w:val="en-US" w:eastAsia="zh-CN"/>
              </w:rPr>
              <w:t>7、与《矿山生态环境保护与恢复治理技术规范（试行）》(HJ651-2013）符合性分析</w:t>
            </w:r>
          </w:p>
          <w:p>
            <w:pPr>
              <w:autoSpaceDE w:val="0"/>
              <w:autoSpaceDN w:val="0"/>
              <w:adjustRightInd w:val="0"/>
              <w:snapToGrid w:val="0"/>
              <w:ind w:firstLine="420"/>
              <w:rPr>
                <w:rFonts w:hint="default" w:ascii="Times New Roman" w:hAnsi="Times New Roman" w:eastAsia="仿宋" w:cs="Times New Roman"/>
                <w:b/>
                <w:color w:val="auto"/>
                <w:sz w:val="24"/>
                <w:szCs w:val="24"/>
                <w:lang w:val="zh-TW"/>
              </w:rPr>
            </w:pPr>
            <w:r>
              <w:rPr>
                <w:rFonts w:hint="default" w:ascii="Times New Roman" w:hAnsi="Times New Roman" w:eastAsia="仿宋" w:cs="Times New Roman"/>
                <w:color w:val="auto"/>
                <w:kern w:val="0"/>
                <w:sz w:val="24"/>
                <w:szCs w:val="24"/>
                <w:lang w:val="en-US" w:eastAsia="zh-CN"/>
              </w:rPr>
              <w:t>本项目与《矿山生态环境保护与恢复治理技术规范（试行）》(HJ651-2013）符合性分析见表1-</w:t>
            </w:r>
            <w:r>
              <w:rPr>
                <w:rFonts w:hint="eastAsia" w:eastAsia="仿宋" w:cs="Times New Roman"/>
                <w:color w:val="auto"/>
                <w:kern w:val="0"/>
                <w:sz w:val="24"/>
                <w:szCs w:val="24"/>
                <w:lang w:val="en-US" w:eastAsia="zh-CN"/>
              </w:rPr>
              <w:t>9</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lang w:val="en-US" w:eastAsia="zh-CN"/>
              </w:rPr>
            </w:pPr>
            <w:r>
              <w:rPr>
                <w:rFonts w:hint="default" w:ascii="Times New Roman" w:hAnsi="Times New Roman" w:eastAsia="仿宋" w:cs="Times New Roman"/>
                <w:b/>
                <w:color w:val="auto"/>
                <w:sz w:val="21"/>
                <w:szCs w:val="21"/>
                <w:lang w:val="zh-TW"/>
              </w:rPr>
              <w:t>表1-</w:t>
            </w:r>
            <w:r>
              <w:rPr>
                <w:rFonts w:hint="eastAsia" w:eastAsia="仿宋" w:cs="Times New Roman"/>
                <w:b/>
                <w:color w:val="auto"/>
                <w:sz w:val="21"/>
                <w:szCs w:val="21"/>
                <w:lang w:val="en-US" w:eastAsia="zh-CN"/>
              </w:rPr>
              <w:t>9</w:t>
            </w:r>
            <w:r>
              <w:rPr>
                <w:rFonts w:hint="default" w:ascii="Times New Roman" w:hAnsi="Times New Roman" w:eastAsia="仿宋" w:cs="Times New Roman"/>
                <w:b/>
                <w:color w:val="auto"/>
                <w:sz w:val="21"/>
                <w:szCs w:val="21"/>
                <w:lang w:val="zh-TW" w:eastAsia="zh-CN"/>
              </w:rPr>
              <w:t>《矿山生态环境保护与恢复治理技术规范（试行）》(HJ651-2013）</w:t>
            </w:r>
            <w:r>
              <w:rPr>
                <w:rFonts w:hint="default" w:ascii="Times New Roman" w:hAnsi="Times New Roman" w:eastAsia="仿宋" w:cs="Times New Roman"/>
                <w:b/>
                <w:color w:val="auto"/>
                <w:sz w:val="21"/>
                <w:szCs w:val="21"/>
                <w:lang w:val="zh-TW"/>
              </w:rPr>
              <w:t>符合性分析</w:t>
            </w:r>
            <w:r>
              <w:rPr>
                <w:rFonts w:hint="default" w:ascii="Times New Roman" w:hAnsi="Times New Roman" w:eastAsia="仿宋" w:cs="Times New Roman"/>
                <w:b/>
                <w:color w:val="auto"/>
                <w:sz w:val="21"/>
                <w:szCs w:val="21"/>
                <w:lang w:val="en-US" w:eastAsia="zh-CN"/>
              </w:rPr>
              <w:t>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87"/>
              <w:gridCol w:w="3665"/>
              <w:gridCol w:w="210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序号</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类别</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要求</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循环经济</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发展绿色开采技术，实现矿区生态环境无损或受损最小；2）发展干法或节水的工艺技术，减少水的使用量;3）发展无废或少废的工艺技术，最大限度地减少废弃物的产生;4）矿山废物按照先提取有价金属、组分或利用能源，再选择用于建材或其它用途，最后进行无害化处理处置的技术原则。</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项目采用绿色开采技术，采用干法工艺及雾炮喷淋降尘</w:t>
                  </w:r>
                  <w:r>
                    <w:rPr>
                      <w:rFonts w:hint="default" w:ascii="Times New Roman" w:hAnsi="Times New Roman" w:eastAsia="仿宋" w:cs="Times New Roman"/>
                      <w:b w:val="0"/>
                      <w:bCs/>
                      <w:color w:val="auto"/>
                      <w:sz w:val="21"/>
                      <w:szCs w:val="21"/>
                      <w:highlight w:val="none"/>
                      <w:vertAlign w:val="baseline"/>
                      <w:lang w:val="en-US" w:eastAsia="zh-CN"/>
                    </w:rPr>
                    <w:t>；</w:t>
                  </w:r>
                  <w:r>
                    <w:rPr>
                      <w:rFonts w:hint="default" w:ascii="Times New Roman" w:hAnsi="Times New Roman" w:eastAsia="仿宋" w:cs="Times New Roman"/>
                      <w:color w:val="auto"/>
                      <w:sz w:val="21"/>
                      <w:szCs w:val="21"/>
                      <w:highlight w:val="none"/>
                      <w:lang w:val="zh-TW" w:eastAsia="zh-CN"/>
                    </w:rPr>
                    <w:t>本项目</w:t>
                  </w:r>
                  <w:r>
                    <w:rPr>
                      <w:rFonts w:hint="default" w:ascii="Times New Roman" w:hAnsi="Times New Roman" w:eastAsia="仿宋" w:cs="Times New Roman"/>
                      <w:color w:val="auto"/>
                      <w:sz w:val="21"/>
                      <w:szCs w:val="21"/>
                      <w:highlight w:val="none"/>
                      <w:lang w:val="en-US" w:eastAsia="zh-CN"/>
                    </w:rPr>
                    <w:t>对筛分工序进行局部密闭，无法密闭部位安装水喷淋降尘。</w:t>
                  </w:r>
                  <w:r>
                    <w:rPr>
                      <w:rFonts w:hint="default" w:ascii="Times New Roman" w:hAnsi="Times New Roman" w:eastAsia="仿宋" w:cs="Times New Roman"/>
                      <w:b w:val="0"/>
                      <w:bCs/>
                      <w:color w:val="auto"/>
                      <w:sz w:val="21"/>
                      <w:szCs w:val="21"/>
                      <w:vertAlign w:val="baseline"/>
                      <w:lang w:val="en-US" w:eastAsia="zh-CN"/>
                    </w:rPr>
                    <w:t>运营期生产固废主要筛选废砂石堆放于废石堆场，闭矿期用于采坑回填整治及土地复垦。</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2</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禁止的矿产资源开发活动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禁止在依法划定的自然保护区（核心区、缓冲区）、风景名胜区、森林公园、饮用水水源保护区、重要湖泊周边、文物古迹所在地、地质遗迹保护区、基本农田保护区等区域内采矿。2）禁止在铁路、国道、省道两侧的直观可视范围内进行露天开采。3）禁止在地质灾害危险区开采矿产资源。4）禁止土法采、选冶金矿和土法冶炼汞、砷、铅、锌、焦、硫、钒等矿产资源开发活动。5）禁止新建对生态环境产生不可恢复利用的、产生破坏性影响的矿产资源开发项目。6）禁止新建煤层含硫量大于3%的煤矿</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highlight w:val="none"/>
                      <w:vertAlign w:val="baseline"/>
                      <w:lang w:val="en-US" w:eastAsia="zh-CN"/>
                    </w:rPr>
                    <w:t>项目所在区域不在自然保护区内；项目离最近的道路约</w:t>
                  </w:r>
                  <w:r>
                    <w:rPr>
                      <w:rFonts w:hint="eastAsia" w:eastAsia="仿宋" w:cs="Times New Roman"/>
                      <w:b w:val="0"/>
                      <w:bCs/>
                      <w:color w:val="auto"/>
                      <w:sz w:val="21"/>
                      <w:szCs w:val="21"/>
                      <w:highlight w:val="none"/>
                      <w:vertAlign w:val="baseline"/>
                      <w:lang w:val="en-US" w:eastAsia="zh-CN"/>
                    </w:rPr>
                    <w:t>650</w:t>
                  </w:r>
                  <w:r>
                    <w:rPr>
                      <w:rFonts w:hint="default" w:ascii="Times New Roman" w:hAnsi="Times New Roman" w:eastAsia="仿宋" w:cs="Times New Roman"/>
                      <w:b w:val="0"/>
                      <w:bCs/>
                      <w:color w:val="auto"/>
                      <w:sz w:val="21"/>
                      <w:szCs w:val="21"/>
                      <w:highlight w:val="none"/>
                      <w:vertAlign w:val="baseline"/>
                      <w:lang w:val="en-US" w:eastAsia="zh-CN"/>
                    </w:rPr>
                    <w:t>m，不</w:t>
                  </w:r>
                  <w:r>
                    <w:rPr>
                      <w:rFonts w:hint="default" w:ascii="Times New Roman" w:hAnsi="Times New Roman" w:eastAsia="仿宋" w:cs="Times New Roman"/>
                      <w:b w:val="0"/>
                      <w:bCs/>
                      <w:color w:val="auto"/>
                      <w:sz w:val="21"/>
                      <w:szCs w:val="21"/>
                      <w:vertAlign w:val="baseline"/>
                      <w:lang w:val="en-US" w:eastAsia="zh-CN"/>
                    </w:rPr>
                    <w:t>在直观可视范围内；不在地质灾害危险区；未开采、选冶金矿和土法冶炼汞、砷、铅、锌、焦、硫、钒等矿产资源；不属于煤矿。</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3</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限制的矿产资源开发活动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限制在生态功能保护区和自然保护区（过渡区）内开采矿产资源。生态功能保护区内的开采活动必须符合当地的环境功能区规划，并按规定进行控制性开采，开采活动不得影响本功能区内的主导生态功能。2）限制在地质灾害易发区、水土流失严重区域等生态脆弱区内开采矿产资源</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本项目不在生态功能保护区和自然保护区；经上文分析，本项目的建设符合当地的环境功能区规划；本项目不在地质灾害易发区、水土流失严重区域等生态脆弱区</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4</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矿产资源开发规划</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矿产资源开发应符合国家产业政策要求，选址、布局应符合所在地的区域发展规划。2）矿产资源开发企业应制定矿产资源综合开发规划，并应进行环境影响评价，规划内容包括资源开发利用、生态环境保护、地质灾害防治、水土保持、废弃地复垦等。3）.在矿产资源的开发规划阶段，应对矿区内的生态环境进行充分调查，建立矿区的水文、地质、土壤和动植物等生态环境和人文环境基础状况数据库。同时，应对矿床开采可能产生的区域地质环境问题进行预测和评价。4）矿产资源开发规划阶段还应注重对矿山所在区域生态环境的保护</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符合《产业结构调整指导目录（2024年本）》2023年第7号令；本项目按规范委托新疆瑞新源矿业技术有限公司编制了《矿产资源开发利用与生态保护修复方案》，闭矿后对开采区、矿山道路、废石堆场等进行土地整治及回填表土，恢复生态。</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5</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原环境保护部办公厅发布的2016年《矿山生态环境保护与污染防治技术政策》（征求意见稿）提出</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矿产资源开发利用，选址、布局应符合当地主体功能区划、矿产资源开发利用规划、环境功能区划、生态功能区划等并应考虑景观协调性。应该按照开采规模与资源储量相适应的原则，结合区域生态环境承载力状况，确定合理的开发强度。2）在矿产资源开发规划阶段，应充分调查矿区生态背景，包括非生物因子（气候、土壤、地形、地貌及水文地质等）、生态系统（类型、面积、结构和功能）、生物多样性（物种组成、丰富度及多样性）等，建立矿区生态环境本底数据库。3）在生态脆弱区开展矿山生态修复，应因地制宜选择修复技术。对表土资源缺乏地区，鼓励采取无土生态修复技术；对于干旱地区，宜采取节水生态修复技术、抗旱植物恢复技术、砾石覆盖恢复技术等。4）在干旱缺水地区，宜推广干选或节水型选矿工艺</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根据报告全文分析，本项目选址、布局等符合当地主体功能区划、矿产资源开发利用规划、环境功能区划、生态功能区划等；已委托编制普查报告，调查相关数据；不在生态脆弱区；采用雾炮喷淋降尘。</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color w:val="auto"/>
                <w:sz w:val="24"/>
                <w:szCs w:val="24"/>
                <w:lang w:val="zh-TW"/>
              </w:rPr>
            </w:pPr>
            <w:r>
              <w:rPr>
                <w:rFonts w:hint="default" w:ascii="Times New Roman" w:hAnsi="Times New Roman" w:eastAsia="仿宋" w:cs="Times New Roman"/>
                <w:b/>
                <w:color w:val="auto"/>
                <w:sz w:val="24"/>
                <w:szCs w:val="24"/>
                <w:lang w:val="en-US" w:eastAsia="zh-CN"/>
              </w:rPr>
              <w:t>8</w:t>
            </w:r>
            <w:r>
              <w:rPr>
                <w:rFonts w:hint="default" w:ascii="Times New Roman" w:hAnsi="Times New Roman" w:eastAsia="仿宋" w:cs="Times New Roman"/>
                <w:b/>
                <w:color w:val="auto"/>
                <w:sz w:val="24"/>
                <w:szCs w:val="24"/>
                <w:lang w:val="zh-TW"/>
              </w:rPr>
              <w:t>、</w:t>
            </w:r>
            <w:r>
              <w:rPr>
                <w:rFonts w:hint="default" w:ascii="Times New Roman" w:hAnsi="Times New Roman" w:eastAsia="仿宋" w:cs="Times New Roman"/>
                <w:b/>
                <w:color w:val="auto"/>
                <w:sz w:val="24"/>
                <w:szCs w:val="24"/>
                <w:lang w:val="en-US" w:eastAsia="zh-CN"/>
              </w:rPr>
              <w:t>与</w:t>
            </w:r>
            <w:r>
              <w:rPr>
                <w:rFonts w:hint="default" w:ascii="Times New Roman" w:hAnsi="Times New Roman" w:eastAsia="仿宋" w:cs="Times New Roman"/>
                <w:b/>
                <w:color w:val="auto"/>
                <w:sz w:val="24"/>
                <w:szCs w:val="24"/>
                <w:lang w:val="zh-TW"/>
              </w:rPr>
              <w:t>《新疆维吾尔自治区重点行业环境准入条件（修订）》（2017年1月）符合性分析</w:t>
            </w:r>
          </w:p>
          <w:p>
            <w:pPr>
              <w:autoSpaceDE w:val="0"/>
              <w:autoSpaceDN w:val="0"/>
              <w:adjustRightInd w:val="0"/>
              <w:snapToGrid w:val="0"/>
              <w:ind w:firstLine="420"/>
              <w:rPr>
                <w:rFonts w:hint="default" w:ascii="Times New Roman" w:hAnsi="Times New Roman" w:eastAsia="仿宋" w:cs="Times New Roman"/>
                <w:b/>
                <w:color w:val="auto"/>
                <w:sz w:val="21"/>
                <w:szCs w:val="21"/>
                <w:lang w:val="zh-TW"/>
              </w:rPr>
            </w:pPr>
            <w:r>
              <w:rPr>
                <w:rFonts w:hint="default" w:ascii="Times New Roman" w:hAnsi="Times New Roman" w:eastAsia="仿宋" w:cs="Times New Roman"/>
                <w:color w:val="auto"/>
                <w:kern w:val="0"/>
                <w:sz w:val="24"/>
                <w:szCs w:val="24"/>
              </w:rPr>
              <w:t>本项目与《</w:t>
            </w:r>
            <w:r>
              <w:rPr>
                <w:rFonts w:hint="default" w:ascii="Times New Roman" w:hAnsi="Times New Roman" w:eastAsia="仿宋" w:cs="Times New Roman"/>
                <w:color w:val="auto"/>
                <w:sz w:val="24"/>
                <w:szCs w:val="24"/>
                <w:lang w:val="zh-TW"/>
              </w:rPr>
              <w:t>新疆维吾尔自治区重点行业环境准入条件（修订）》（2017年1月）符合性分析见表1-</w:t>
            </w:r>
            <w:r>
              <w:rPr>
                <w:rFonts w:hint="eastAsia" w:eastAsia="仿宋" w:cs="Times New Roman"/>
                <w:color w:val="auto"/>
                <w:sz w:val="24"/>
                <w:szCs w:val="24"/>
                <w:lang w:val="en-US" w:eastAsia="zh-CN"/>
              </w:rPr>
              <w:t>10</w:t>
            </w:r>
            <w:r>
              <w:rPr>
                <w:rFonts w:hint="default" w:ascii="Times New Roman" w:hAnsi="Times New Roman" w:eastAsia="仿宋" w:cs="Times New Roman"/>
                <w:color w:val="auto"/>
                <w:sz w:val="24"/>
                <w:szCs w:val="24"/>
                <w:lang w:val="zh-TW"/>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sz w:val="21"/>
                <w:szCs w:val="21"/>
                <w:lang w:val="zh-TW"/>
              </w:rPr>
              <w:t>表1</w:t>
            </w:r>
            <w:r>
              <w:rPr>
                <w:rFonts w:hint="eastAsia" w:eastAsia="仿宋" w:cs="Times New Roman"/>
                <w:b/>
                <w:color w:val="auto"/>
                <w:sz w:val="21"/>
                <w:szCs w:val="21"/>
                <w:lang w:val="en-US" w:eastAsia="zh-CN"/>
              </w:rPr>
              <w:t>-10</w:t>
            </w:r>
            <w:r>
              <w:rPr>
                <w:rFonts w:hint="default" w:ascii="Times New Roman" w:hAnsi="Times New Roman" w:eastAsia="仿宋" w:cs="Times New Roman"/>
                <w:b/>
                <w:color w:val="auto"/>
                <w:kern w:val="0"/>
                <w:sz w:val="21"/>
                <w:szCs w:val="21"/>
              </w:rPr>
              <w:t>《</w:t>
            </w:r>
            <w:r>
              <w:rPr>
                <w:rFonts w:hint="default" w:ascii="Times New Roman" w:hAnsi="Times New Roman" w:eastAsia="仿宋" w:cs="Times New Roman"/>
                <w:b/>
                <w:color w:val="auto"/>
                <w:sz w:val="21"/>
                <w:szCs w:val="21"/>
                <w:lang w:val="zh-TW"/>
              </w:rPr>
              <w:t>新疆维吾尔自治区重点行业环境准入条件（修订）》符合性分析</w:t>
            </w:r>
          </w:p>
          <w:tbl>
            <w:tblPr>
              <w:tblStyle w:val="25"/>
              <w:tblW w:w="7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344"/>
              <w:gridCol w:w="2771"/>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序号</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现状</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矿石堆场须采用洒水抑尘、设置围挡等措施防治无组织粉尘排放。其大气污染物排放须满足《大气污染物综合排放标准》（GB16297）要求，有行业排放标准的执行行业标准。</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项目</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运输车辆采用篷布遮盖，限速并严禁超载，运矿道路洒水降尘；</w:t>
                  </w:r>
                  <w:r>
                    <w:rPr>
                      <w:rFonts w:hint="eastAsia" w:eastAsia="仿宋" w:cs="Times New Roman"/>
                      <w:color w:val="auto"/>
                      <w:kern w:val="0"/>
                      <w:sz w:val="21"/>
                      <w:szCs w:val="21"/>
                      <w:lang w:val="en-US" w:eastAsia="zh-CN"/>
                    </w:rPr>
                    <w:t>堆场</w:t>
                  </w:r>
                  <w:r>
                    <w:rPr>
                      <w:rFonts w:hint="eastAsia" w:eastAsia="仿宋" w:cs="Times New Roman"/>
                      <w:color w:val="auto"/>
                      <w:kern w:val="0"/>
                      <w:sz w:val="21"/>
                      <w:szCs w:val="21"/>
                      <w:vertAlign w:val="baseline"/>
                      <w:lang w:val="en-US" w:eastAsia="zh-CN"/>
                    </w:rPr>
                    <w:t>采取防尘网苫盖</w:t>
                  </w:r>
                  <w:r>
                    <w:rPr>
                      <w:rFonts w:hint="default" w:ascii="Times New Roman" w:hAnsi="Times New Roman" w:eastAsia="仿宋" w:cs="Times New Roman"/>
                      <w:color w:val="auto"/>
                      <w:kern w:val="0"/>
                      <w:sz w:val="21"/>
                      <w:szCs w:val="21"/>
                      <w:vertAlign w:val="baseline"/>
                      <w:lang w:val="en-US" w:eastAsia="zh-CN"/>
                    </w:rPr>
                    <w:t>，洒水保湿</w:t>
                  </w:r>
                  <w:r>
                    <w:rPr>
                      <w:rFonts w:hint="default" w:ascii="Times New Roman" w:hAnsi="Times New Roman" w:eastAsia="仿宋" w:cs="Times New Roman"/>
                      <w:color w:val="auto"/>
                      <w:kern w:val="0"/>
                      <w:sz w:val="21"/>
                      <w:szCs w:val="21"/>
                    </w:rPr>
                    <w:t>，堆场按照《工业料堆场扬尘整治规范</w:t>
                  </w:r>
                  <w:r>
                    <w:rPr>
                      <w:rFonts w:hint="eastAsia"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（DB65/T4064-2017）建设，厂界颗粒物排放满足《大气污染物综合排放标准》（GB16297-1996）要求</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严禁未经处理采矿废水直接排放，禁止利用渗井、渗坑、裂隙和溶洞等排放废水。在干旱缺水地区，鼓励将外排矿坑水处理达标后用于农林灌溉，生活污水处理达标后尽量综合利用。</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highlight w:val="none"/>
                    </w:rPr>
                    <w:t>本项目生产过程中无生产废水产生，</w:t>
                  </w:r>
                  <w:r>
                    <w:rPr>
                      <w:rFonts w:hint="default" w:ascii="Times New Roman" w:hAnsi="Times New Roman" w:eastAsia="仿宋" w:cs="Times New Roman"/>
                      <w:color w:val="auto"/>
                      <w:kern w:val="0"/>
                      <w:sz w:val="21"/>
                      <w:szCs w:val="21"/>
                      <w:highlight w:val="none"/>
                      <w:lang w:val="en-US" w:eastAsia="zh-CN"/>
                    </w:rPr>
                    <w:t>食堂废水经隔油处理后与其他生活污水暂存于化粪池，定期委托个人由吸污泵车拉运至鄯善县污水处理厂处置</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噪声排放执行《工业企业厂界环境噪声排放标准》（GB12348-2008）中2类标准要求。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本项目厂界噪声均可满足《工业企业厂界环境噪声排放标准》(GB12348)2类标准要求。</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采矿活动产生的固体废物，推广利用采矿固体废物加工生产建筑材料及制品技术，固体废物综合利用率≥30%，无法利用的必须使用专用场所堆放，并采取有效措施防止二次环境污染及诱发次生地质灾害，固体废物处置100%。废石堆场按《一般工业固体废物贮存、处置场污染控制标准》(GB18599</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要求建设，矿区废石场集中设置、避免同一矿区设置多处废石场。废石按GB5086规定的方法进行浸出及腐蚀性鉴别试验，其结果确定为Ⅱ类一般工业固废的，其堆场采取防渗技术措施。生活垃圾实现100%无害化处置。</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本项目废砂石待闭矿期用于采坑回填；生活垃圾</w:t>
                  </w:r>
                  <w:r>
                    <w:rPr>
                      <w:rFonts w:hint="default" w:ascii="Times New Roman" w:hAnsi="Times New Roman" w:eastAsia="仿宋" w:cs="Times New Roman"/>
                      <w:color w:val="auto"/>
                      <w:kern w:val="0"/>
                      <w:sz w:val="21"/>
                      <w:szCs w:val="21"/>
                      <w:lang w:val="en-US" w:eastAsia="zh-CN"/>
                    </w:rPr>
                    <w:t>收集后</w:t>
                  </w:r>
                  <w:r>
                    <w:rPr>
                      <w:rFonts w:hint="default" w:ascii="Times New Roman" w:hAnsi="Times New Roman" w:eastAsia="仿宋" w:cs="Times New Roman"/>
                      <w:color w:val="auto"/>
                      <w:kern w:val="0"/>
                      <w:sz w:val="21"/>
                      <w:szCs w:val="21"/>
                    </w:rPr>
                    <w:t>统一交由环卫部门处置</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废机油按要求在矿区收集、暂存后交由有资质的单位处理处置</w:t>
                  </w:r>
                  <w:r>
                    <w:rPr>
                      <w:rFonts w:hint="default" w:ascii="Times New Roman" w:hAnsi="Times New Roman" w:eastAsia="仿宋" w:cs="Times New Roman"/>
                      <w:color w:val="auto"/>
                      <w:szCs w:val="21"/>
                      <w:lang w:val="en-US" w:eastAsia="zh-CN"/>
                    </w:rPr>
                    <w:t>。</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新建、改（扩）建矿山应在矿山开采前完成《矿山生态环境保护与恢复治理方案》编制工作。对位于荒漠和风沙区矿产资源开发应避开易发生风蚀和生态退化地带；</w:t>
                  </w:r>
                  <w:r>
                    <w:rPr>
                      <w:rFonts w:hint="default" w:ascii="Times New Roman" w:hAnsi="Times New Roman" w:eastAsia="仿宋" w:cs="Times New Roman"/>
                      <w:color w:val="auto"/>
                      <w:kern w:val="0"/>
                      <w:sz w:val="21"/>
                      <w:szCs w:val="21"/>
                      <w:lang w:eastAsia="zh-CN"/>
                    </w:rPr>
                    <w:t>废石堆场</w:t>
                  </w:r>
                  <w:r>
                    <w:rPr>
                      <w:rFonts w:hint="default" w:ascii="Times New Roman" w:hAnsi="Times New Roman" w:eastAsia="仿宋" w:cs="Times New Roman"/>
                      <w:color w:val="auto"/>
                      <w:kern w:val="0"/>
                      <w:sz w:val="21"/>
                      <w:szCs w:val="21"/>
                    </w:rPr>
                    <w:t>、料场等场地应采取围挡和覆盖等防风蚀措施。水蚀敏感区矿产资源开发应科学设置露天采场、</w:t>
                  </w:r>
                  <w:r>
                    <w:rPr>
                      <w:rFonts w:hint="default" w:ascii="Times New Roman" w:hAnsi="Times New Roman" w:eastAsia="仿宋" w:cs="Times New Roman"/>
                      <w:color w:val="auto"/>
                      <w:kern w:val="0"/>
                      <w:sz w:val="21"/>
                      <w:szCs w:val="21"/>
                      <w:lang w:eastAsia="zh-CN"/>
                    </w:rPr>
                    <w:t>废石堆场</w:t>
                  </w:r>
                  <w:r>
                    <w:rPr>
                      <w:rFonts w:hint="default" w:ascii="Times New Roman" w:hAnsi="Times New Roman" w:eastAsia="仿宋" w:cs="Times New Roman"/>
                      <w:color w:val="auto"/>
                      <w:kern w:val="0"/>
                      <w:sz w:val="21"/>
                      <w:szCs w:val="21"/>
                    </w:rPr>
                    <w:t>及料场，并采取边坡防护、工程拦挡等水土保持措施。</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本项目已编制完成《</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rPr>
                    <w:t>》，堆土场、废石堆场采取围挡和遮盖的措施，防止水土流失。</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6</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二）选址与空间布局1.铁路、高速公路、国道、省道等重要交通干线两侧200米范围以内，重要工业区、大型水利工程设施、城镇市政工程设施所在区域，军事管理区、机场、国防工程设施圈定的区域,居民聚集区1千米以内禁止建设非金属矿采选项目。2.伊犁河、额尔齐斯河等重要河流源头区、水环境功能区划为Ⅰ、Ⅱ类和具有饮用功能的Ⅲ类水体岸边1000米以内，其它Ⅲ类水体岸边200米以内，禁止新建或改扩建非金属矿选矿工程，存在山体等阻隔地形或建设人工地下水阻隔设施的，可根据实际情况，在确保不会对水体产生污染影响的前提下适当放宽距离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highlight w:val="none"/>
                    </w:rPr>
                    <w:t>本项目位于</w:t>
                  </w:r>
                  <w:r>
                    <w:rPr>
                      <w:rFonts w:hint="default" w:ascii="Times New Roman" w:hAnsi="Times New Roman" w:eastAsia="仿宋" w:cs="Times New Roman"/>
                      <w:color w:val="auto"/>
                      <w:kern w:val="0"/>
                      <w:sz w:val="21"/>
                      <w:szCs w:val="21"/>
                      <w:highlight w:val="none"/>
                      <w:lang w:val="en-US" w:eastAsia="zh-CN"/>
                    </w:rPr>
                    <w:t>新疆维吾尔自治区吐鲁番地区七克台镇北东56°方向直线距离36.5千米处</w:t>
                  </w:r>
                  <w:r>
                    <w:rPr>
                      <w:rFonts w:hint="default" w:ascii="Times New Roman" w:hAnsi="Times New Roman" w:eastAsia="仿宋" w:cs="Times New Roman"/>
                      <w:color w:val="auto"/>
                      <w:kern w:val="0"/>
                      <w:sz w:val="21"/>
                      <w:szCs w:val="21"/>
                      <w:highlight w:val="none"/>
                      <w:lang w:eastAsia="zh-CN"/>
                    </w:rPr>
                    <w:t>，</w:t>
                  </w:r>
                  <w:r>
                    <w:rPr>
                      <w:rFonts w:hint="eastAsia" w:eastAsia="仿宋" w:cs="Times New Roman"/>
                      <w:color w:val="auto"/>
                      <w:kern w:val="0"/>
                      <w:sz w:val="21"/>
                      <w:szCs w:val="21"/>
                      <w:highlight w:val="none"/>
                      <w:lang w:val="en-US" w:eastAsia="zh-CN"/>
                    </w:rPr>
                    <w:t>距南侧G30京新高速最近距离为1.01km，</w:t>
                  </w:r>
                  <w:r>
                    <w:rPr>
                      <w:rFonts w:hint="default" w:ascii="Times New Roman" w:hAnsi="Times New Roman" w:eastAsia="仿宋" w:cs="Times New Roman"/>
                      <w:color w:val="auto"/>
                      <w:kern w:val="0"/>
                      <w:sz w:val="21"/>
                      <w:szCs w:val="21"/>
                      <w:lang w:val="en-US" w:eastAsia="zh-CN"/>
                    </w:rPr>
                    <w:t>距离高速公路在200米范围外、距离居民聚集区1千米以上；项目周围1000米以内无水体。</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项目建设基本符合《新疆维吾尔自治区重点行业环境准入条件（修订）》（2017年1月）相关要求。</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20" w:firstLineChars="200"/>
              <w:textAlignment w:val="auto"/>
              <w:rPr>
                <w:rFonts w:hint="default" w:ascii="Times New Roman" w:hAnsi="Times New Roman" w:eastAsia="仿宋" w:cs="Times New Roman"/>
                <w:b/>
                <w:bCs/>
                <w:color w:val="auto"/>
                <w:kern w:val="0"/>
                <w:sz w:val="24"/>
                <w:szCs w:val="24"/>
              </w:rPr>
            </w:pPr>
            <w:r>
              <w:rPr>
                <w:rStyle w:val="29"/>
                <w:rFonts w:hint="eastAsia" w:eastAsia="仿宋" w:cs="Times New Roman"/>
                <w:color w:val="auto"/>
                <w:lang w:eastAsia="zh-CN"/>
              </w:rPr>
              <w:tab/>
            </w:r>
            <w:r>
              <w:rPr>
                <w:rFonts w:hint="eastAsia" w:ascii="Times New Roman" w:hAnsi="Times New Roman" w:eastAsia="仿宋" w:cs="Times New Roman"/>
                <w:b/>
                <w:bCs/>
                <w:color w:val="auto"/>
                <w:kern w:val="0"/>
                <w:sz w:val="24"/>
                <w:szCs w:val="24"/>
                <w:lang w:val="en-US" w:eastAsia="zh-CN"/>
              </w:rPr>
              <w:t>9、</w:t>
            </w:r>
            <w:r>
              <w:rPr>
                <w:rFonts w:hint="default" w:ascii="Times New Roman" w:hAnsi="Times New Roman" w:eastAsia="仿宋" w:cs="Times New Roman"/>
                <w:b/>
                <w:bCs/>
                <w:color w:val="auto"/>
                <w:kern w:val="0"/>
                <w:sz w:val="24"/>
                <w:szCs w:val="24"/>
              </w:rPr>
              <w:t>与《吐鲁番市国民经济和社会发展第十四个五年规划和2035年远景目标纲要》的符合性分析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吐鲁番市国民经济和社会发展第十四个五年规划和2035年远景目标纲要》：深入贯彻落实矿业权出让制度改革，用活用足矿业权出让制度改革相关政策规定，提高矿产资源勘查开发力度，在东天山多金属等优势矿种和重点成矿带上实现找矿新突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rPr>
              <w:t>本项目为</w:t>
            </w:r>
            <w:r>
              <w:rPr>
                <w:rFonts w:hint="eastAsia"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开采，矿区位于</w:t>
            </w:r>
            <w:r>
              <w:rPr>
                <w:rFonts w:hint="default" w:ascii="Times New Roman" w:hAnsi="Times New Roman" w:eastAsia="仿宋" w:cs="Times New Roman"/>
                <w:color w:val="auto"/>
                <w:kern w:val="0"/>
                <w:sz w:val="24"/>
                <w:szCs w:val="24"/>
                <w:lang w:val="en-US" w:eastAsia="zh-CN"/>
              </w:rPr>
              <w:t>新疆维吾尔自治区吐鲁番地区鄯善县七克台镇北东56°方向直线距离36.5千米处</w:t>
            </w:r>
            <w:r>
              <w:rPr>
                <w:rFonts w:hint="eastAsia"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本项目建设符合《吐鲁番市国民经济和社会发展第十四个五年规划和2035年远景目标纲要》中的相关要求</w:t>
            </w:r>
            <w:r>
              <w:rPr>
                <w:rFonts w:hint="eastAsia" w:ascii="Times New Roman" w:hAnsi="Times New Roman" w:eastAsia="仿宋" w:cs="Times New Roman"/>
                <w:color w:val="auto"/>
                <w:kern w:val="0"/>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eastAsia" w:ascii="Times New Roman" w:hAnsi="Times New Roman" w:eastAsia="仿宋" w:cs="Times New Roman"/>
                <w:b/>
                <w:bCs/>
                <w:color w:val="auto"/>
                <w:kern w:val="0"/>
                <w:sz w:val="24"/>
                <w:szCs w:val="24"/>
                <w:lang w:val="en-US" w:eastAsia="zh-CN"/>
              </w:rPr>
              <w:t>10、</w:t>
            </w:r>
            <w:r>
              <w:rPr>
                <w:rFonts w:hint="default" w:ascii="Times New Roman" w:hAnsi="Times New Roman" w:eastAsia="仿宋" w:cs="Times New Roman"/>
                <w:b/>
                <w:bCs/>
                <w:color w:val="auto"/>
                <w:kern w:val="0"/>
                <w:sz w:val="24"/>
                <w:szCs w:val="24"/>
              </w:rPr>
              <w:t>与《新疆维吾尔自治区国民经济和社会发展第十四个五年规划和2035年远景目标纲要》的符合性分析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新疆维吾尔自治区国民经济和社会发展第十四个五年规划和2035年远景目标纲要》：坚持把发展经济着力点放在实体经济上，深化工业供给侧结构性改革，推动工业强基增效和转型升级，全面提升新型工业化发展水平。积极发展有色工业。推进铝、铜、镍、镁等有色金属下游产业链延伸，培育铜镍、铜铝、铜镁、硅铝、铍铜等合金产业，推动汽车、铁路、航天、航海等行业应用有色新材料，打造全国重要的有色金属产业基地。加快发展新材料产业。积极发展硅基、铝基、碳基、锆基、铜基、钛基、稀有金属、化工、生物基等新材料及复合新材料、前沿新材料，提升新材料产业集群和产业协同效应。按照“深化北疆东疆，加快南疆勘查”的总体思路，开展重点成矿区带地质调查和矿产勘查，做好矿产资源开发利用储备。贯彻新发展理念，建设绿色矿山，实现可持续发展。大力发展绿色矿业，提高矿产资源开采回采率、选矿回收率和综合利用率。</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本项目为</w:t>
            </w:r>
            <w:r>
              <w:rPr>
                <w:rFonts w:hint="eastAsia"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开采项目，符合《新疆维吾尔自治区国民经济和社会发展第十四个五年规划和2035年远景目标纲要》要求。</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lang w:val="en-US" w:eastAsia="zh-CN"/>
              </w:rPr>
            </w:pPr>
            <w:r>
              <w:rPr>
                <w:rFonts w:hint="eastAsia" w:ascii="Times New Roman" w:hAnsi="Times New Roman" w:eastAsia="仿宋" w:cs="Times New Roman"/>
                <w:b/>
                <w:bCs/>
                <w:color w:val="auto"/>
                <w:kern w:val="0"/>
                <w:sz w:val="24"/>
                <w:szCs w:val="24"/>
                <w:lang w:val="en-US" w:eastAsia="zh-CN"/>
              </w:rPr>
              <w:t>11、与《新疆维吾尔自治区鄯善县矿产资源总体规划（2021-2025年）》符合性</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b w:val="0"/>
                <w:bCs w:val="0"/>
                <w:color w:val="auto"/>
                <w:kern w:val="0"/>
                <w:sz w:val="24"/>
                <w:szCs w:val="24"/>
                <w:lang w:val="en-US" w:eastAsia="zh-CN"/>
              </w:rPr>
              <w:t xml:space="preserve">新疆维吾尔自治区鄯善县矿产资源总体规划（2021-2025年）提出“新建和生产矿山做到资源开发和环境保护并重，矿山地质环境得到同步治理，历史遗留废弃工矿用地的生态修复持续有序进行。建立健全矿山生态环境保护修复监管信息系统，完善矿山地质环境动态监测体系建设。矿山地质环境保护与治理恢复责任机制得到全面落实，矿山企业必须依法履行矿山地质环境保护与土地复垦义务，加强对矿山环境保护与治理规划执行情况的监督管理”、“严格执行绿色勘查规范，全面实施绿色勘查。牢固树立绿色发展理念，将绿色发展理念贯穿于勘查活动的全过程，将保护生态环境作为勘查活动中应尽的义务和责任”、“矿山建设须符合规模化、集约化的原则。编制有《矿山开采设计方案》并通过评审。矿山企业要严格按矿山设计所规定的矿山“三率”指标进行生产，积极依靠科技进步提高采、选、冶技术水平和装备水平，加强对共(伴)矿产的综合利用，提高资源.......”。  </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b/>
                <w:bCs/>
                <w:color w:val="auto"/>
                <w:kern w:val="0"/>
                <w:sz w:val="24"/>
                <w:szCs w:val="24"/>
                <w:lang w:val="en-US" w:eastAsia="zh-CN"/>
              </w:rPr>
            </w:pPr>
            <w:r>
              <w:rPr>
                <w:rFonts w:hint="default" w:ascii="Times New Roman" w:hAnsi="Times New Roman" w:eastAsia="仿宋" w:cs="Times New Roman"/>
                <w:color w:val="auto"/>
                <w:kern w:val="0"/>
                <w:sz w:val="24"/>
                <w:szCs w:val="24"/>
              </w:rPr>
              <w:t>本项目为</w:t>
            </w:r>
            <w:r>
              <w:rPr>
                <w:rFonts w:hint="eastAsia"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开采项目，已编制完成《</w:t>
            </w:r>
            <w:r>
              <w:rPr>
                <w:rFonts w:hint="default" w:ascii="Times New Roman" w:hAnsi="Times New Roman" w:eastAsia="仿宋" w:cs="Times New Roman"/>
                <w:color w:val="auto"/>
                <w:kern w:val="0"/>
                <w:sz w:val="24"/>
                <w:szCs w:val="24"/>
                <w:lang w:val="en-US" w:eastAsia="zh-CN"/>
              </w:rPr>
              <w:t>矿产资源开发利用与生态保护修复方案</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已加强矿山生态恢复和环境治理；对运营过程中的废气、废水等提出污染防治措施</w:t>
            </w:r>
            <w:r>
              <w:rPr>
                <w:rFonts w:hint="eastAsia" w:ascii="Times New Roman" w:hAnsi="Times New Roman" w:eastAsia="仿宋" w:cs="Times New Roman"/>
                <w:color w:val="auto"/>
                <w:kern w:val="0"/>
                <w:sz w:val="24"/>
                <w:szCs w:val="24"/>
                <w:lang w:val="en-US" w:eastAsia="zh-CN"/>
              </w:rPr>
              <w:t>，因此，本项目符合《新疆维吾尔自治区鄯善县矿产资源总体规划（2021-2025年）》。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eastAsia" w:ascii="Times New Roman" w:hAnsi="Times New Roman" w:eastAsia="仿宋" w:cs="Times New Roman"/>
                <w:b/>
                <w:bCs/>
                <w:color w:val="auto"/>
                <w:kern w:val="0"/>
                <w:sz w:val="24"/>
                <w:szCs w:val="24"/>
                <w:lang w:val="en-US" w:eastAsia="zh-CN"/>
              </w:rPr>
              <w:t>12、</w:t>
            </w:r>
            <w:r>
              <w:rPr>
                <w:rFonts w:hint="default" w:ascii="Times New Roman" w:hAnsi="Times New Roman" w:eastAsia="仿宋" w:cs="Times New Roman"/>
                <w:b/>
                <w:bCs/>
                <w:color w:val="auto"/>
                <w:kern w:val="0"/>
                <w:sz w:val="24"/>
                <w:szCs w:val="24"/>
              </w:rPr>
              <w:t>与《新疆生态环境保护“十四五”规划》的符合性分析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val="0"/>
                <w:bCs w:val="0"/>
                <w:color w:val="auto"/>
                <w:kern w:val="0"/>
                <w:sz w:val="24"/>
                <w:szCs w:val="24"/>
              </w:rPr>
              <w:t>根据2022年1月14日新疆维吾尔自治区人民政府发布的《新疆生态环境保护“十四五”规划》中对矿山开采的相关要求，本项目与其相符性如下：</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22" w:firstLineChars="200"/>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表</w:t>
            </w:r>
            <w:r>
              <w:rPr>
                <w:rFonts w:hint="eastAsia" w:ascii="Times New Roman" w:hAnsi="Times New Roman" w:eastAsia="仿宋" w:cs="Times New Roman"/>
                <w:b/>
                <w:bCs/>
                <w:color w:val="auto"/>
                <w:kern w:val="0"/>
                <w:sz w:val="21"/>
                <w:szCs w:val="21"/>
                <w:lang w:val="en-US" w:eastAsia="zh-CN"/>
              </w:rPr>
              <w:t xml:space="preserve">1-11  </w:t>
            </w:r>
            <w:r>
              <w:rPr>
                <w:rFonts w:hint="default" w:ascii="Times New Roman" w:hAnsi="Times New Roman" w:eastAsia="仿宋" w:cs="Times New Roman"/>
                <w:b/>
                <w:bCs/>
                <w:color w:val="auto"/>
                <w:kern w:val="0"/>
                <w:sz w:val="21"/>
                <w:szCs w:val="21"/>
              </w:rPr>
              <w:t>相关技术政策符合性</w:t>
            </w:r>
          </w:p>
          <w:tbl>
            <w:tblPr>
              <w:tblStyle w:val="26"/>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700"/>
              <w:gridCol w:w="211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类别</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规划要求</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rPr>
                    <w:t>本项目</w:t>
                  </w:r>
                  <w:r>
                    <w:rPr>
                      <w:rFonts w:hint="eastAsia" w:ascii="Times New Roman" w:hAnsi="Times New Roman" w:eastAsia="仿宋" w:cs="Times New Roman"/>
                      <w:b w:val="0"/>
                      <w:bCs w:val="0"/>
                      <w:color w:val="auto"/>
                      <w:kern w:val="0"/>
                      <w:sz w:val="21"/>
                      <w:szCs w:val="21"/>
                      <w:lang w:val="en-US" w:eastAsia="zh-CN"/>
                    </w:rPr>
                    <w:t>情况</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绿</w:t>
                  </w:r>
                  <w:r>
                    <w:rPr>
                      <w:rFonts w:hint="default" w:ascii="Times New Roman" w:hAnsi="Times New Roman" w:eastAsia="仿宋" w:cs="Times New Roman"/>
                      <w:b w:val="0"/>
                      <w:bCs w:val="0"/>
                      <w:color w:val="auto"/>
                      <w:kern w:val="0"/>
                      <w:sz w:val="21"/>
                      <w:szCs w:val="21"/>
                    </w:rPr>
                    <w:t>色矿山建设</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全面推进绿色矿山建设，规范绿色矿山第三方评估，推广矿产资源节约与综合利用先进技术。</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本项目建设过程中，严格按照绿色矿山要求进行建设。</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大</w:t>
                  </w:r>
                  <w:r>
                    <w:rPr>
                      <w:rFonts w:hint="default" w:ascii="Times New Roman" w:hAnsi="Times New Roman" w:eastAsia="仿宋" w:cs="Times New Roman"/>
                      <w:b w:val="0"/>
                      <w:bCs w:val="0"/>
                      <w:color w:val="auto"/>
                      <w:kern w:val="0"/>
                      <w:sz w:val="21"/>
                      <w:szCs w:val="21"/>
                    </w:rPr>
                    <w:t>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充分运用新型、高效的防尘、降尘、除尘技术，加强矿山粉尘治理。</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粉尘采用洒水抑尘的措施。</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水</w:t>
                  </w:r>
                  <w:r>
                    <w:rPr>
                      <w:rFonts w:hint="default" w:ascii="Times New Roman" w:hAnsi="Times New Roman" w:eastAsia="仿宋" w:cs="Times New Roman"/>
                      <w:b w:val="0"/>
                      <w:bCs w:val="0"/>
                      <w:color w:val="auto"/>
                      <w:kern w:val="0"/>
                      <w:sz w:val="21"/>
                      <w:szCs w:val="21"/>
                    </w:rPr>
                    <w:t>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推进地表水与地下水协同防治。统筹区域地表水、地下水生态环境监管。以傍河型地下水饮用水水源为重点，防范受污染河段侧渗和垂直补给对地下水污染。加强化学品生产企业、工业聚集区、矿山开采区等污染源的地表、地下协同防治与环境风险管控。</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重点区域均按要求进行防渗。</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土</w:t>
                  </w:r>
                  <w:r>
                    <w:rPr>
                      <w:rFonts w:hint="default" w:ascii="Times New Roman" w:hAnsi="Times New Roman" w:eastAsia="仿宋" w:cs="Times New Roman"/>
                      <w:b w:val="0"/>
                      <w:bCs w:val="0"/>
                      <w:color w:val="auto"/>
                      <w:kern w:val="0"/>
                      <w:sz w:val="21"/>
                      <w:szCs w:val="21"/>
                    </w:rPr>
                    <w:t>壤环境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防范工矿企业土壤污染。结合重点行业企业用地土壤污染状况调查成果，完善土壤污染重点监管单位名录，探索建立地下水污染重点监管单位名录，在排污许可证中载明土壤和地下水污染防治要求。鼓励土壤污染重点监管单位实施提标改造。定期对土壤污染重点监管单位和地下水污染重点监管单位周边土壤、地下水开展监测。督促重点行业企业定期开展土壤及地下水环境自行监测、污染隐患排查。</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本项目为</w:t>
                  </w:r>
                  <w:r>
                    <w:rPr>
                      <w:rFonts w:hint="eastAsia" w:ascii="Times New Roman" w:hAnsi="Times New Roman" w:eastAsia="仿宋" w:cs="Times New Roman"/>
                      <w:b w:val="0"/>
                      <w:bCs w:val="0"/>
                      <w:color w:val="auto"/>
                      <w:kern w:val="0"/>
                      <w:sz w:val="21"/>
                      <w:szCs w:val="21"/>
                      <w:lang w:val="en-US" w:eastAsia="zh-CN"/>
                    </w:rPr>
                    <w:t>建筑砂石</w:t>
                  </w:r>
                  <w:r>
                    <w:rPr>
                      <w:rFonts w:hint="default" w:ascii="Times New Roman" w:hAnsi="Times New Roman" w:eastAsia="仿宋" w:cs="Times New Roman"/>
                      <w:b w:val="0"/>
                      <w:bCs w:val="0"/>
                      <w:color w:val="auto"/>
                      <w:kern w:val="0"/>
                      <w:sz w:val="21"/>
                      <w:szCs w:val="21"/>
                    </w:rPr>
                    <w:t>开采项目，不属于土壤污染重点监管单位，根据土壤现状监测报告，矿区占地范围内、外土壤污染物均未达到筛选值标准，土壤环境良好。环评要求采取防渗等措施防止开采活动对土壤及地下水的污染。</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风险</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强化重点区域地下水环境风险管控。对化学品生产企业、工业集聚区、尾矿库、矿山开采区、危险废物处置场、垃圾填埋场等地下水污染源及周边区域，逐步开展地下水环境状况调查评估，加强风险管控。</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环评提出</w:t>
                  </w:r>
                  <w:r>
                    <w:rPr>
                      <w:rFonts w:hint="default" w:ascii="Times New Roman" w:hAnsi="Times New Roman" w:eastAsia="仿宋" w:cs="Times New Roman"/>
                      <w:b w:val="0"/>
                      <w:bCs w:val="0"/>
                      <w:color w:val="auto"/>
                      <w:kern w:val="0"/>
                      <w:sz w:val="21"/>
                      <w:szCs w:val="21"/>
                    </w:rPr>
                    <w:t>强化重点区域地下水环境风险管控。</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bl>
          <w:p>
            <w:pPr>
              <w:pStyle w:val="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right="0" w:rightChars="0"/>
              <w:textAlignment w:val="auto"/>
              <w:rPr>
                <w:rFonts w:hint="eastAsia"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13、与《中华人民共和国大气污染防治法》符合性分析</w:t>
            </w:r>
          </w:p>
          <w:p>
            <w:pPr>
              <w:pStyle w:val="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ascii="Times New Roman" w:hAnsi="Times New Roman" w:eastAsia="仿宋" w:cs="Times New Roman"/>
                <w:b w:val="0"/>
                <w:bCs w:val="0"/>
                <w:color w:val="auto"/>
                <w:kern w:val="0"/>
                <w:sz w:val="24"/>
                <w:szCs w:val="24"/>
                <w:lang w:eastAsia="zh-CN"/>
              </w:rPr>
            </w:pPr>
            <w:r>
              <w:rPr>
                <w:rFonts w:hint="eastAsia" w:ascii="Times New Roman" w:hAnsi="Times New Roman" w:eastAsia="仿宋" w:cs="Times New Roman"/>
                <w:b w:val="0"/>
                <w:bCs w:val="0"/>
                <w:color w:val="auto"/>
                <w:kern w:val="0"/>
                <w:sz w:val="24"/>
                <w:szCs w:val="24"/>
                <w:lang w:val="en-US" w:eastAsia="zh-CN"/>
              </w:rPr>
              <w:t>《中华人民共和国大气污染防治法》</w:t>
            </w:r>
            <w:r>
              <w:rPr>
                <w:rFonts w:hint="eastAsia" w:ascii="Times New Roman" w:hAnsi="Times New Roman" w:eastAsia="仿宋" w:cs="Times New Roman"/>
                <w:b w:val="0"/>
                <w:bCs w:val="0"/>
                <w:color w:val="auto"/>
                <w:kern w:val="0"/>
                <w:sz w:val="24"/>
                <w:szCs w:val="24"/>
                <w:lang w:eastAsia="zh-CN"/>
              </w:rPr>
              <w:t>（13届人大第6次会议）</w:t>
            </w:r>
            <w:r>
              <w:rPr>
                <w:rFonts w:hint="eastAsia" w:ascii="Times New Roman" w:hAnsi="Times New Roman" w:eastAsia="仿宋" w:cs="Times New Roman"/>
                <w:b w:val="0"/>
                <w:bCs w:val="0"/>
                <w:color w:val="auto"/>
                <w:kern w:val="0"/>
                <w:sz w:val="24"/>
                <w:szCs w:val="24"/>
                <w:lang w:val="en-US" w:eastAsia="zh-CN"/>
              </w:rPr>
              <w:t>提出</w:t>
            </w:r>
            <w:r>
              <w:rPr>
                <w:rFonts w:hint="eastAsia"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rPr>
              <w:t>运输煤炭、垃圾、渣土、砂石、土方、灰浆等散装、流体物料的车辆应当采取密闭或者其他措施防止物料遗撒造成扬尘污染，并按照规定路线行驶</w:t>
            </w:r>
            <w:r>
              <w:rPr>
                <w:rFonts w:hint="eastAsia"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rPr>
              <w:t>装卸物料应当采取密闭或者喷淋等方式防治扬尘污染</w:t>
            </w:r>
            <w:r>
              <w:rPr>
                <w:rFonts w:hint="eastAsia" w:ascii="Times New Roman" w:hAnsi="Times New Roman" w:eastAsia="仿宋" w:cs="Times New Roman"/>
                <w:b w:val="0"/>
                <w:bCs w:val="0"/>
                <w:color w:val="auto"/>
                <w:kern w:val="0"/>
                <w:sz w:val="24"/>
                <w:szCs w:val="24"/>
                <w:lang w:eastAsia="zh-CN"/>
              </w:rPr>
              <w:t>”、“贮存煤炭、煤矸石、煤渣、煤灰、水泥、石灰、石膏、砂土等易产生扬尘的物料应当密闭；不能密闭的，应当设置不低于堆放物高度的严密围挡，并采取有效覆盖措施防治扬尘污染”、“码头、矿山、填埋场和消纳场应当实施分区作业，并采取有效措施防治扬尘污染</w:t>
            </w:r>
            <w:r>
              <w:rPr>
                <w:rFonts w:hint="eastAsia" w:ascii="Times New Roman" w:hAnsi="Times New Roman" w:eastAsia="仿宋" w:cs="Times New Roman"/>
                <w:b w:val="0"/>
                <w:bCs w:val="0"/>
                <w:color w:val="auto"/>
                <w:kern w:val="0"/>
                <w:sz w:val="24"/>
                <w:szCs w:val="24"/>
                <w:lang w:val="en-US" w:eastAsia="zh-CN"/>
              </w:rPr>
              <w:t>......</w:t>
            </w:r>
            <w:r>
              <w:rPr>
                <w:rFonts w:hint="eastAsia" w:ascii="Times New Roman" w:hAnsi="Times New Roman" w:eastAsia="仿宋" w:cs="Times New Roman"/>
                <w:b w:val="0"/>
                <w:bCs w:val="0"/>
                <w:color w:val="auto"/>
                <w:kern w:val="0"/>
                <w:sz w:val="24"/>
                <w:szCs w:val="24"/>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eastAsia="zh-CN"/>
              </w:rPr>
              <w:t>本项目</w:t>
            </w:r>
            <w:r>
              <w:rPr>
                <w:rFonts w:hint="eastAsia" w:ascii="Times New Roman" w:hAnsi="Times New Roman" w:eastAsia="仿宋" w:cs="Times New Roman"/>
                <w:b w:val="0"/>
                <w:bCs w:val="0"/>
                <w:color w:val="auto"/>
                <w:kern w:val="0"/>
                <w:sz w:val="24"/>
                <w:szCs w:val="24"/>
                <w:lang w:val="en-US" w:eastAsia="zh-CN"/>
              </w:rPr>
              <w:t>为建筑砂石开采</w:t>
            </w:r>
            <w:r>
              <w:rPr>
                <w:rFonts w:hint="eastAsia" w:ascii="Times New Roman" w:hAnsi="Times New Roman" w:eastAsia="仿宋" w:cs="Times New Roman"/>
                <w:b w:val="0"/>
                <w:bCs w:val="0"/>
                <w:color w:val="auto"/>
                <w:kern w:val="0"/>
                <w:sz w:val="24"/>
                <w:szCs w:val="24"/>
                <w:lang w:eastAsia="zh-CN"/>
              </w:rPr>
              <w:t>，</w:t>
            </w:r>
            <w:r>
              <w:rPr>
                <w:rFonts w:hint="eastAsia" w:ascii="Times New Roman" w:hAnsi="Times New Roman" w:eastAsia="仿宋" w:cs="Times New Roman"/>
                <w:b w:val="0"/>
                <w:bCs w:val="0"/>
                <w:color w:val="auto"/>
                <w:kern w:val="0"/>
                <w:sz w:val="24"/>
                <w:szCs w:val="24"/>
                <w:lang w:val="en-US" w:eastAsia="zh-CN"/>
              </w:rPr>
              <w:t>环评提出开采及装卸过程拟采取洒水降尘；运输道路洒水降尘，运输车辆篷布遮盖，限速等措施降低扬尘污染，采取上述措施后，本项目符合《中华人民共和国大气污染防治法》。</w:t>
            </w:r>
          </w:p>
          <w:p>
            <w:pPr>
              <w:ind w:firstLine="722" w:firstLineChars="0"/>
              <w:rPr>
                <w:rFonts w:hint="default"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14、与《环境空气细颗粒物污染综合防治技术政策》符合性</w:t>
            </w:r>
          </w:p>
          <w:p>
            <w:pP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《环境空气细颗粒物污染综合防治技术政策》</w:t>
            </w:r>
            <w:r>
              <w:rPr>
                <w:rFonts w:hint="default" w:ascii="Times New Roman" w:hAnsi="Times New Roman" w:eastAsia="仿宋" w:cs="Times New Roman"/>
                <w:b w:val="0"/>
                <w:bCs w:val="0"/>
                <w:color w:val="auto"/>
                <w:kern w:val="0"/>
                <w:sz w:val="24"/>
                <w:szCs w:val="24"/>
                <w:lang w:val="en-US" w:eastAsia="zh-CN" w:bidi="ar-SA"/>
              </w:rPr>
              <w:t>公告2013年第59号</w:t>
            </w:r>
            <w:r>
              <w:rPr>
                <w:rFonts w:hint="eastAsia" w:ascii="Times New Roman" w:hAnsi="Times New Roman" w:eastAsia="仿宋" w:cs="Times New Roman"/>
                <w:b w:val="0"/>
                <w:bCs w:val="0"/>
                <w:color w:val="auto"/>
                <w:kern w:val="0"/>
                <w:sz w:val="24"/>
                <w:szCs w:val="24"/>
                <w:lang w:val="en-US" w:eastAsia="zh-CN" w:bidi="ar-SA"/>
              </w:rPr>
              <w:t xml:space="preserve">提出“产生大气颗粒物及其前体物污染物的生产活动应尽量 采用密闭装置，避免无组织排放；无法完全密闭的，应安装集气装 置收集逸散的污染物，经净化后排放”、“对各种施工工地、各种粉状物料贮存场、各种港口 装卸码头等，应采取设置围挡墙、防尘网和喷洒抑尘剂等有效的防 尘、抑尘措施，防止颗粒物逸散；设置车辆清洗装置，保持上路行 驶车辆的清洁；鼓励各类土建工程使用预搅拌的商品混凝土”、“实行粉状物料及渣土车辆密闭运输，加强监管，防 止遗撒。及时进行道路清扫、冲洗、洒水作业，减少道路扬尘。规 范园林绿化设计和施工管理，防止园林绿地土壤向道路流失.....”。 </w:t>
            </w:r>
          </w:p>
          <w:p>
            <w:pPr>
              <w:pStyle w:val="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Style w:val="29"/>
                <w:rFonts w:hint="default" w:eastAsia="仿宋" w:cs="Times New Roman"/>
                <w:color w:val="auto"/>
                <w:lang w:val="en-US" w:eastAsia="zh-CN"/>
              </w:rPr>
            </w:pPr>
            <w:r>
              <w:rPr>
                <w:rFonts w:hint="eastAsia" w:ascii="Times New Roman" w:hAnsi="Times New Roman" w:eastAsia="仿宋" w:cs="Times New Roman"/>
                <w:b w:val="0"/>
                <w:bCs w:val="0"/>
                <w:color w:val="auto"/>
                <w:kern w:val="0"/>
                <w:sz w:val="24"/>
                <w:szCs w:val="24"/>
                <w:lang w:eastAsia="zh-CN"/>
              </w:rPr>
              <w:t>本项目</w:t>
            </w:r>
            <w:r>
              <w:rPr>
                <w:rFonts w:hint="eastAsia" w:ascii="Times New Roman" w:hAnsi="Times New Roman" w:eastAsia="仿宋" w:cs="Times New Roman"/>
                <w:b w:val="0"/>
                <w:bCs w:val="0"/>
                <w:color w:val="auto"/>
                <w:kern w:val="0"/>
                <w:sz w:val="24"/>
                <w:szCs w:val="24"/>
                <w:lang w:val="en-US" w:eastAsia="zh-CN"/>
              </w:rPr>
              <w:t>为建筑砂石开采</w:t>
            </w:r>
            <w:r>
              <w:rPr>
                <w:rFonts w:hint="eastAsia" w:ascii="Times New Roman" w:hAnsi="Times New Roman" w:eastAsia="仿宋" w:cs="Times New Roman"/>
                <w:b w:val="0"/>
                <w:bCs w:val="0"/>
                <w:color w:val="auto"/>
                <w:kern w:val="0"/>
                <w:sz w:val="24"/>
                <w:szCs w:val="24"/>
                <w:lang w:eastAsia="zh-CN"/>
              </w:rPr>
              <w:t>，</w:t>
            </w:r>
            <w:r>
              <w:rPr>
                <w:rFonts w:hint="eastAsia" w:ascii="Times New Roman" w:hAnsi="Times New Roman" w:eastAsia="仿宋" w:cs="Times New Roman"/>
                <w:b w:val="0"/>
                <w:bCs w:val="0"/>
                <w:color w:val="auto"/>
                <w:kern w:val="0"/>
                <w:sz w:val="24"/>
                <w:szCs w:val="24"/>
                <w:lang w:val="en-US" w:eastAsia="zh-CN"/>
              </w:rPr>
              <w:t>环评提出开采及装卸过程拟采取洒水降尘；运输道路洒水降尘，运输车辆篷布遮盖，限速等措施降低扬尘污染，采取上述措施后，本项目符合《环境空气细颗粒物污染综合防治技术政策》。</w:t>
            </w:r>
          </w:p>
          <w:p>
            <w:pPr>
              <w:ind w:firstLine="722" w:firstLineChars="0"/>
              <w:rPr>
                <w:rFonts w:hint="default"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15、与《吐鲁番地区国土空间总体规划（2021—2035年）》符合性</w:t>
            </w:r>
          </w:p>
          <w:p>
            <w:pPr>
              <w:rPr>
                <w:rFonts w:hint="eastAsia"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吐鲁番地区国土空间总体规划（2021—2035年）》提出“加强重点矿产资源勘探、保障重要矿产资源安全、强化矿产勘查开发开采的种类及空间管控，规划布局8大国家规划矿区、打造13个矿业经济区重点保障全市重点矿区内的矿产开采、开发用地需求，将其全部纳入矿产能源发展区进行管控”、“推进绿色矿山建设及矿山生态修复。将绿色发展理念贯穿于矿产资源规划、勘查、开发利用与保护全过程，引领和带动传统矿业转型升级，提升矿业发展质量和效益”。</w:t>
            </w:r>
          </w:p>
          <w:p>
            <w:pPr>
              <w:rPr>
                <w:rStyle w:val="29"/>
                <w:rFonts w:hint="eastAsia" w:eastAsia="仿宋" w:cs="Times New Roman"/>
                <w:b/>
                <w:bCs/>
                <w:color w:val="auto"/>
                <w:sz w:val="24"/>
                <w:szCs w:val="21"/>
                <w:lang w:val="en-US" w:eastAsia="zh-CN"/>
              </w:rPr>
            </w:pPr>
            <w:r>
              <w:rPr>
                <w:rFonts w:hint="eastAsia" w:ascii="Times New Roman" w:hAnsi="Times New Roman" w:eastAsia="仿宋" w:cs="Times New Roman"/>
                <w:b w:val="0"/>
                <w:bCs w:val="0"/>
                <w:color w:val="auto"/>
                <w:kern w:val="0"/>
                <w:sz w:val="24"/>
                <w:szCs w:val="24"/>
                <w:lang w:val="en-US" w:eastAsia="zh-CN" w:bidi="ar-SA"/>
              </w:rPr>
              <w:t>项目为建筑砂石开采项目，</w:t>
            </w:r>
            <w:r>
              <w:rPr>
                <w:rFonts w:hint="default" w:ascii="Times New Roman" w:hAnsi="Times New Roman" w:eastAsia="仿宋" w:cs="Times New Roman"/>
                <w:b w:val="0"/>
                <w:bCs w:val="0"/>
                <w:color w:val="auto"/>
                <w:kern w:val="0"/>
                <w:sz w:val="24"/>
                <w:szCs w:val="24"/>
                <w:lang w:val="en-US" w:eastAsia="zh-CN" w:bidi="ar-SA"/>
              </w:rPr>
              <w:t>矿区位于新疆维吾尔自治区吐鲁番地区鄯善县七克台镇北东56°方向直线距离36.5千米处</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本项目建设符合《吐鲁番地区国土空间总体规划（2021—2035年）》</w:t>
            </w:r>
            <w:r>
              <w:rPr>
                <w:rFonts w:hint="eastAsia" w:ascii="Times New Roman" w:hAnsi="Times New Roman" w:eastAsia="仿宋" w:cs="Times New Roman"/>
                <w:b w:val="0"/>
                <w:bCs w:val="0"/>
                <w:color w:val="auto"/>
                <w:kern w:val="0"/>
                <w:sz w:val="24"/>
                <w:szCs w:val="24"/>
                <w:lang w:val="en-US" w:eastAsia="zh-CN" w:bidi="ar-SA"/>
              </w:rPr>
              <w:t>。</w:t>
            </w:r>
          </w:p>
          <w:p>
            <w:pPr>
              <w:pStyle w:val="2"/>
              <w:ind w:left="0" w:leftChars="0" w:firstLine="482" w:firstLineChars="200"/>
              <w:rPr>
                <w:rStyle w:val="29"/>
                <w:rFonts w:hint="default" w:eastAsia="仿宋" w:cs="Times New Roman"/>
                <w:b/>
                <w:bCs/>
                <w:color w:val="auto"/>
                <w:sz w:val="24"/>
                <w:szCs w:val="21"/>
                <w:lang w:val="en-US" w:eastAsia="zh-CN"/>
              </w:rPr>
            </w:pPr>
            <w:r>
              <w:rPr>
                <w:rStyle w:val="29"/>
                <w:rFonts w:hint="eastAsia" w:eastAsia="仿宋" w:cs="Times New Roman"/>
                <w:b/>
                <w:bCs/>
                <w:color w:val="auto"/>
                <w:sz w:val="24"/>
                <w:szCs w:val="21"/>
                <w:lang w:val="en-US" w:eastAsia="zh-CN"/>
              </w:rPr>
              <w:t>16、与《自然资源部关于规范和完善砂石开采管理的通知》符合性分析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参照自然资源部2023年4月10日发布的《自然资源部关于规范和完善砂石开采管理的通知》提出“非砂石类生产矿山在其矿区范围内按照矿山设计或开发利用方案，矿山剥离、井巷开拓、选矿产生的砂石料，应优先供该矿山井巷填充、修复治理及工程建设等综合利用，利用后仍有剩余的，由所在地的自然资源主管部门报县级以上地方人民政府组织纳入公共资源交易平台处置”、“绿色矿山建设要求应纳入采矿权出让公告，并在采矿权出让合同中明确绿色矿山创建要求和违约责任。新建砂石矿山应按绿色矿山标准要求建设，正在生产的矿山应积极推进绿色矿山建设，明确改进期限，逐步达到绿色矿山要求。矿山企业应当认真履行矿山生态保护修复义务，将生态保护修复贯穿采矿活动全过程”。</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本项目为建筑砂石开采，已按绿色矿山标准要求建设，矿山企业已认真履行矿山生态保护修复义务，将生态保护修复贯穿采矿活动全过程，因此，本项目符合《自然资源部关于规范和完善砂石开采管理的通知》。</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eastAsia" w:eastAsia="仿宋" w:cs="Times New Roman"/>
                <w:b/>
                <w:bCs/>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highlight w:val="none"/>
                <w:lang w:val="en-US" w:eastAsia="zh-CN" w:bidi="ar"/>
              </w:rPr>
            </w:pPr>
            <w:r>
              <w:rPr>
                <w:rFonts w:hint="eastAsia" w:eastAsia="仿宋" w:cs="Times New Roman"/>
                <w:b/>
                <w:bCs/>
                <w:color w:val="auto"/>
                <w:kern w:val="0"/>
                <w:sz w:val="24"/>
                <w:szCs w:val="24"/>
                <w:lang w:val="en-US" w:eastAsia="zh-CN"/>
              </w:rPr>
              <w:t>17、</w:t>
            </w:r>
            <w:r>
              <w:rPr>
                <w:rFonts w:hint="eastAsia" w:ascii="Times New Roman" w:hAnsi="Times New Roman" w:eastAsia="仿宋" w:cs="Times New Roman"/>
                <w:b/>
                <w:bCs/>
                <w:color w:val="auto"/>
                <w:kern w:val="0"/>
                <w:sz w:val="24"/>
                <w:szCs w:val="24"/>
                <w:lang w:val="en-US" w:eastAsia="zh-CN"/>
              </w:rPr>
              <w:t>与</w:t>
            </w:r>
            <w:r>
              <w:rPr>
                <w:rFonts w:hint="default" w:ascii="Times New Roman" w:hAnsi="Times New Roman" w:eastAsia="仿宋" w:cs="Times New Roman"/>
                <w:b/>
                <w:bCs/>
                <w:color w:val="auto"/>
                <w:kern w:val="0"/>
                <w:sz w:val="24"/>
                <w:szCs w:val="24"/>
                <w:highlight w:val="none"/>
                <w:lang w:val="en-US" w:eastAsia="zh-CN" w:bidi="ar"/>
              </w:rPr>
              <w:t>《吐鲁番地区国土空间总体规划（2021—2035年）》符合性分析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b w:val="0"/>
                <w:bCs w:val="0"/>
                <w:color w:val="auto"/>
                <w:kern w:val="0"/>
                <w:sz w:val="24"/>
                <w:szCs w:val="24"/>
                <w:highlight w:val="none"/>
                <w:lang w:val="en-US" w:eastAsia="zh-CN" w:bidi="ar"/>
              </w:rPr>
            </w:pPr>
            <w:r>
              <w:rPr>
                <w:rFonts w:hint="default" w:ascii="Times New Roman" w:hAnsi="Times New Roman" w:eastAsia="仿宋" w:cs="Times New Roman"/>
                <w:b w:val="0"/>
                <w:bCs w:val="0"/>
                <w:color w:val="auto"/>
                <w:kern w:val="0"/>
                <w:sz w:val="24"/>
                <w:szCs w:val="24"/>
                <w:highlight w:val="none"/>
                <w:lang w:val="en-US" w:eastAsia="zh-CN" w:bidi="ar"/>
              </w:rPr>
              <w:t>《吐鲁番地区国土空间总体规划（2021—2035年）》</w:t>
            </w:r>
            <w:r>
              <w:rPr>
                <w:rFonts w:hint="eastAsia" w:ascii="Times New Roman" w:hAnsi="Times New Roman" w:eastAsia="仿宋" w:cs="Times New Roman"/>
                <w:b w:val="0"/>
                <w:bCs w:val="0"/>
                <w:color w:val="auto"/>
                <w:kern w:val="0"/>
                <w:sz w:val="24"/>
                <w:szCs w:val="24"/>
                <w:highlight w:val="none"/>
                <w:lang w:val="en-US" w:eastAsia="zh-CN" w:bidi="ar"/>
              </w:rPr>
              <w:t>提出“加强重点矿产资源勘探、保障重要矿产资源安全、强化矿产勘查开发开采的种类及空间管控，规划布局8大国家规划矿区、打造13个矿业经济区重点保障全市重点矿区内的矿产开采、开发用地需求，将其全部纳入矿产能源发展区进行管控”、“推进绿色矿山建设及矿山生态修复。将绿色发展理念贯穿于矿产资源规划、勘查、开发利用与保护全过程，引领和带动传统矿业转型升级，提升矿业发展质量和效益”。</w:t>
            </w:r>
          </w:p>
          <w:p>
            <w:pP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本项目为建筑砂石开采，已按绿色矿山标准要求建设，因此，本项目符合《吐鲁番地区国土空间总体规划（2021—2035年）》。</w:t>
            </w:r>
          </w:p>
          <w:p>
            <w:pPr>
              <w:pStyle w:val="2"/>
              <w:ind w:left="0" w:leftChars="0" w:firstLine="0" w:firstLineChars="0"/>
              <w:rPr>
                <w:rStyle w:val="29"/>
                <w:rFonts w:hint="default" w:ascii="Times New Roman" w:hAnsi="Times New Roman" w:eastAsia="仿宋" w:cs="Times New Roman"/>
                <w:color w:val="auto"/>
              </w:rPr>
            </w:pPr>
          </w:p>
          <w:p>
            <w:pPr>
              <w:pStyle w:val="2"/>
              <w:tabs>
                <w:tab w:val="left" w:pos="1333"/>
              </w:tabs>
              <w:ind w:left="0" w:leftChars="0" w:firstLine="0" w:firstLineChars="0"/>
              <w:rPr>
                <w:rStyle w:val="29"/>
                <w:rFonts w:hint="eastAsia" w:ascii="Times New Roman" w:hAnsi="Times New Roman" w:eastAsia="仿宋" w:cs="Times New Roman"/>
                <w:color w:val="auto"/>
                <w:lang w:eastAsia="zh-CN"/>
              </w:rPr>
            </w:pPr>
          </w:p>
          <w:p>
            <w:pPr>
              <w:pStyle w:val="2"/>
              <w:ind w:left="0" w:leftChars="0" w:firstLine="0" w:firstLineChars="0"/>
              <w:rPr>
                <w:rStyle w:val="29"/>
                <w:rFonts w:hint="default" w:ascii="Times New Roman" w:hAnsi="Times New Roman" w:eastAsia="仿宋" w:cs="Times New Roman"/>
                <w:color w:val="auto"/>
              </w:rPr>
            </w:pPr>
          </w:p>
          <w:p>
            <w:pPr>
              <w:pStyle w:val="3"/>
              <w:rPr>
                <w:rStyle w:val="29"/>
                <w:rFonts w:hint="default" w:ascii="Times New Roman" w:hAnsi="Times New Roman" w:eastAsia="仿宋" w:cs="Times New Roman"/>
                <w:color w:val="auto"/>
              </w:rPr>
            </w:pPr>
          </w:p>
          <w:p>
            <w:pPr>
              <w:pStyle w:val="3"/>
              <w:rPr>
                <w:rStyle w:val="29"/>
                <w:rFonts w:hint="default" w:ascii="Times New Roman" w:hAnsi="Times New Roman" w:eastAsia="仿宋" w:cs="Times New Roman"/>
                <w:color w:val="auto"/>
              </w:rPr>
            </w:pPr>
          </w:p>
          <w:p>
            <w:pPr>
              <w:pStyle w:val="3"/>
              <w:rPr>
                <w:rStyle w:val="29"/>
                <w:rFonts w:hint="default" w:ascii="Times New Roman" w:hAnsi="Times New Roman" w:eastAsia="仿宋" w:cs="Times New Roman"/>
                <w:color w:val="auto"/>
              </w:rPr>
            </w:pPr>
          </w:p>
          <w:p>
            <w:pPr>
              <w:pStyle w:val="3"/>
              <w:rPr>
                <w:rStyle w:val="29"/>
                <w:rFonts w:hint="default" w:ascii="Times New Roman" w:hAnsi="Times New Roman" w:eastAsia="仿宋" w:cs="Times New Roman"/>
                <w:color w:val="auto"/>
              </w:rPr>
            </w:pPr>
          </w:p>
          <w:p>
            <w:pPr>
              <w:pStyle w:val="3"/>
              <w:rPr>
                <w:rStyle w:val="29"/>
                <w:rFonts w:hint="default" w:ascii="Times New Roman" w:hAnsi="Times New Roman" w:eastAsia="仿宋" w:cs="Times New Roman"/>
                <w:color w:val="auto"/>
              </w:rPr>
            </w:pPr>
          </w:p>
          <w:p>
            <w:pPr>
              <w:pStyle w:val="3"/>
              <w:rPr>
                <w:rStyle w:val="29"/>
                <w:rFonts w:hint="default" w:ascii="Times New Roman" w:hAnsi="Times New Roman" w:eastAsia="仿宋" w:cs="Times New Roman"/>
                <w:color w:val="auto"/>
              </w:rPr>
            </w:pPr>
          </w:p>
          <w:p>
            <w:pPr>
              <w:pStyle w:val="3"/>
              <w:rPr>
                <w:rStyle w:val="29"/>
                <w:rFonts w:hint="default" w:ascii="Times New Roman" w:hAnsi="Times New Roman" w:eastAsia="仿宋" w:cs="Times New Roman"/>
                <w:color w:val="auto"/>
              </w:rPr>
            </w:pPr>
          </w:p>
          <w:p>
            <w:pPr>
              <w:pStyle w:val="3"/>
              <w:rPr>
                <w:rStyle w:val="29"/>
                <w:rFonts w:hint="default" w:ascii="Times New Roman" w:hAnsi="Times New Roman" w:eastAsia="仿宋" w:cs="Times New Roman"/>
                <w:color w:val="auto"/>
              </w:rPr>
            </w:pPr>
          </w:p>
          <w:p>
            <w:pPr>
              <w:pStyle w:val="2"/>
              <w:ind w:left="0" w:leftChars="0" w:firstLine="0" w:firstLineChars="0"/>
              <w:rPr>
                <w:rStyle w:val="29"/>
                <w:rFonts w:hint="default" w:ascii="Times New Roman" w:hAnsi="Times New Roman" w:eastAsia="仿宋" w:cs="Times New Roman"/>
                <w:color w:val="auto"/>
              </w:rPr>
            </w:pPr>
          </w:p>
          <w:p>
            <w:pPr>
              <w:pStyle w:val="2"/>
              <w:ind w:left="0" w:leftChars="0" w:firstLine="0" w:firstLineChars="0"/>
              <w:rPr>
                <w:rStyle w:val="29"/>
                <w:rFonts w:hint="default" w:ascii="Times New Roman" w:hAnsi="Times New Roman" w:eastAsia="仿宋" w:cs="Times New Roman"/>
                <w:color w:val="auto"/>
              </w:rPr>
            </w:pPr>
          </w:p>
        </w:tc>
      </w:tr>
    </w:tbl>
    <w:p>
      <w:pPr>
        <w:ind w:firstLine="600"/>
        <w:outlineLvl w:val="0"/>
        <w:rPr>
          <w:rFonts w:hint="default" w:ascii="Times New Roman" w:hAnsi="Times New Roman" w:eastAsia="仿宋" w:cs="Times New Roman"/>
          <w:color w:val="auto"/>
          <w:sz w:val="30"/>
        </w:rPr>
        <w:sectPr>
          <w:footerReference r:id="rId9"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二、建设内容</w:t>
      </w:r>
    </w:p>
    <w:tbl>
      <w:tblPr>
        <w:tblStyle w:val="25"/>
        <w:tblW w:w="97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6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6" w:hRule="atLeast"/>
          <w:jc w:val="center"/>
        </w:trPr>
        <w:tc>
          <w:tcPr>
            <w:tcW w:w="634"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地理位置</w:t>
            </w:r>
          </w:p>
        </w:tc>
        <w:tc>
          <w:tcPr>
            <w:tcW w:w="90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本</w:t>
            </w:r>
            <w:r>
              <w:rPr>
                <w:rFonts w:hint="default" w:ascii="Times New Roman" w:hAnsi="Times New Roman" w:eastAsia="仿宋" w:cs="Times New Roman"/>
                <w:color w:val="auto"/>
                <w:kern w:val="0"/>
                <w:sz w:val="24"/>
                <w:szCs w:val="24"/>
              </w:rPr>
              <w:t>项目</w:t>
            </w:r>
            <w:r>
              <w:rPr>
                <w:rFonts w:hint="default" w:ascii="Times New Roman" w:hAnsi="Times New Roman" w:eastAsia="仿宋" w:cs="Times New Roman"/>
                <w:color w:val="auto"/>
                <w:sz w:val="24"/>
                <w:szCs w:val="24"/>
              </w:rPr>
              <w:t>位于</w:t>
            </w:r>
            <w:r>
              <w:rPr>
                <w:rFonts w:hint="default" w:ascii="Times New Roman" w:hAnsi="Times New Roman" w:eastAsia="仿宋" w:cs="Times New Roman"/>
                <w:color w:val="auto"/>
                <w:sz w:val="24"/>
                <w:szCs w:val="24"/>
                <w:lang w:val="en-US" w:eastAsia="zh-CN"/>
              </w:rPr>
              <w:t>新疆鄯善县七克台镇北东56°方向，矿区位于G30以北，与 G30直线距离1030米左右，行政区划隶属于鄯善县管辖。</w:t>
            </w:r>
            <w:r>
              <w:rPr>
                <w:rFonts w:hint="default" w:ascii="Times New Roman" w:hAnsi="Times New Roman" w:eastAsia="仿宋" w:cs="Times New Roman"/>
                <w:color w:val="auto"/>
                <w:sz w:val="24"/>
                <w:szCs w:val="24"/>
              </w:rPr>
              <w:t>根据现场调查，项目所在地</w:t>
            </w:r>
            <w:r>
              <w:rPr>
                <w:rFonts w:hint="default" w:ascii="Times New Roman" w:hAnsi="Times New Roman" w:eastAsia="仿宋" w:cs="Times New Roman"/>
                <w:color w:val="auto"/>
                <w:sz w:val="24"/>
                <w:szCs w:val="24"/>
                <w:lang w:val="en-US" w:eastAsia="zh-CN"/>
              </w:rPr>
              <w:t>及四周均为</w:t>
            </w:r>
            <w:r>
              <w:rPr>
                <w:rFonts w:hint="default" w:ascii="Times New Roman" w:hAnsi="Times New Roman" w:eastAsia="仿宋" w:cs="Times New Roman"/>
                <w:color w:val="auto"/>
                <w:sz w:val="24"/>
                <w:szCs w:val="24"/>
              </w:rPr>
              <w:t>裸岩石砾地，</w:t>
            </w:r>
            <w:r>
              <w:rPr>
                <w:rFonts w:hint="default" w:ascii="Times New Roman" w:hAnsi="Times New Roman" w:eastAsia="仿宋" w:cs="Times New Roman"/>
                <w:color w:val="auto"/>
                <w:kern w:val="0"/>
                <w:sz w:val="24"/>
                <w:szCs w:val="24"/>
              </w:rPr>
              <w:t>矿区范围及拐点坐标见下表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sz w:val="24"/>
                <w:szCs w:val="24"/>
              </w:rPr>
              <w:t>项目地理位置图见图2-1</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矿区范围图见图2-2。</w:t>
            </w:r>
          </w:p>
          <w:p>
            <w:pPr>
              <w:pStyle w:val="16"/>
              <w:ind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项目组成及规模</w:t>
            </w:r>
          </w:p>
        </w:tc>
        <w:tc>
          <w:tcPr>
            <w:tcW w:w="9070" w:type="dxa"/>
            <w:vAlign w:val="center"/>
          </w:tcPr>
          <w:p>
            <w:pPr>
              <w:keepNext w:val="0"/>
              <w:keepLines w:val="0"/>
              <w:pageBreakBefore w:val="0"/>
              <w:widowControl/>
              <w:kinsoku/>
              <w:wordWrap/>
              <w:overflowPunct/>
              <w:topLinePunct w:val="0"/>
              <w:autoSpaceDE/>
              <w:autoSpaceDN/>
              <w:bidi w:val="0"/>
              <w:adjustRightInd/>
              <w:snapToGrid/>
              <w:spacing w:before="157" w:beforeLines="50"/>
              <w:ind w:firstLine="422"/>
              <w:jc w:val="left"/>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b/>
                <w:bCs/>
                <w:color w:val="auto"/>
                <w:sz w:val="24"/>
                <w:szCs w:val="24"/>
              </w:rPr>
              <w:t>项目组成</w:t>
            </w:r>
          </w:p>
          <w:p>
            <w:pPr>
              <w:keepNext w:val="0"/>
              <w:keepLines w:val="0"/>
              <w:pageBreakBefore w:val="0"/>
              <w:kinsoku/>
              <w:wordWrap/>
              <w:overflowPunct/>
              <w:topLinePunct w:val="0"/>
              <w:autoSpaceDE/>
              <w:autoSpaceDN/>
              <w:bidi w:val="0"/>
              <w:adjustRightInd/>
              <w:snapToGrid/>
              <w:ind w:firstLine="420"/>
              <w:textAlignment w:val="auto"/>
              <w:rPr>
                <w:rFonts w:hint="eastAsia"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color w:val="auto"/>
                <w:sz w:val="24"/>
                <w:szCs w:val="24"/>
                <w:lang w:val="en-US" w:eastAsia="zh-CN"/>
              </w:rPr>
              <w:t>本项目占地</w:t>
            </w:r>
            <w:r>
              <w:rPr>
                <w:rFonts w:hint="eastAsia" w:eastAsia="仿宋" w:cs="Times New Roman"/>
                <w:color w:val="auto"/>
                <w:sz w:val="24"/>
                <w:szCs w:val="24"/>
                <w:lang w:val="en-US" w:eastAsia="zh-CN"/>
              </w:rPr>
              <w:t>299200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矿区总体布置主要由1处露天采场、工业场地、生活办公区、废石堆场</w:t>
            </w:r>
            <w:r>
              <w:rPr>
                <w:rFonts w:hint="eastAsia" w:eastAsia="仿宋" w:cs="Times New Roman"/>
                <w:color w:val="auto"/>
                <w:sz w:val="24"/>
                <w:szCs w:val="24"/>
                <w:lang w:val="en-US" w:eastAsia="zh-CN"/>
              </w:rPr>
              <w:t>和</w:t>
            </w:r>
            <w:r>
              <w:rPr>
                <w:rFonts w:hint="default" w:ascii="Times New Roman" w:hAnsi="Times New Roman" w:eastAsia="仿宋" w:cs="Times New Roman"/>
                <w:color w:val="auto"/>
                <w:sz w:val="24"/>
                <w:szCs w:val="24"/>
              </w:rPr>
              <w:t>矿山道</w:t>
            </w:r>
            <w:r>
              <w:rPr>
                <w:rFonts w:hint="default" w:ascii="Times New Roman" w:hAnsi="Times New Roman" w:eastAsia="仿宋" w:cs="Times New Roman"/>
                <w:color w:val="auto"/>
                <w:sz w:val="24"/>
                <w:szCs w:val="24"/>
                <w:highlight w:val="none"/>
              </w:rPr>
              <w:t>路组成，</w:t>
            </w:r>
            <w:r>
              <w:rPr>
                <w:rFonts w:hint="default" w:ascii="Times New Roman" w:hAnsi="Times New Roman" w:eastAsia="仿宋" w:cs="Times New Roman"/>
                <w:color w:val="auto"/>
                <w:sz w:val="24"/>
                <w:szCs w:val="24"/>
                <w:highlight w:val="none"/>
                <w:lang w:val="en-US" w:eastAsia="zh-CN"/>
              </w:rPr>
              <w:t>建设砂石料生产线、办公区、生活区等公辅设施，年开采加工砂石料</w:t>
            </w:r>
            <w:r>
              <w:rPr>
                <w:rFonts w:hint="eastAsia" w:eastAsia="仿宋" w:cs="Times New Roman"/>
                <w:color w:val="auto"/>
                <w:sz w:val="24"/>
                <w:szCs w:val="24"/>
                <w:highlight w:val="none"/>
                <w:lang w:val="en-US" w:eastAsia="zh-CN"/>
              </w:rPr>
              <w:t>65万</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eastAsia" w:ascii="Times New Roman" w:hAnsi="Times New Roman" w:eastAsia="仿宋" w:cs="Times New Roman"/>
                <w:color w:val="auto"/>
                <w:sz w:val="24"/>
                <w:szCs w:val="24"/>
                <w:highlight w:val="none"/>
                <w:vertAlign w:val="baseline"/>
                <w:lang w:eastAsia="zh-CN"/>
              </w:rPr>
              <w:t>。</w:t>
            </w:r>
          </w:p>
          <w:p>
            <w:pPr>
              <w:keepNext w:val="0"/>
              <w:keepLines w:val="0"/>
              <w:pageBreakBefore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本项目组成一览表见表2-2：</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表2-2项目组成一览表</w:t>
            </w:r>
          </w:p>
          <w:tbl>
            <w:tblPr>
              <w:tblStyle w:val="25"/>
              <w:tblW w:w="498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1"/>
              <w:gridCol w:w="1442"/>
              <w:gridCol w:w="7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20"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类别</w:t>
                  </w:r>
                </w:p>
              </w:tc>
              <w:tc>
                <w:tcPr>
                  <w:tcW w:w="765"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3813"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20"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主体</w:t>
                  </w:r>
                </w:p>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765" w:type="pct"/>
                  <w:vAlign w:val="center"/>
                </w:tcPr>
                <w:p>
                  <w:pPr>
                    <w:pStyle w:val="44"/>
                    <w:spacing w:line="240" w:lineRule="auto"/>
                    <w:ind w:firstLine="0" w:firstLineChars="0"/>
                    <w:rPr>
                      <w:rFonts w:hint="default" w:ascii="Times New Roman" w:hAnsi="Times New Roman" w:eastAsia="仿宋" w:cs="Times New Roman"/>
                      <w:color w:val="auto"/>
                      <w:sz w:val="21"/>
                      <w:szCs w:val="21"/>
                      <w:lang w:val="en-US"/>
                    </w:rPr>
                  </w:pPr>
                  <w:r>
                    <w:rPr>
                      <w:rFonts w:hint="default" w:ascii="Times New Roman" w:hAnsi="Times New Roman" w:eastAsia="仿宋" w:cs="Times New Roman"/>
                      <w:color w:val="auto"/>
                      <w:sz w:val="21"/>
                      <w:szCs w:val="21"/>
                      <w:lang w:val="en-US" w:eastAsia="zh-CN"/>
                    </w:rPr>
                    <w:t>露天采场</w:t>
                  </w:r>
                </w:p>
              </w:tc>
              <w:tc>
                <w:tcPr>
                  <w:tcW w:w="3813" w:type="pct"/>
                  <w:vAlign w:val="center"/>
                </w:tcPr>
                <w:p>
                  <w:pPr>
                    <w:pStyle w:val="44"/>
                    <w:spacing w:line="240" w:lineRule="auto"/>
                    <w:ind w:firstLine="0" w:firstLineChars="0"/>
                    <w:rPr>
                      <w:rFonts w:hint="eastAsia"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采用挖掘机露天水平方式进行开采</w:t>
                  </w:r>
                  <w:r>
                    <w:rPr>
                      <w:rStyle w:val="29"/>
                      <w:rFonts w:hint="default" w:ascii="Times New Roman" w:hAnsi="Times New Roman" w:eastAsia="仿宋" w:cs="Times New Roman"/>
                      <w:color w:val="auto"/>
                      <w:sz w:val="21"/>
                      <w:szCs w:val="21"/>
                    </w:rPr>
                    <w:t>，采场面积为</w:t>
                  </w:r>
                  <w:r>
                    <w:rPr>
                      <w:rStyle w:val="29"/>
                      <w:rFonts w:hint="eastAsia" w:eastAsia="仿宋" w:cs="Times New Roman"/>
                      <w:color w:val="auto"/>
                      <w:sz w:val="21"/>
                      <w:szCs w:val="21"/>
                      <w:lang w:val="en-US" w:eastAsia="zh-CN"/>
                    </w:rPr>
                    <w:t>291200</w:t>
                  </w:r>
                  <w:r>
                    <w:rPr>
                      <w:rStyle w:val="29"/>
                      <w:rFonts w:hint="default" w:ascii="Times New Roman" w:hAnsi="Times New Roman" w:eastAsia="仿宋" w:cs="Times New Roman"/>
                      <w:color w:val="auto"/>
                      <w:sz w:val="21"/>
                      <w:szCs w:val="21"/>
                    </w:rPr>
                    <w:t>m</w:t>
                  </w:r>
                  <w:r>
                    <w:rPr>
                      <w:rStyle w:val="29"/>
                      <w:rFonts w:hint="default" w:ascii="Times New Roman" w:hAnsi="Times New Roman" w:eastAsia="仿宋" w:cs="Times New Roman"/>
                      <w:color w:val="auto"/>
                      <w:sz w:val="21"/>
                      <w:szCs w:val="21"/>
                      <w:vertAlign w:val="superscript"/>
                    </w:rPr>
                    <w:t>2</w:t>
                  </w:r>
                  <w:r>
                    <w:rPr>
                      <w:rStyle w:val="29"/>
                      <w:rFonts w:hint="default" w:ascii="Times New Roman" w:hAnsi="Times New Roman" w:eastAsia="仿宋" w:cs="Times New Roman"/>
                      <w:color w:val="auto"/>
                      <w:sz w:val="21"/>
                      <w:szCs w:val="21"/>
                    </w:rPr>
                    <w:t>；开采标高</w:t>
                  </w:r>
                  <w:r>
                    <w:rPr>
                      <w:rStyle w:val="29"/>
                      <w:rFonts w:hint="eastAsia" w:eastAsia="仿宋" w:cs="Times New Roman"/>
                      <w:color w:val="auto"/>
                      <w:sz w:val="21"/>
                      <w:szCs w:val="21"/>
                      <w:lang w:val="en-US" w:eastAsia="zh-CN"/>
                    </w:rPr>
                    <w:t>795</w:t>
                  </w:r>
                  <w:r>
                    <w:rPr>
                      <w:rStyle w:val="29"/>
                      <w:rFonts w:hint="default" w:ascii="Times New Roman" w:hAnsi="Times New Roman" w:eastAsia="仿宋" w:cs="Times New Roman"/>
                      <w:color w:val="auto"/>
                      <w:sz w:val="21"/>
                      <w:szCs w:val="21"/>
                      <w:lang w:eastAsia="zh-CN"/>
                    </w:rPr>
                    <w:t>m</w:t>
                  </w:r>
                  <w:r>
                    <w:rPr>
                      <w:rStyle w:val="29"/>
                      <w:rFonts w:hint="default" w:ascii="Times New Roman" w:hAnsi="Times New Roman" w:eastAsia="仿宋" w:cs="Times New Roman"/>
                      <w:color w:val="auto"/>
                      <w:sz w:val="21"/>
                      <w:szCs w:val="21"/>
                      <w:lang w:val="en-US" w:eastAsia="zh-CN"/>
                    </w:rPr>
                    <w:t>～</w:t>
                  </w:r>
                  <w:r>
                    <w:rPr>
                      <w:rStyle w:val="29"/>
                      <w:rFonts w:hint="eastAsia" w:eastAsia="仿宋" w:cs="Times New Roman"/>
                      <w:color w:val="auto"/>
                      <w:sz w:val="21"/>
                      <w:szCs w:val="21"/>
                      <w:lang w:val="en-US" w:eastAsia="zh-CN"/>
                    </w:rPr>
                    <w:t>810</w:t>
                  </w:r>
                  <w:r>
                    <w:rPr>
                      <w:rStyle w:val="29"/>
                      <w:rFonts w:hint="default" w:ascii="Times New Roman" w:hAnsi="Times New Roman" w:eastAsia="仿宋" w:cs="Times New Roman"/>
                      <w:color w:val="auto"/>
                      <w:sz w:val="21"/>
                      <w:szCs w:val="21"/>
                      <w:lang w:eastAsia="zh-CN"/>
                    </w:rPr>
                    <w:t>m</w:t>
                  </w:r>
                  <w:r>
                    <w:rPr>
                      <w:rStyle w:val="29"/>
                      <w:rFonts w:hint="eastAsia" w:eastAsia="仿宋" w:cs="Times New Roman"/>
                      <w:color w:val="auto"/>
                      <w:sz w:val="21"/>
                      <w:szCs w:val="21"/>
                      <w:lang w:eastAsia="zh-CN"/>
                    </w:rPr>
                    <w:t>，露天采</w:t>
                  </w:r>
                  <w:r>
                    <w:rPr>
                      <w:rStyle w:val="29"/>
                      <w:rFonts w:hint="eastAsia" w:eastAsia="仿宋" w:cs="Times New Roman"/>
                      <w:color w:val="auto"/>
                      <w:sz w:val="21"/>
                      <w:szCs w:val="21"/>
                      <w:lang w:val="en-US" w:eastAsia="zh-CN"/>
                    </w:rPr>
                    <w:t>矿</w:t>
                  </w:r>
                  <w:r>
                    <w:rPr>
                      <w:rStyle w:val="29"/>
                      <w:rFonts w:hint="eastAsia" w:eastAsia="仿宋" w:cs="Times New Roman"/>
                      <w:color w:val="auto"/>
                      <w:sz w:val="21"/>
                      <w:szCs w:val="21"/>
                      <w:lang w:eastAsia="zh-CN"/>
                    </w:rPr>
                    <w:t>场</w:t>
                  </w:r>
                  <w:r>
                    <w:rPr>
                      <w:rStyle w:val="29"/>
                      <w:rFonts w:hint="eastAsia" w:eastAsia="仿宋" w:cs="Times New Roman"/>
                      <w:color w:val="auto"/>
                      <w:sz w:val="21"/>
                      <w:szCs w:val="21"/>
                      <w:lang w:val="en-US" w:eastAsia="zh-CN"/>
                    </w:rPr>
                    <w:t>顶部境界长约159m-900m，宽119m-518m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20" w:type="pct"/>
                  <w:vMerge w:val="continue"/>
                  <w:tcBorders>
                    <w:bottom w:val="single" w:color="auto" w:sz="4" w:space="0"/>
                  </w:tcBorders>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765" w:type="pct"/>
                  <w:tcBorders>
                    <w:bottom w:val="single" w:color="auto" w:sz="4" w:space="0"/>
                  </w:tcBorders>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工业场地</w:t>
                  </w:r>
                </w:p>
              </w:tc>
              <w:tc>
                <w:tcPr>
                  <w:tcW w:w="3813"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建设2条砂石料生产线；</w:t>
                  </w:r>
                  <w:r>
                    <w:rPr>
                      <w:rFonts w:hint="eastAsia" w:eastAsia="仿宋" w:cs="Times New Roman"/>
                      <w:color w:val="auto"/>
                      <w:sz w:val="21"/>
                      <w:szCs w:val="21"/>
                      <w:highlight w:val="none"/>
                      <w:lang w:val="en-US" w:eastAsia="zh-CN"/>
                    </w:rPr>
                    <w:t>占地面积10000m</w:t>
                  </w:r>
                  <w:r>
                    <w:rPr>
                      <w:rFonts w:hint="eastAsia" w:eastAsia="仿宋" w:cs="Times New Roman"/>
                      <w:color w:val="auto"/>
                      <w:sz w:val="21"/>
                      <w:szCs w:val="21"/>
                      <w:highlight w:val="none"/>
                      <w:vertAlign w:val="superscript"/>
                      <w:lang w:val="en-US" w:eastAsia="zh-CN"/>
                    </w:rPr>
                    <w:t>2</w:t>
                  </w:r>
                  <w:r>
                    <w:rPr>
                      <w:rFonts w:hint="eastAsia"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val="en-US" w:eastAsia="zh-CN"/>
                    </w:rPr>
                    <w:t>加工过程输送方式为皮带输送机。主要设备为振动筛、螺旋式洗砂机</w:t>
                  </w:r>
                  <w:r>
                    <w:rPr>
                      <w:rFonts w:hint="eastAsia"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val="en-US" w:eastAsia="zh-CN"/>
                    </w:rPr>
                    <w:t>年开采加工砂石料</w:t>
                  </w:r>
                  <w:r>
                    <w:rPr>
                      <w:rFonts w:hint="eastAsia" w:eastAsia="仿宋" w:cs="Times New Roman"/>
                      <w:color w:val="auto"/>
                      <w:sz w:val="21"/>
                      <w:szCs w:val="21"/>
                      <w:highlight w:val="none"/>
                      <w:lang w:val="en-US" w:eastAsia="zh-CN"/>
                    </w:rPr>
                    <w:t>65万</w:t>
                  </w:r>
                  <w:r>
                    <w:rPr>
                      <w:rFonts w:hint="default" w:ascii="Times New Roman" w:hAnsi="Times New Roman" w:eastAsia="仿宋" w:cs="Times New Roman"/>
                      <w:color w:val="auto"/>
                      <w:sz w:val="21"/>
                      <w:szCs w:val="21"/>
                      <w:highlight w:val="none"/>
                      <w:lang w:val="en-US" w:eastAsia="zh-CN"/>
                    </w:rPr>
                    <w:t>m</w:t>
                  </w:r>
                  <w:r>
                    <w:rPr>
                      <w:rFonts w:hint="default" w:ascii="Times New Roman" w:hAnsi="Times New Roman" w:eastAsia="仿宋" w:cs="Times New Roman"/>
                      <w:color w:val="auto"/>
                      <w:sz w:val="21"/>
                      <w:szCs w:val="21"/>
                      <w:highlight w:val="none"/>
                      <w:vertAlign w:val="superscript"/>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20" w:type="pct"/>
                  <w:tcBorders>
                    <w:top w:val="single" w:color="auto" w:sz="4" w:space="0"/>
                    <w:bottom w:val="single" w:color="auto" w:sz="4" w:space="0"/>
                  </w:tcBorders>
                  <w:vAlign w:val="center"/>
                </w:tcPr>
                <w:p>
                  <w:pPr>
                    <w:pStyle w:val="44"/>
                    <w:spacing w:line="240" w:lineRule="auto"/>
                    <w:ind w:firstLine="0" w:firstLine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辅助</w:t>
                  </w:r>
                </w:p>
                <w:p>
                  <w:pPr>
                    <w:pStyle w:val="44"/>
                    <w:spacing w:line="240" w:lineRule="auto"/>
                    <w:ind w:firstLine="0" w:firstLine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w:t>
                  </w:r>
                </w:p>
              </w:tc>
              <w:tc>
                <w:tcPr>
                  <w:tcW w:w="765" w:type="pct"/>
                  <w:tcBorders>
                    <w:top w:val="single" w:color="auto" w:sz="4" w:space="0"/>
                    <w:bottom w:val="single" w:color="auto" w:sz="4" w:space="0"/>
                  </w:tcBorders>
                  <w:vAlign w:val="center"/>
                </w:tcPr>
                <w:p>
                  <w:pPr>
                    <w:pStyle w:val="44"/>
                    <w:spacing w:line="240" w:lineRule="auto"/>
                    <w:ind w:firstLine="0" w:firstLineChars="0"/>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sz w:val="21"/>
                      <w:szCs w:val="21"/>
                      <w:lang w:val="en-US" w:eastAsia="zh-CN"/>
                    </w:rPr>
                    <w:t>办公生活区</w:t>
                  </w:r>
                </w:p>
              </w:tc>
              <w:tc>
                <w:tcPr>
                  <w:tcW w:w="3813" w:type="pct"/>
                  <w:vAlign w:val="center"/>
                </w:tcPr>
                <w:p>
                  <w:pPr>
                    <w:pStyle w:val="44"/>
                    <w:spacing w:line="240" w:lineRule="auto"/>
                    <w:ind w:firstLine="0" w:firstLineChars="0"/>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sz w:val="21"/>
                      <w:szCs w:val="21"/>
                      <w:lang w:val="en-US" w:eastAsia="zh-CN"/>
                    </w:rPr>
                    <w:t>建设办公室、宿舍、食堂等</w:t>
                  </w:r>
                  <w:r>
                    <w:rPr>
                      <w:rFonts w:hint="eastAsia" w:eastAsia="仿宋" w:cs="Times New Roman"/>
                      <w:color w:val="auto"/>
                      <w:sz w:val="21"/>
                      <w:szCs w:val="21"/>
                      <w:lang w:val="en-US" w:eastAsia="zh-CN"/>
                    </w:rPr>
                    <w:t>，占地面积2000平方米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4" w:hRule="atLeast"/>
                <w:jc w:val="center"/>
              </w:trPr>
              <w:tc>
                <w:tcPr>
                  <w:tcW w:w="420"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储运</w:t>
                  </w:r>
                </w:p>
                <w:p>
                  <w:pPr>
                    <w:pStyle w:val="44"/>
                    <w:spacing w:line="240" w:lineRule="auto"/>
                    <w:ind w:firstLine="0" w:firstLineChars="0"/>
                    <w:rPr>
                      <w:rFonts w:hint="default" w:ascii="Times New Roman" w:hAnsi="Times New Roman" w:eastAsia="仿宋" w:cs="Times New Roman"/>
                      <w:color w:val="auto"/>
                      <w:sz w:val="21"/>
                      <w:szCs w:val="21"/>
                      <w:highlight w:val="yellow"/>
                      <w:lang w:val="en-US" w:eastAsia="zh-CN"/>
                    </w:rPr>
                  </w:pPr>
                  <w:r>
                    <w:rPr>
                      <w:rFonts w:hint="default" w:ascii="Times New Roman" w:hAnsi="Times New Roman" w:eastAsia="仿宋" w:cs="Times New Roman"/>
                      <w:color w:val="auto"/>
                      <w:sz w:val="21"/>
                      <w:szCs w:val="21"/>
                      <w:highlight w:val="none"/>
                      <w:lang w:val="en-US" w:eastAsia="zh-CN"/>
                    </w:rPr>
                    <w:t>工程</w:t>
                  </w:r>
                </w:p>
              </w:tc>
              <w:tc>
                <w:tcPr>
                  <w:tcW w:w="76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废石堆场</w:t>
                  </w:r>
                </w:p>
              </w:tc>
              <w:tc>
                <w:tcPr>
                  <w:tcW w:w="3813"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位于</w:t>
                  </w:r>
                  <w:r>
                    <w:rPr>
                      <w:rFonts w:hint="default" w:ascii="Times New Roman" w:hAnsi="Times New Roman" w:eastAsia="仿宋" w:cs="Times New Roman"/>
                      <w:color w:val="auto"/>
                      <w:sz w:val="21"/>
                      <w:szCs w:val="21"/>
                      <w:highlight w:val="none"/>
                      <w:lang w:val="en-US" w:eastAsia="zh-CN"/>
                    </w:rPr>
                    <w:t>采矿场中部，工业场地以东约20m处</w:t>
                  </w:r>
                  <w:r>
                    <w:rPr>
                      <w:rFonts w:hint="default" w:ascii="Times New Roman" w:hAnsi="Times New Roman" w:eastAsia="仿宋" w:cs="Times New Roman"/>
                      <w:color w:val="auto"/>
                      <w:sz w:val="21"/>
                      <w:szCs w:val="21"/>
                      <w:highlight w:val="none"/>
                    </w:rPr>
                    <w:t>，占地面积</w:t>
                  </w:r>
                  <w:r>
                    <w:rPr>
                      <w:rFonts w:hint="eastAsia" w:eastAsia="仿宋" w:cs="Times New Roman"/>
                      <w:color w:val="auto"/>
                      <w:sz w:val="21"/>
                      <w:szCs w:val="21"/>
                      <w:highlight w:val="none"/>
                      <w:lang w:val="en-US" w:eastAsia="zh-CN"/>
                    </w:rPr>
                    <w:t>2</w:t>
                  </w:r>
                  <w:r>
                    <w:rPr>
                      <w:rFonts w:hint="default" w:ascii="Times New Roman" w:hAnsi="Times New Roman" w:eastAsia="仿宋" w:cs="Times New Roman"/>
                      <w:color w:val="auto"/>
                      <w:sz w:val="21"/>
                      <w:szCs w:val="21"/>
                      <w:highlight w:val="none"/>
                      <w:lang w:val="en-US" w:eastAsia="zh-CN"/>
                    </w:rPr>
                    <w:t>0</w:t>
                  </w:r>
                  <w:r>
                    <w:rPr>
                      <w:rFonts w:hint="default" w:ascii="Times New Roman" w:hAnsi="Times New Roman" w:eastAsia="仿宋" w:cs="Times New Roman"/>
                      <w:color w:val="auto"/>
                      <w:sz w:val="21"/>
                      <w:szCs w:val="21"/>
                      <w:highlight w:val="none"/>
                    </w:rPr>
                    <w:t>000m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，用于开采</w:t>
                  </w:r>
                  <w:r>
                    <w:rPr>
                      <w:rFonts w:hint="default" w:ascii="Times New Roman" w:hAnsi="Times New Roman" w:eastAsia="仿宋" w:cs="Times New Roman"/>
                      <w:color w:val="auto"/>
                      <w:sz w:val="21"/>
                      <w:szCs w:val="21"/>
                      <w:highlight w:val="none"/>
                      <w:lang w:val="en-US" w:eastAsia="zh-CN"/>
                    </w:rPr>
                    <w:t>废石量</w:t>
                  </w:r>
                  <w:r>
                    <w:rPr>
                      <w:rFonts w:hint="default" w:ascii="Times New Roman" w:hAnsi="Times New Roman" w:eastAsia="仿宋" w:cs="Times New Roman"/>
                      <w:color w:val="auto"/>
                      <w:sz w:val="21"/>
                      <w:szCs w:val="21"/>
                      <w:highlight w:val="none"/>
                    </w:rPr>
                    <w:t>的暂存。</w:t>
                  </w:r>
                  <w:r>
                    <w:rPr>
                      <w:rFonts w:hint="default" w:ascii="Times New Roman" w:hAnsi="Times New Roman" w:eastAsia="仿宋" w:cs="Times New Roman"/>
                      <w:color w:val="auto"/>
                      <w:sz w:val="21"/>
                      <w:szCs w:val="21"/>
                      <w:highlight w:val="none"/>
                      <w:lang w:val="en-US" w:eastAsia="zh-CN"/>
                    </w:rPr>
                    <w:t>堆放周期为矿山服务年限结束后</w:t>
                  </w:r>
                  <w:r>
                    <w:rPr>
                      <w:rFonts w:hint="default" w:ascii="Times New Roman" w:hAnsi="Times New Roman" w:eastAsia="仿宋" w:cs="Times New Roman"/>
                      <w:color w:val="auto"/>
                      <w:kern w:val="0"/>
                      <w:sz w:val="21"/>
                      <w:szCs w:val="21"/>
                      <w:highlight w:val="none"/>
                    </w:rPr>
                    <w:t>用于采坑回填整治及土地复垦</w:t>
                  </w:r>
                  <w:r>
                    <w:rPr>
                      <w:rFonts w:hint="default" w:ascii="Times New Roman" w:hAnsi="Times New Roman" w:eastAsia="仿宋" w:cs="Times New Roman"/>
                      <w:color w:val="auto"/>
                      <w:kern w:val="0"/>
                      <w:sz w:val="21"/>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4"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765" w:type="pc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sz w:val="21"/>
                      <w:szCs w:val="21"/>
                      <w:highlight w:val="none"/>
                      <w:lang w:val="en-US" w:eastAsia="zh-CN"/>
                    </w:rPr>
                    <w:t>防渗沉淀池</w:t>
                  </w:r>
                </w:p>
              </w:tc>
              <w:tc>
                <w:tcPr>
                  <w:tcW w:w="3813" w:type="pc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sz w:val="21"/>
                      <w:szCs w:val="21"/>
                    </w:rPr>
                    <w:t>新建沉淀池</w:t>
                  </w:r>
                  <w:r>
                    <w:rPr>
                      <w:rFonts w:hint="eastAsia" w:eastAsia="仿宋" w:cs="Times New Roman"/>
                      <w:color w:val="auto"/>
                      <w:sz w:val="21"/>
                      <w:szCs w:val="21"/>
                      <w:lang w:val="en-US" w:eastAsia="zh-CN"/>
                    </w:rPr>
                    <w:t>1</w:t>
                  </w:r>
                  <w:r>
                    <w:rPr>
                      <w:rFonts w:hint="default" w:ascii="Times New Roman" w:hAnsi="Times New Roman" w:eastAsia="仿宋" w:cs="Times New Roman"/>
                      <w:color w:val="auto"/>
                      <w:sz w:val="21"/>
                      <w:szCs w:val="21"/>
                    </w:rPr>
                    <w:t>个，容积为</w:t>
                  </w:r>
                  <w:r>
                    <w:rPr>
                      <w:rFonts w:hint="default" w:ascii="Times New Roman" w:hAnsi="Times New Roman" w:eastAsia="仿宋" w:cs="Times New Roman"/>
                      <w:color w:val="auto"/>
                      <w:sz w:val="21"/>
                      <w:szCs w:val="21"/>
                      <w:lang w:val="en-US" w:eastAsia="zh-CN"/>
                    </w:rPr>
                    <w:t>300</w:t>
                  </w:r>
                  <w:r>
                    <w:rPr>
                      <w:rFonts w:hint="default" w:ascii="Times New Roman" w:hAnsi="Times New Roman" w:eastAsia="仿宋" w:cs="Times New Roman"/>
                      <w:color w:val="auto"/>
                      <w:sz w:val="21"/>
                      <w:szCs w:val="21"/>
                    </w:rPr>
                    <w:t>m</w:t>
                  </w:r>
                  <w:r>
                    <w:rPr>
                      <w:rFonts w:hint="default" w:ascii="Times New Roman" w:hAnsi="Times New Roman" w:eastAsia="仿宋" w:cs="Times New Roman"/>
                      <w:color w:val="auto"/>
                      <w:sz w:val="21"/>
                      <w:szCs w:val="21"/>
                      <w:vertAlign w:val="superscript"/>
                    </w:rPr>
                    <w:t>3</w:t>
                  </w:r>
                  <w:r>
                    <w:rPr>
                      <w:rStyle w:val="29"/>
                      <w:rFonts w:hint="eastAsia" w:ascii="Times New Roman" w:hAnsi="Times New Roman" w:eastAsia="仿宋" w:cs="Times New Roman"/>
                      <w:color w:val="auto"/>
                      <w:sz w:val="21"/>
                      <w:szCs w:val="21"/>
                      <w:lang w:val="en-US" w:eastAsia="zh-CN"/>
                    </w:rPr>
                    <w:t>，位于工业广场。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4"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765" w:type="pct"/>
                  <w:vAlign w:val="center"/>
                </w:tcPr>
                <w:p>
                  <w:pPr>
                    <w:pStyle w:val="44"/>
                    <w:spacing w:line="240" w:lineRule="auto"/>
                    <w:ind w:firstLine="0" w:firstLineChars="0"/>
                    <w:rPr>
                      <w:rFonts w:hint="default"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防渗化粪池</w:t>
                  </w:r>
                </w:p>
              </w:tc>
              <w:tc>
                <w:tcPr>
                  <w:tcW w:w="3813" w:type="pc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新建</w:t>
                  </w:r>
                  <w:r>
                    <w:rPr>
                      <w:rFonts w:hint="eastAsia" w:eastAsia="仿宋" w:cs="Times New Roman"/>
                      <w:color w:val="auto"/>
                      <w:sz w:val="21"/>
                      <w:szCs w:val="21"/>
                      <w:lang w:val="en-US" w:eastAsia="zh-CN"/>
                    </w:rPr>
                    <w:t>化粪池1</w:t>
                  </w:r>
                  <w:r>
                    <w:rPr>
                      <w:rFonts w:hint="default" w:ascii="Times New Roman" w:hAnsi="Times New Roman" w:eastAsia="仿宋" w:cs="Times New Roman"/>
                      <w:color w:val="auto"/>
                      <w:sz w:val="21"/>
                      <w:szCs w:val="21"/>
                    </w:rPr>
                    <w:t>个，容积为</w:t>
                  </w:r>
                  <w:r>
                    <w:rPr>
                      <w:rFonts w:hint="eastAsia" w:ascii="Times New Roman" w:hAnsi="Times New Roman" w:eastAsia="仿宋" w:cs="Times New Roman"/>
                      <w:color w:val="auto"/>
                      <w:sz w:val="21"/>
                      <w:szCs w:val="21"/>
                      <w:lang w:val="en-US" w:eastAsia="zh-CN"/>
                    </w:rPr>
                    <w:t>20</w:t>
                  </w:r>
                  <w:r>
                    <w:rPr>
                      <w:rFonts w:hint="default" w:ascii="Times New Roman" w:hAnsi="Times New Roman" w:eastAsia="仿宋" w:cs="Times New Roman"/>
                      <w:color w:val="auto"/>
                      <w:sz w:val="21"/>
                      <w:szCs w:val="21"/>
                    </w:rPr>
                    <w:t>m</w:t>
                  </w:r>
                  <w:r>
                    <w:rPr>
                      <w:rFonts w:hint="default" w:ascii="Times New Roman" w:hAnsi="Times New Roman" w:eastAsia="仿宋" w:cs="Times New Roman"/>
                      <w:color w:val="auto"/>
                      <w:sz w:val="21"/>
                      <w:szCs w:val="21"/>
                      <w:vertAlign w:val="superscript"/>
                    </w:rPr>
                    <w:t>3</w:t>
                  </w:r>
                  <w:r>
                    <w:rPr>
                      <w:rStyle w:val="29"/>
                      <w:rFonts w:hint="eastAsia" w:ascii="Times New Roman" w:hAnsi="Times New Roman" w:eastAsia="仿宋" w:cs="Times New Roman"/>
                      <w:color w:val="auto"/>
                      <w:sz w:val="21"/>
                      <w:szCs w:val="21"/>
                      <w:lang w:val="en-US" w:eastAsia="zh-CN"/>
                    </w:rPr>
                    <w:t>，位于生活区南侧。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20"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公用</w:t>
                  </w:r>
                </w:p>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76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供配电</w:t>
                  </w:r>
                </w:p>
              </w:tc>
              <w:tc>
                <w:tcPr>
                  <w:tcW w:w="3813"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矿区北部约2km有高压电网通过，矿山可从附近电网引入10kV高压线路入矿区作为供电电源。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yellow"/>
                    </w:rPr>
                  </w:pPr>
                </w:p>
              </w:tc>
              <w:tc>
                <w:tcPr>
                  <w:tcW w:w="76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供水</w:t>
                  </w:r>
                </w:p>
              </w:tc>
              <w:tc>
                <w:tcPr>
                  <w:tcW w:w="3813" w:type="pct"/>
                  <w:vAlign w:val="center"/>
                </w:tcPr>
                <w:p>
                  <w:pPr>
                    <w:widowControl/>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矿山生产用水设计从矿区东南部约8公里的金水站拉取，设计配备</w:t>
                  </w:r>
                  <w:r>
                    <w:rPr>
                      <w:rFonts w:hint="eastAsia"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lang w:val="en-US" w:eastAsia="zh-CN"/>
                    </w:rPr>
                    <w:t>台20m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水车，生活用水自七克台镇拉运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yellow"/>
                    </w:rPr>
                  </w:pPr>
                </w:p>
              </w:tc>
              <w:tc>
                <w:tcPr>
                  <w:tcW w:w="76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排水</w:t>
                  </w:r>
                </w:p>
              </w:tc>
              <w:tc>
                <w:tcPr>
                  <w:tcW w:w="3813"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本项目不产生生产废水，</w:t>
                  </w:r>
                  <w:r>
                    <w:rPr>
                      <w:rFonts w:hint="default" w:ascii="Times New Roman" w:hAnsi="Times New Roman" w:eastAsia="仿宋" w:cs="Times New Roman"/>
                      <w:color w:val="auto"/>
                      <w:sz w:val="21"/>
                      <w:szCs w:val="21"/>
                      <w:highlight w:val="none"/>
                      <w:lang w:val="en-US" w:eastAsia="zh-CN"/>
                    </w:rPr>
                    <w:t>食堂废水经隔油处理后与其他生活污水暂存于化粪池，定期委托个人由吸污泵车拉运至鄯善县污水处理厂处置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yellow"/>
                    </w:rPr>
                  </w:pPr>
                </w:p>
              </w:tc>
              <w:tc>
                <w:tcPr>
                  <w:tcW w:w="76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供暖</w:t>
                  </w:r>
                </w:p>
              </w:tc>
              <w:tc>
                <w:tcPr>
                  <w:tcW w:w="3813"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办公生活区</w:t>
                  </w:r>
                  <w:r>
                    <w:rPr>
                      <w:rFonts w:hint="default" w:ascii="Times New Roman" w:hAnsi="Times New Roman" w:eastAsia="仿宋" w:cs="Times New Roman"/>
                      <w:color w:val="auto"/>
                      <w:sz w:val="21"/>
                      <w:szCs w:val="21"/>
                      <w:highlight w:val="none"/>
                    </w:rPr>
                    <w:t>冬季</w:t>
                  </w:r>
                  <w:r>
                    <w:rPr>
                      <w:rFonts w:hint="default" w:ascii="Times New Roman" w:hAnsi="Times New Roman" w:eastAsia="仿宋" w:cs="Times New Roman"/>
                      <w:color w:val="auto"/>
                      <w:sz w:val="21"/>
                      <w:szCs w:val="21"/>
                      <w:highlight w:val="none"/>
                      <w:lang w:val="en-US" w:eastAsia="zh-CN"/>
                    </w:rPr>
                    <w:t>供暖采用</w:t>
                  </w:r>
                  <w:r>
                    <w:rPr>
                      <w:rFonts w:hint="eastAsia" w:eastAsia="仿宋" w:cs="Times New Roman"/>
                      <w:color w:val="auto"/>
                      <w:sz w:val="21"/>
                      <w:szCs w:val="21"/>
                      <w:highlight w:val="none"/>
                      <w:lang w:val="en-US" w:eastAsia="zh-CN"/>
                    </w:rPr>
                    <w:t>电暖器</w:t>
                  </w:r>
                  <w:r>
                    <w:rPr>
                      <w:rFonts w:hint="default" w:ascii="Times New Roman" w:hAnsi="Times New Roman" w:eastAsia="仿宋" w:cs="Times New Roman"/>
                      <w:color w:val="auto"/>
                      <w:sz w:val="21"/>
                      <w:szCs w:val="21"/>
                      <w:highlight w:val="none"/>
                      <w:lang w:val="en-US" w:eastAsia="zh-CN"/>
                    </w:rPr>
                    <w:t>取暖</w:t>
                  </w:r>
                  <w:r>
                    <w:rPr>
                      <w:rFonts w:hint="default" w:ascii="Times New Roman" w:hAnsi="Times New Roman" w:eastAsia="仿宋" w:cs="Times New Roman"/>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yellow"/>
                    </w:rPr>
                  </w:pPr>
                </w:p>
              </w:tc>
              <w:tc>
                <w:tcPr>
                  <w:tcW w:w="765"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道路</w:t>
                  </w:r>
                </w:p>
              </w:tc>
              <w:tc>
                <w:tcPr>
                  <w:tcW w:w="3813"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矿区内道路</w:t>
                  </w:r>
                  <w:r>
                    <w:rPr>
                      <w:rFonts w:hint="eastAsia" w:eastAsia="仿宋" w:cs="Times New Roman"/>
                      <w:color w:val="auto"/>
                      <w:sz w:val="21"/>
                      <w:szCs w:val="21"/>
                      <w:highlight w:val="none"/>
                      <w:lang w:val="en-US" w:eastAsia="zh-CN"/>
                    </w:rPr>
                    <w:t>3600</w:t>
                  </w:r>
                  <w:r>
                    <w:rPr>
                      <w:rFonts w:hint="default" w:ascii="Times New Roman" w:hAnsi="Times New Roman" w:eastAsia="仿宋" w:cs="Times New Roman"/>
                      <w:color w:val="auto"/>
                      <w:sz w:val="21"/>
                      <w:szCs w:val="21"/>
                      <w:highlight w:val="none"/>
                      <w:lang w:val="en-US" w:eastAsia="zh-CN"/>
                    </w:rPr>
                    <w:t>平方米，</w:t>
                  </w:r>
                  <w:r>
                    <w:rPr>
                      <w:rFonts w:hint="eastAsia" w:eastAsia="仿宋" w:cs="Times New Roman"/>
                      <w:color w:val="auto"/>
                      <w:sz w:val="21"/>
                      <w:szCs w:val="21"/>
                      <w:highlight w:val="none"/>
                      <w:lang w:val="en-US" w:eastAsia="zh-CN"/>
                    </w:rPr>
                    <w:t>泥结碎石路面，道路宽6米。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yellow"/>
                    </w:rPr>
                  </w:pPr>
                </w:p>
              </w:tc>
              <w:tc>
                <w:tcPr>
                  <w:tcW w:w="765"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3813"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矿区外道路</w:t>
                  </w:r>
                  <w:r>
                    <w:rPr>
                      <w:rFonts w:hint="eastAsia" w:eastAsia="仿宋" w:cs="Times New Roman"/>
                      <w:color w:val="auto"/>
                      <w:sz w:val="21"/>
                      <w:szCs w:val="21"/>
                      <w:highlight w:val="none"/>
                      <w:lang w:val="en-US" w:eastAsia="zh-CN"/>
                    </w:rPr>
                    <w:t>8000</w:t>
                  </w:r>
                  <w:r>
                    <w:rPr>
                      <w:rFonts w:hint="default" w:ascii="Times New Roman" w:hAnsi="Times New Roman" w:eastAsia="仿宋" w:cs="Times New Roman"/>
                      <w:color w:val="auto"/>
                      <w:sz w:val="21"/>
                      <w:szCs w:val="21"/>
                      <w:highlight w:val="none"/>
                      <w:lang w:val="en-US" w:eastAsia="zh-CN"/>
                    </w:rPr>
                    <w:t>平方米</w:t>
                  </w:r>
                  <w:r>
                    <w:rPr>
                      <w:rFonts w:hint="eastAsia" w:ascii="Times New Roman" w:hAnsi="Times New Roman" w:eastAsia="仿宋" w:cs="Times New Roman"/>
                      <w:color w:val="auto"/>
                      <w:sz w:val="21"/>
                      <w:szCs w:val="21"/>
                      <w:highlight w:val="none"/>
                      <w:lang w:val="en-US" w:eastAsia="zh-CN"/>
                    </w:rPr>
                    <w:t>，</w:t>
                  </w:r>
                  <w:r>
                    <w:rPr>
                      <w:rFonts w:hint="eastAsia" w:eastAsia="仿宋" w:cs="Times New Roman"/>
                      <w:color w:val="auto"/>
                      <w:sz w:val="21"/>
                      <w:szCs w:val="21"/>
                      <w:highlight w:val="none"/>
                      <w:lang w:val="en-US" w:eastAsia="zh-CN"/>
                    </w:rPr>
                    <w:t>泥结碎石路面，道路宽6米。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41" w:hRule="atLeast"/>
                <w:jc w:val="center"/>
              </w:trPr>
              <w:tc>
                <w:tcPr>
                  <w:tcW w:w="420"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环保</w:t>
                  </w:r>
                </w:p>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76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废气</w:t>
                  </w:r>
                </w:p>
              </w:tc>
              <w:tc>
                <w:tcPr>
                  <w:tcW w:w="3813" w:type="pct"/>
                  <w:tcBorders>
                    <w:bottom w:val="single" w:color="auto" w:sz="4" w:space="0"/>
                  </w:tcBorders>
                  <w:vAlign w:val="center"/>
                </w:tcPr>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开采粉尘：采用雾炮机喷洒降尘；</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筛分粉尘：</w:t>
                  </w:r>
                  <w:r>
                    <w:rPr>
                      <w:rFonts w:hint="default" w:ascii="Times New Roman" w:hAnsi="Times New Roman" w:eastAsia="仿宋" w:cs="Times New Roman"/>
                      <w:color w:val="auto"/>
                      <w:sz w:val="21"/>
                      <w:szCs w:val="21"/>
                      <w:highlight w:val="none"/>
                      <w:lang w:val="en-US" w:eastAsia="zh-CN"/>
                    </w:rPr>
                    <w:t>对筛分工序进行局部密闭，无法密闭部位安装水喷淋降尘</w:t>
                  </w:r>
                  <w:r>
                    <w:rPr>
                      <w:rFonts w:hint="default" w:ascii="Times New Roman" w:hAnsi="Times New Roman" w:eastAsia="仿宋" w:cs="Times New Roman"/>
                      <w:color w:val="auto"/>
                      <w:highlight w:val="none"/>
                    </w:rPr>
                    <w:t>；</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装卸粉尘：雾炮机喷洒降尘，加强管理，规范作业；</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运输道路扬尘：运输车辆篷布遮盖；车辆限速；运输道路每日洒水</w:t>
                  </w:r>
                  <w:r>
                    <w:rPr>
                      <w:rFonts w:hint="eastAsia"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次；运输车辆轮胎冲洗等；</w:t>
                  </w:r>
                </w:p>
                <w:p>
                  <w:pPr>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eastAsia="zh-CN"/>
                    </w:rPr>
                    <w:t>表土堆场、</w:t>
                  </w:r>
                  <w:r>
                    <w:rPr>
                      <w:rFonts w:hint="default" w:ascii="Times New Roman" w:hAnsi="Times New Roman" w:eastAsia="仿宋" w:cs="Times New Roman"/>
                      <w:color w:val="auto"/>
                      <w:highlight w:val="none"/>
                      <w:lang w:eastAsia="zh-CN"/>
                    </w:rPr>
                    <w:t>废石堆场</w:t>
                  </w:r>
                  <w:r>
                    <w:rPr>
                      <w:rFonts w:hint="default" w:ascii="Times New Roman" w:hAnsi="Times New Roman" w:eastAsia="仿宋" w:cs="Times New Roman"/>
                      <w:color w:val="auto"/>
                      <w:highlight w:val="none"/>
                    </w:rPr>
                    <w:t>：</w:t>
                  </w:r>
                  <w:r>
                    <w:rPr>
                      <w:rFonts w:hint="eastAsia" w:eastAsia="仿宋" w:cs="Times New Roman"/>
                      <w:color w:val="auto"/>
                      <w:kern w:val="0"/>
                      <w:sz w:val="21"/>
                      <w:szCs w:val="21"/>
                      <w:vertAlign w:val="baseline"/>
                      <w:lang w:val="en-US" w:eastAsia="zh-CN"/>
                    </w:rPr>
                    <w:t>采取防尘网苫盖</w:t>
                  </w:r>
                  <w:r>
                    <w:rPr>
                      <w:rFonts w:hint="default" w:ascii="Times New Roman" w:hAnsi="Times New Roman" w:eastAsia="仿宋" w:cs="Times New Roman"/>
                      <w:color w:val="auto"/>
                      <w:kern w:val="0"/>
                      <w:sz w:val="21"/>
                      <w:szCs w:val="21"/>
                      <w:vertAlign w:val="baseline"/>
                      <w:lang w:val="en-US" w:eastAsia="zh-CN"/>
                    </w:rPr>
                    <w:t>，洒水保湿</w:t>
                  </w:r>
                  <w:r>
                    <w:rPr>
                      <w:rFonts w:hint="default" w:ascii="Times New Roman" w:hAnsi="Times New Roman" w:eastAsia="仿宋" w:cs="Times New Roman"/>
                      <w:color w:val="auto"/>
                      <w:highlight w:val="none"/>
                    </w:rPr>
                    <w:t>。</w:t>
                  </w:r>
                </w:p>
                <w:p>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kern w:val="0"/>
                      <w:sz w:val="21"/>
                      <w:szCs w:val="21"/>
                      <w:highlight w:val="none"/>
                      <w:lang w:val="en-US" w:eastAsia="zh-CN"/>
                    </w:rPr>
                    <w:t>食堂油烟：经油烟净化器处理后排放。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p>
              </w:tc>
              <w:tc>
                <w:tcPr>
                  <w:tcW w:w="76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废水处理</w:t>
                  </w:r>
                </w:p>
              </w:tc>
              <w:tc>
                <w:tcPr>
                  <w:tcW w:w="3813"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本项目</w:t>
                  </w:r>
                  <w:r>
                    <w:rPr>
                      <w:rFonts w:hint="default" w:ascii="Times New Roman" w:hAnsi="Times New Roman" w:eastAsia="仿宋" w:cs="Times New Roman"/>
                      <w:color w:val="auto"/>
                      <w:sz w:val="21"/>
                      <w:szCs w:val="21"/>
                      <w:highlight w:val="none"/>
                      <w:lang w:val="en-US" w:eastAsia="zh-CN"/>
                    </w:rPr>
                    <w:t>运营期</w:t>
                  </w:r>
                  <w:r>
                    <w:rPr>
                      <w:rFonts w:hint="default" w:ascii="Times New Roman" w:hAnsi="Times New Roman" w:eastAsia="仿宋" w:cs="Times New Roman"/>
                      <w:color w:val="auto"/>
                      <w:sz w:val="21"/>
                      <w:szCs w:val="21"/>
                      <w:highlight w:val="none"/>
                    </w:rPr>
                    <w:t>不产生生产废水，</w:t>
                  </w:r>
                  <w:r>
                    <w:rPr>
                      <w:rFonts w:hint="default" w:ascii="Times New Roman" w:hAnsi="Times New Roman" w:eastAsia="仿宋" w:cs="Times New Roman"/>
                      <w:color w:val="auto"/>
                      <w:sz w:val="21"/>
                      <w:szCs w:val="21"/>
                      <w:highlight w:val="none"/>
                      <w:lang w:val="en-US" w:eastAsia="zh-CN"/>
                    </w:rPr>
                    <w:t>食堂废水经隔油处理后与其他生活污水暂存于化粪池，定期委托个人由吸污泵车拉运至鄯善县污水处理厂处置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2"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p>
              </w:tc>
              <w:tc>
                <w:tcPr>
                  <w:tcW w:w="76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噪声处理</w:t>
                  </w:r>
                </w:p>
              </w:tc>
              <w:tc>
                <w:tcPr>
                  <w:tcW w:w="3813"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项目采用低噪声开采、装卸设备，高噪声设备定期维护，运输车辆限速，禁鸣等降噪措施。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8"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765"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固体废物处置</w:t>
                  </w:r>
                </w:p>
              </w:tc>
              <w:tc>
                <w:tcPr>
                  <w:tcW w:w="3813"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筛选废砂石堆放于</w:t>
                  </w:r>
                  <w:r>
                    <w:rPr>
                      <w:rFonts w:hint="eastAsia" w:eastAsia="仿宋" w:cs="Times New Roman"/>
                      <w:color w:val="auto"/>
                      <w:kern w:val="0"/>
                      <w:sz w:val="21"/>
                      <w:szCs w:val="21"/>
                      <w:highlight w:val="none"/>
                      <w:lang w:val="en-US" w:eastAsia="zh-CN"/>
                    </w:rPr>
                    <w:t>堆料场</w:t>
                  </w:r>
                  <w:r>
                    <w:rPr>
                      <w:rFonts w:hint="default" w:ascii="Times New Roman" w:hAnsi="Times New Roman" w:eastAsia="仿宋" w:cs="Times New Roman"/>
                      <w:color w:val="auto"/>
                      <w:kern w:val="0"/>
                      <w:sz w:val="21"/>
                      <w:szCs w:val="21"/>
                      <w:highlight w:val="none"/>
                    </w:rPr>
                    <w:t>，闭矿期用于采坑回填整治及土地复垦。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3"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765"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p>
              </w:tc>
              <w:tc>
                <w:tcPr>
                  <w:tcW w:w="3813"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防渗沉淀池的泥沙自然风干后定期回填至采坑</w:t>
                  </w:r>
                  <w:r>
                    <w:rPr>
                      <w:rFonts w:hint="eastAsia" w:eastAsia="仿宋" w:cs="Times New Roman"/>
                      <w:color w:val="auto"/>
                      <w:kern w:val="0"/>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71"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765"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p>
              </w:tc>
              <w:tc>
                <w:tcPr>
                  <w:tcW w:w="3813"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生活垃圾集中收集</w:t>
                  </w:r>
                  <w:r>
                    <w:rPr>
                      <w:rFonts w:hint="default" w:ascii="Times New Roman" w:hAnsi="Times New Roman" w:eastAsia="仿宋" w:cs="Times New Roman"/>
                      <w:color w:val="auto"/>
                      <w:kern w:val="0"/>
                      <w:sz w:val="21"/>
                      <w:szCs w:val="21"/>
                      <w:highlight w:val="none"/>
                      <w:lang w:val="en-US" w:eastAsia="zh-CN"/>
                    </w:rPr>
                    <w:t>后拉运至鄯善县垃圾填埋场处置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6" w:hRule="atLeast"/>
                <w:jc w:val="center"/>
              </w:trPr>
              <w:tc>
                <w:tcPr>
                  <w:tcW w:w="420"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765"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3813" w:type="pct"/>
                  <w:vAlign w:val="center"/>
                </w:tcPr>
                <w:p>
                  <w:pPr>
                    <w:widowControl/>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highlight w:val="none"/>
                    </w:rPr>
                    <w:t>废机油</w:t>
                  </w:r>
                  <w:r>
                    <w:rPr>
                      <w:rFonts w:hint="eastAsia" w:eastAsia="仿宋" w:cs="Times New Roman"/>
                      <w:color w:val="auto"/>
                      <w:sz w:val="21"/>
                      <w:szCs w:val="21"/>
                      <w:highlight w:val="none"/>
                      <w:lang w:eastAsia="zh-CN"/>
                    </w:rPr>
                    <w:t>、</w:t>
                  </w:r>
                  <w:r>
                    <w:rPr>
                      <w:rFonts w:hint="eastAsia" w:eastAsia="仿宋" w:cs="Times New Roman"/>
                      <w:color w:val="auto"/>
                      <w:sz w:val="21"/>
                      <w:szCs w:val="21"/>
                      <w:highlight w:val="none"/>
                      <w:lang w:val="en-US" w:eastAsia="zh-CN"/>
                    </w:rPr>
                    <w:t>废机油桶</w:t>
                  </w:r>
                  <w:r>
                    <w:rPr>
                      <w:rFonts w:hint="default" w:ascii="Times New Roman" w:hAnsi="Times New Roman" w:eastAsia="仿宋" w:cs="Times New Roman"/>
                      <w:color w:val="auto"/>
                      <w:sz w:val="21"/>
                      <w:szCs w:val="21"/>
                      <w:highlight w:val="none"/>
                      <w:lang w:val="en-US" w:eastAsia="zh-CN"/>
                    </w:rPr>
                    <w:t>暂存于</w:t>
                  </w:r>
                  <w:r>
                    <w:rPr>
                      <w:rFonts w:hint="default" w:ascii="Times New Roman" w:hAnsi="Times New Roman" w:eastAsia="仿宋" w:cs="Times New Roman"/>
                      <w:color w:val="auto"/>
                      <w:sz w:val="21"/>
                      <w:szCs w:val="21"/>
                      <w:highlight w:val="none"/>
                    </w:rPr>
                    <w:t>危险废物暂存间（</w:t>
                  </w:r>
                  <w:r>
                    <w:rPr>
                      <w:rFonts w:hint="default" w:ascii="Times New Roman" w:hAnsi="Times New Roman" w:eastAsia="仿宋" w:cs="Times New Roman"/>
                      <w:color w:val="auto"/>
                      <w:sz w:val="21"/>
                      <w:szCs w:val="21"/>
                      <w:highlight w:val="none"/>
                      <w:lang w:val="en-US" w:eastAsia="zh-CN"/>
                    </w:rPr>
                    <w:t>约10m</w:t>
                  </w:r>
                  <w:r>
                    <w:rPr>
                      <w:rFonts w:hint="default" w:ascii="Times New Roman" w:hAnsi="Times New Roman" w:eastAsia="仿宋" w:cs="Times New Roman"/>
                      <w:color w:val="auto"/>
                      <w:sz w:val="21"/>
                      <w:szCs w:val="21"/>
                      <w:highlight w:val="none"/>
                      <w:vertAlign w:val="superscript"/>
                      <w:lang w:val="en-US" w:eastAsia="zh-CN"/>
                    </w:rPr>
                    <w:t>2</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重点防渗</w:t>
                  </w:r>
                  <w:r>
                    <w:rPr>
                      <w:rFonts w:hint="eastAsia" w:eastAsia="仿宋" w:cs="Times New Roman"/>
                      <w:color w:val="auto"/>
                      <w:sz w:val="21"/>
                      <w:szCs w:val="21"/>
                      <w:highlight w:val="none"/>
                      <w:lang w:eastAsia="zh-CN"/>
                    </w:rPr>
                    <w:t>，</w:t>
                  </w:r>
                  <w:r>
                    <w:rPr>
                      <w:rFonts w:hint="eastAsia" w:eastAsia="仿宋" w:cs="Times New Roman"/>
                      <w:color w:val="auto"/>
                      <w:sz w:val="21"/>
                      <w:szCs w:val="21"/>
                      <w:highlight w:val="none"/>
                      <w:lang w:val="en-US" w:eastAsia="zh-CN"/>
                    </w:rPr>
                    <w:t>位于生活区西侧</w:t>
                  </w:r>
                  <w:r>
                    <w:rPr>
                      <w:rFonts w:hint="default" w:ascii="Times New Roman" w:hAnsi="Times New Roman" w:eastAsia="仿宋" w:cs="Times New Roman"/>
                      <w:color w:val="auto"/>
                      <w:sz w:val="21"/>
                      <w:szCs w:val="21"/>
                      <w:highlight w:val="none"/>
                    </w:rPr>
                    <w:t>）后，交由有资质单位处置</w:t>
                  </w:r>
                </w:p>
              </w:tc>
            </w:tr>
          </w:tbl>
          <w:p>
            <w:pPr>
              <w:pStyle w:val="41"/>
              <w:keepNext w:val="0"/>
              <w:keepLines w:val="0"/>
              <w:pageBreakBefore w:val="0"/>
              <w:widowControl w:val="0"/>
              <w:kinsoku/>
              <w:wordWrap/>
              <w:overflowPunct w:val="0"/>
              <w:topLinePunct w:val="0"/>
              <w:autoSpaceDE/>
              <w:autoSpaceDN/>
              <w:bidi w:val="0"/>
              <w:adjustRightInd/>
              <w:snapToGrid/>
              <w:spacing w:before="157" w:beforeLines="50" w:line="360" w:lineRule="auto"/>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表2-3原辅材料及能源消耗一览表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387"/>
              <w:gridCol w:w="1079"/>
              <w:gridCol w:w="78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735"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572"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用量</w:t>
                  </w:r>
                </w:p>
              </w:tc>
              <w:tc>
                <w:tcPr>
                  <w:tcW w:w="416"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w:t>
                  </w:r>
                </w:p>
              </w:tc>
              <w:tc>
                <w:tcPr>
                  <w:tcW w:w="2814"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40"/>
                    <w:spacing w:line="240" w:lineRule="auto"/>
                    <w:ind w:firstLine="0" w:firstLineChars="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一、原料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735"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b w:val="0"/>
                      <w:bCs/>
                      <w:color w:val="auto"/>
                      <w:sz w:val="21"/>
                      <w:szCs w:val="21"/>
                      <w:vertAlign w:val="baseline"/>
                      <w:lang w:val="en-US" w:eastAsia="zh-CN"/>
                    </w:rPr>
                    <w:t>土砂石矿</w:t>
                  </w:r>
                </w:p>
              </w:tc>
              <w:tc>
                <w:tcPr>
                  <w:tcW w:w="572"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lang w:val="en-US"/>
                    </w:rPr>
                  </w:pPr>
                  <w:r>
                    <w:rPr>
                      <w:rFonts w:hint="eastAsia" w:eastAsia="仿宋" w:cs="Times New Roman"/>
                      <w:b w:val="0"/>
                      <w:bCs/>
                      <w:color w:val="auto"/>
                      <w:sz w:val="21"/>
                      <w:szCs w:val="21"/>
                      <w:vertAlign w:val="baseline"/>
                      <w:lang w:val="en-US" w:eastAsia="zh-CN"/>
                    </w:rPr>
                    <w:t>65</w:t>
                  </w:r>
                  <w:r>
                    <w:rPr>
                      <w:rFonts w:hint="default" w:ascii="Times New Roman" w:hAnsi="Times New Roman" w:eastAsia="仿宋" w:cs="Times New Roman"/>
                      <w:b w:val="0"/>
                      <w:bCs/>
                      <w:color w:val="auto"/>
                      <w:sz w:val="21"/>
                      <w:szCs w:val="21"/>
                      <w:vertAlign w:val="baseline"/>
                      <w:lang w:val="en-US" w:eastAsia="zh-CN"/>
                    </w:rPr>
                    <w:t>0000</w:t>
                  </w:r>
                </w:p>
              </w:tc>
              <w:tc>
                <w:tcPr>
                  <w:tcW w:w="416"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t/a</w:t>
                  </w:r>
                </w:p>
              </w:tc>
              <w:tc>
                <w:tcPr>
                  <w:tcW w:w="2814"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40"/>
                    <w:spacing w:line="240" w:lineRule="auto"/>
                    <w:ind w:firstLine="0" w:firstLineChars="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二、能源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735"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水</w:t>
                  </w:r>
                </w:p>
              </w:tc>
              <w:tc>
                <w:tcPr>
                  <w:tcW w:w="572"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48737.7</w:t>
                  </w:r>
                </w:p>
              </w:tc>
              <w:tc>
                <w:tcPr>
                  <w:tcW w:w="416"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rPr>
                    <w:t>/a</w:t>
                  </w:r>
                </w:p>
              </w:tc>
              <w:tc>
                <w:tcPr>
                  <w:tcW w:w="2814"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矿山生产用水设计从矿区东南部约8公里的金水站拉取，设计配备</w:t>
                  </w:r>
                  <w:r>
                    <w:rPr>
                      <w:rFonts w:hint="eastAsia"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lang w:val="en-US" w:eastAsia="zh-CN"/>
                    </w:rPr>
                    <w:t>台20m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水车，生活用水自七克台镇拉运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735"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电</w:t>
                  </w:r>
                </w:p>
              </w:tc>
              <w:tc>
                <w:tcPr>
                  <w:tcW w:w="572"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140616</w:t>
                  </w:r>
                </w:p>
              </w:tc>
              <w:tc>
                <w:tcPr>
                  <w:tcW w:w="416" w:type="pct"/>
                  <w:vAlign w:val="center"/>
                </w:tcPr>
                <w:p>
                  <w:pPr>
                    <w:pStyle w:val="4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kWh</w:t>
                  </w:r>
                </w:p>
              </w:tc>
              <w:tc>
                <w:tcPr>
                  <w:tcW w:w="2814" w:type="pct"/>
                  <w:vAlign w:val="center"/>
                </w:tcPr>
                <w:p>
                  <w:pPr>
                    <w:pStyle w:val="40"/>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附近电网引入10kV高压线路入矿区，距离约5km</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textAlignment w:val="auto"/>
              <w:rPr>
                <w:rFonts w:hint="default" w:ascii="Times New Roman" w:hAnsi="Times New Roman" w:eastAsia="仿宋" w:cs="Times New Roman"/>
                <w:b/>
                <w:bCs/>
                <w:color w:val="auto"/>
                <w:sz w:val="21"/>
                <w:szCs w:val="21"/>
                <w:lang w:val="en-US" w:eastAsia="zh-CN"/>
              </w:rPr>
            </w:pPr>
            <w:r>
              <w:rPr>
                <w:rFonts w:hint="eastAsia" w:eastAsia="仿宋" w:cs="Times New Roman"/>
                <w:bCs/>
                <w:color w:val="auto"/>
                <w:spacing w:val="10"/>
                <w:sz w:val="21"/>
                <w:szCs w:val="21"/>
                <w:lang w:val="en-US" w:eastAsia="zh-CN"/>
              </w:rPr>
              <w:t>注：</w:t>
            </w:r>
            <w:r>
              <w:rPr>
                <w:rFonts w:hint="default" w:ascii="Times New Roman" w:hAnsi="Times New Roman" w:eastAsia="仿宋" w:cs="Times New Roman"/>
                <w:bCs/>
                <w:color w:val="auto"/>
                <w:spacing w:val="10"/>
                <w:sz w:val="21"/>
                <w:szCs w:val="21"/>
                <w:lang w:eastAsia="zh-CN"/>
              </w:rPr>
              <w:t>本项目不设置柴油储罐，</w:t>
            </w:r>
            <w:r>
              <w:rPr>
                <w:rFonts w:hint="default" w:ascii="Times New Roman" w:hAnsi="Times New Roman" w:eastAsia="仿宋" w:cs="Times New Roman"/>
                <w:bCs/>
                <w:color w:val="auto"/>
                <w:spacing w:val="10"/>
                <w:sz w:val="21"/>
                <w:szCs w:val="21"/>
                <w:lang w:val="en-US" w:eastAsia="zh-CN"/>
              </w:rPr>
              <w:t>项目每天柴油用量较小，距七克台镇距离较近，便于柴油运送，因此矿区不设柴油储罐区，机械运行所用柴油由矿区附近能源公司运输提供，采用现用现拉运方式可行。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w:t>
            </w:r>
            <w:r>
              <w:rPr>
                <w:rFonts w:hint="default" w:ascii="Times New Roman" w:hAnsi="Times New Roman" w:eastAsia="仿宋" w:cs="Times New Roman"/>
                <w:b/>
                <w:bCs/>
                <w:color w:val="auto"/>
                <w:sz w:val="24"/>
                <w:szCs w:val="24"/>
              </w:rPr>
              <w:t>建设规模及主要工程参数</w:t>
            </w:r>
          </w:p>
          <w:p>
            <w:pPr>
              <w:keepNext w:val="0"/>
              <w:keepLines w:val="0"/>
              <w:widowControl/>
              <w:suppressLineNumbers w:val="0"/>
              <w:spacing w:line="360" w:lineRule="auto"/>
              <w:jc w:val="left"/>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根据项目普查报告，矿区范围内建筑用砂石料矿推断资源量</w:t>
            </w:r>
            <w:r>
              <w:rPr>
                <w:rFonts w:hint="eastAsia" w:hAnsi="宋体" w:eastAsia="宋体" w:cs="宋体"/>
                <w:color w:val="auto"/>
                <w:sz w:val="24"/>
                <w:szCs w:val="24"/>
                <w:lang w:val="en-US" w:eastAsia="zh-CN"/>
              </w:rPr>
              <w:t>187.52</w:t>
            </w:r>
            <w:r>
              <w:rPr>
                <w:rFonts w:hint="default" w:ascii="Times New Roman" w:hAnsi="Times New Roman" w:eastAsia="仿宋" w:cs="Times New Roman"/>
                <w:color w:val="auto"/>
                <w:sz w:val="24"/>
                <w:szCs w:val="24"/>
                <w:lang w:val="en-US" w:eastAsia="zh-CN"/>
              </w:rPr>
              <w:t>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kern w:val="0"/>
                <w:sz w:val="24"/>
                <w:szCs w:val="24"/>
                <w:lang w:val="en-US" w:eastAsia="zh-CN" w:bidi="ar"/>
              </w:rPr>
              <w:t>，矿山回采率为98%，矿山服务年限约</w:t>
            </w:r>
            <w:r>
              <w:rPr>
                <w:rFonts w:hint="eastAsia" w:eastAsia="仿宋" w:cs="Times New Roman"/>
                <w:color w:val="auto"/>
                <w:kern w:val="0"/>
                <w:sz w:val="24"/>
                <w:szCs w:val="24"/>
                <w:lang w:val="en-US" w:eastAsia="zh-CN" w:bidi="ar"/>
              </w:rPr>
              <w:t>2.74</w:t>
            </w:r>
            <w:r>
              <w:rPr>
                <w:rFonts w:hint="default" w:ascii="Times New Roman" w:hAnsi="Times New Roman" w:eastAsia="仿宋" w:cs="Times New Roman"/>
                <w:color w:val="auto"/>
                <w:kern w:val="0"/>
                <w:sz w:val="24"/>
                <w:szCs w:val="24"/>
                <w:lang w:val="en-US" w:eastAsia="zh-CN" w:bidi="ar"/>
              </w:rPr>
              <w:t>年。建设规模为建设砂石料</w:t>
            </w:r>
            <w:r>
              <w:rPr>
                <w:rFonts w:hint="eastAsia" w:eastAsia="仿宋" w:cs="Times New Roman"/>
                <w:color w:val="auto"/>
                <w:kern w:val="0"/>
                <w:sz w:val="24"/>
                <w:szCs w:val="24"/>
                <w:lang w:val="en-US" w:eastAsia="zh-CN" w:bidi="ar"/>
              </w:rPr>
              <w:t>1</w:t>
            </w:r>
            <w:r>
              <w:rPr>
                <w:rFonts w:hint="default" w:ascii="Times New Roman" w:hAnsi="Times New Roman" w:eastAsia="仿宋" w:cs="Times New Roman"/>
                <w:color w:val="auto"/>
                <w:kern w:val="0"/>
                <w:sz w:val="24"/>
                <w:szCs w:val="24"/>
                <w:lang w:val="en-US" w:eastAsia="zh-CN" w:bidi="ar"/>
              </w:rPr>
              <w:t>条，年加工砂石料</w:t>
            </w:r>
            <w:r>
              <w:rPr>
                <w:rFonts w:hint="eastAsia" w:eastAsia="仿宋" w:cs="Times New Roman"/>
                <w:color w:val="auto"/>
                <w:sz w:val="24"/>
                <w:szCs w:val="24"/>
                <w:lang w:val="en-US" w:eastAsia="zh-CN"/>
              </w:rPr>
              <w:t>65万</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3</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kern w:val="0"/>
                <w:sz w:val="24"/>
                <w:szCs w:val="24"/>
                <w:lang w:val="en-US" w:eastAsia="zh-CN" w:bidi="ar"/>
              </w:rPr>
              <w:t>根据普查报告，本矿山露天开采境界参数如下：</w:t>
            </w:r>
          </w:p>
          <w:p>
            <w:pPr>
              <w:keepNext w:val="0"/>
              <w:keepLines w:val="0"/>
              <w:widowControl/>
              <w:suppressLineNumbers w:val="0"/>
              <w:spacing w:line="360" w:lineRule="auto"/>
              <w:jc w:val="left"/>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（1）最低开采标高为</w:t>
            </w:r>
            <w:r>
              <w:rPr>
                <w:rFonts w:hint="eastAsia" w:eastAsia="仿宋" w:cs="Times New Roman"/>
                <w:color w:val="auto"/>
                <w:kern w:val="0"/>
                <w:sz w:val="24"/>
                <w:szCs w:val="24"/>
                <w:lang w:val="en-US" w:eastAsia="zh-CN" w:bidi="ar"/>
              </w:rPr>
              <w:t>795</w:t>
            </w:r>
            <w:r>
              <w:rPr>
                <w:rFonts w:hint="default" w:ascii="Times New Roman" w:hAnsi="Times New Roman" w:eastAsia="仿宋" w:cs="Times New Roman"/>
                <w:color w:val="auto"/>
                <w:kern w:val="0"/>
                <w:sz w:val="24"/>
                <w:szCs w:val="24"/>
                <w:lang w:val="en-US" w:eastAsia="zh-CN" w:bidi="ar"/>
              </w:rPr>
              <w:t>m，最高开采标高为</w:t>
            </w:r>
            <w:r>
              <w:rPr>
                <w:rFonts w:hint="eastAsia" w:eastAsia="仿宋" w:cs="Times New Roman"/>
                <w:color w:val="auto"/>
                <w:kern w:val="0"/>
                <w:sz w:val="24"/>
                <w:szCs w:val="24"/>
                <w:lang w:val="en-US" w:eastAsia="zh-CN" w:bidi="ar"/>
              </w:rPr>
              <w:t>810</w:t>
            </w:r>
            <w:r>
              <w:rPr>
                <w:rFonts w:hint="default" w:ascii="Times New Roman" w:hAnsi="Times New Roman" w:eastAsia="仿宋" w:cs="Times New Roman"/>
                <w:color w:val="auto"/>
                <w:kern w:val="0"/>
                <w:sz w:val="24"/>
                <w:szCs w:val="24"/>
                <w:lang w:val="en-US" w:eastAsia="zh-CN" w:bidi="ar"/>
              </w:rPr>
              <w:t>m。</w:t>
            </w:r>
          </w:p>
          <w:p>
            <w:pPr>
              <w:keepNext w:val="0"/>
              <w:keepLines w:val="0"/>
              <w:widowControl/>
              <w:suppressLineNumbers w:val="0"/>
              <w:spacing w:line="360" w:lineRule="auto"/>
              <w:jc w:val="left"/>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（2）开采边坡角≤30°；</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（3）矿层最小可开采厚度3m；</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（4）夹石最小剔除厚度</w:t>
            </w:r>
            <w:r>
              <w:rPr>
                <w:rFonts w:hint="eastAsia" w:eastAsia="仿宋" w:cs="Times New Roman"/>
                <w:color w:val="auto"/>
                <w:sz w:val="24"/>
                <w:szCs w:val="24"/>
                <w:lang w:val="en-US" w:eastAsia="zh-CN"/>
              </w:rPr>
              <w:t>2</w:t>
            </w:r>
            <w:r>
              <w:rPr>
                <w:rFonts w:hint="default" w:ascii="Times New Roman" w:hAnsi="Times New Roman" w:eastAsia="仿宋" w:cs="Times New Roman"/>
                <w:color w:val="auto"/>
                <w:sz w:val="24"/>
                <w:szCs w:val="24"/>
                <w:lang w:val="en-US" w:eastAsia="zh-CN"/>
              </w:rPr>
              <w:t>m；</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（5）开采最终底盘宽度≥</w:t>
            </w:r>
            <w:r>
              <w:rPr>
                <w:rFonts w:hint="eastAsia" w:eastAsia="仿宋" w:cs="Times New Roman"/>
                <w:color w:val="auto"/>
                <w:sz w:val="24"/>
                <w:szCs w:val="24"/>
                <w:lang w:val="en-US" w:eastAsia="zh-CN"/>
              </w:rPr>
              <w:t>40</w:t>
            </w:r>
            <w:r>
              <w:rPr>
                <w:rFonts w:hint="default" w:ascii="Times New Roman" w:hAnsi="Times New Roman" w:eastAsia="仿宋" w:cs="Times New Roman"/>
                <w:color w:val="auto"/>
                <w:sz w:val="24"/>
                <w:szCs w:val="24"/>
                <w:lang w:val="en-US" w:eastAsia="zh-CN"/>
              </w:rPr>
              <w:t>m；</w:t>
            </w:r>
          </w:p>
          <w:p>
            <w:pPr>
              <w:adjustRightInd w:val="0"/>
              <w:snapToGrid w:val="0"/>
              <w:ind w:firstLine="422"/>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kern w:val="0"/>
                <w:sz w:val="24"/>
                <w:szCs w:val="24"/>
                <w:lang w:val="en-US" w:eastAsia="zh-CN"/>
              </w:rPr>
              <w:t>3、</w:t>
            </w:r>
            <w:r>
              <w:rPr>
                <w:rFonts w:hint="default" w:ascii="Times New Roman" w:hAnsi="Times New Roman" w:eastAsia="仿宋" w:cs="Times New Roman"/>
                <w:b/>
                <w:color w:val="auto"/>
                <w:kern w:val="0"/>
                <w:sz w:val="24"/>
                <w:szCs w:val="24"/>
              </w:rPr>
              <w:t>开采方式及开采工艺</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（1）采矿方法、方式</w:t>
            </w:r>
          </w:p>
          <w:p>
            <w:pPr>
              <w:keepNext w:val="0"/>
              <w:keepLines w:val="0"/>
              <w:widowControl/>
              <w:suppressLineNumbers w:val="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该矿开采、开拓方式为：露天开采，公路运输开拓。</w:t>
            </w:r>
          </w:p>
          <w:p>
            <w:pPr>
              <w:keepNext w:val="0"/>
              <w:keepLines w:val="0"/>
              <w:widowControl/>
              <w:suppressLineNumbers w:val="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采矿方法为：直接用</w:t>
            </w:r>
            <w:r>
              <w:rPr>
                <w:rFonts w:hint="eastAsia" w:eastAsia="仿宋" w:cs="Times New Roman"/>
                <w:color w:val="auto"/>
                <w:kern w:val="0"/>
                <w:sz w:val="24"/>
                <w:szCs w:val="24"/>
                <w:lang w:val="en-US" w:eastAsia="zh-CN" w:bidi="ar"/>
              </w:rPr>
              <w:t>挖掘机</w:t>
            </w:r>
            <w:r>
              <w:rPr>
                <w:rFonts w:hint="default" w:ascii="Times New Roman" w:hAnsi="Times New Roman" w:eastAsia="仿宋" w:cs="Times New Roman"/>
                <w:color w:val="auto"/>
                <w:kern w:val="0"/>
                <w:sz w:val="24"/>
                <w:szCs w:val="24"/>
                <w:lang w:val="en-US" w:eastAsia="zh-CN" w:bidi="ar"/>
              </w:rPr>
              <w:t>露天开采。</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选矿方法为：用振动筛将砂石矿筛分为不同粒级的砂石成品。</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（2）加工工艺过程</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采、选矿工艺流程：砂石矿→</w:t>
            </w:r>
            <w:r>
              <w:rPr>
                <w:rFonts w:hint="eastAsia" w:eastAsia="仿宋" w:cs="Times New Roman"/>
                <w:color w:val="auto"/>
                <w:kern w:val="0"/>
                <w:sz w:val="24"/>
                <w:szCs w:val="24"/>
                <w:lang w:val="en-US" w:eastAsia="zh-CN" w:bidi="ar"/>
              </w:rPr>
              <w:t>挖掘机</w:t>
            </w:r>
            <w:r>
              <w:rPr>
                <w:rFonts w:hint="default" w:ascii="Times New Roman" w:hAnsi="Times New Roman" w:eastAsia="仿宋" w:cs="Times New Roman"/>
                <w:color w:val="auto"/>
                <w:kern w:val="0"/>
                <w:sz w:val="24"/>
                <w:szCs w:val="24"/>
                <w:lang w:val="en-US" w:eastAsia="zh-CN" w:bidi="ar"/>
              </w:rPr>
              <w:t>露采→振动筛筛分→水洗→砂石料成品→汽车运输→工地。</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eastAsia" w:eastAsia="仿宋" w:cs="Times New Roman"/>
                <w:color w:val="auto"/>
                <w:kern w:val="0"/>
                <w:sz w:val="24"/>
                <w:szCs w:val="24"/>
                <w:lang w:val="en-US" w:eastAsia="zh-CN" w:bidi="ar"/>
              </w:rPr>
              <w:t>（3）</w:t>
            </w:r>
            <w:r>
              <w:rPr>
                <w:rFonts w:hint="default" w:ascii="Times New Roman" w:hAnsi="Times New Roman" w:eastAsia="仿宋" w:cs="Times New Roman"/>
                <w:color w:val="auto"/>
                <w:kern w:val="0"/>
                <w:sz w:val="24"/>
                <w:szCs w:val="24"/>
                <w:lang w:val="en-US" w:eastAsia="zh-CN" w:bidi="ar"/>
              </w:rPr>
              <w:t>开采起点、开采方向和分区开采顺序</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2"/>
                <w:sz w:val="24"/>
                <w:szCs w:val="24"/>
                <w:highlight w:val="none"/>
                <w:lang w:val="en-US" w:eastAsia="zh-CN" w:bidi="ar-SA"/>
              </w:rPr>
              <w:t>本项目作为G30连霍高速公路哈密至吐峪沟段改扩建工程取料场，</w:t>
            </w:r>
            <w:r>
              <w:rPr>
                <w:rFonts w:hint="eastAsia" w:ascii="Times New Roman" w:hAnsi="Times New Roman" w:eastAsia="仿宋" w:cs="Times New Roman"/>
                <w:color w:val="auto"/>
                <w:kern w:val="2"/>
                <w:sz w:val="24"/>
                <w:szCs w:val="24"/>
                <w:highlight w:val="none"/>
                <w:lang w:val="en-US" w:eastAsia="zh-CN" w:bidi="ar-SA"/>
              </w:rPr>
              <w:t>该项目于2024年2月取得新疆维吾尔自治区生态环境厅关于《G30连霍高速公路哈密至吐峪沟段改扩建工程环境影响报告表的批复》，于2024年1月～2026年12月施工，建设工期3年，</w:t>
            </w:r>
            <w:r>
              <w:rPr>
                <w:rFonts w:hint="eastAsia" w:eastAsia="仿宋" w:cs="Times New Roman"/>
                <w:color w:val="auto"/>
                <w:kern w:val="2"/>
                <w:sz w:val="24"/>
                <w:szCs w:val="24"/>
                <w:highlight w:val="none"/>
                <w:lang w:val="en-US" w:eastAsia="zh-CN" w:bidi="ar-SA"/>
              </w:rPr>
              <w:t>由环评报告可知，本项共设置取土场26个，主要用于主体工程填筑砂砾石料、碎石及砾土，填方量共计22537054m</w:t>
            </w:r>
            <w:r>
              <w:rPr>
                <w:rFonts w:hint="eastAsia" w:eastAsia="仿宋" w:cs="Times New Roman"/>
                <w:color w:val="auto"/>
                <w:kern w:val="2"/>
                <w:sz w:val="24"/>
                <w:szCs w:val="24"/>
                <w:highlight w:val="none"/>
                <w:vertAlign w:val="superscript"/>
                <w:lang w:val="en-US" w:eastAsia="zh-CN" w:bidi="ar-SA"/>
              </w:rPr>
              <w:t>3</w:t>
            </w:r>
            <w:r>
              <w:rPr>
                <w:rFonts w:hint="eastAsia" w:eastAsia="仿宋" w:cs="Times New Roman"/>
                <w:color w:val="auto"/>
                <w:kern w:val="2"/>
                <w:sz w:val="24"/>
                <w:szCs w:val="24"/>
                <w:highlight w:val="none"/>
                <w:lang w:val="en-US" w:eastAsia="zh-CN" w:bidi="ar-SA"/>
              </w:rPr>
              <w:t>，</w:t>
            </w:r>
            <w:r>
              <w:rPr>
                <w:rFonts w:hint="eastAsia" w:eastAsia="仿宋" w:cs="Times New Roman"/>
                <w:color w:val="auto"/>
                <w:kern w:val="0"/>
                <w:sz w:val="24"/>
                <w:szCs w:val="24"/>
                <w:lang w:val="en-US" w:eastAsia="zh-CN" w:bidi="ar"/>
              </w:rPr>
              <w:t>为了保证最终边帮的稳定性和下部水平的工作安全，根据</w:t>
            </w: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鄯善县泰航矿业有限公司新疆鄯善县红台西建筑用砂矿矿产资源开发利用与生态保护修复方案</w:t>
            </w: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z w:val="24"/>
                <w:szCs w:val="24"/>
                <w:lang w:val="en-US" w:eastAsia="zh-CN"/>
              </w:rPr>
              <w:t>可知，本次</w:t>
            </w:r>
            <w:r>
              <w:rPr>
                <w:rFonts w:hint="eastAsia" w:eastAsia="仿宋" w:cs="Times New Roman"/>
                <w:color w:val="auto"/>
                <w:sz w:val="24"/>
                <w:szCs w:val="24"/>
                <w:lang w:val="en-US" w:eastAsia="zh-CN"/>
              </w:rPr>
              <w:t>采用</w:t>
            </w:r>
            <w:r>
              <w:rPr>
                <w:rFonts w:hint="eastAsia" w:ascii="Times New Roman" w:hAnsi="Times New Roman" w:eastAsia="仿宋" w:cs="Times New Roman"/>
                <w:color w:val="auto"/>
                <w:sz w:val="24"/>
                <w:szCs w:val="24"/>
                <w:lang w:val="en-US" w:eastAsia="zh-CN"/>
              </w:rPr>
              <w:t>由东向西，</w:t>
            </w:r>
            <w:r>
              <w:rPr>
                <w:rFonts w:hint="eastAsia" w:eastAsia="仿宋" w:cs="Times New Roman"/>
                <w:color w:val="auto"/>
                <w:sz w:val="24"/>
                <w:szCs w:val="24"/>
                <w:lang w:val="en-US" w:eastAsia="zh-CN"/>
              </w:rPr>
              <w:t>自上而下分水平台阶开采的采矿方法，首采区位于厂区东侧，本项目生活区（彩钢板房）及加工区均易搬迁，待开采一段时间后搬至采空区，详见图2-3：采矿方法图。</w:t>
            </w:r>
          </w:p>
          <w:p>
            <w:pPr>
              <w:adjustRightInd w:val="0"/>
              <w:snapToGrid w:val="0"/>
              <w:ind w:firstLine="422"/>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drawing>
                <wp:anchor distT="0" distB="0" distL="114300" distR="114300" simplePos="0" relativeHeight="251698176" behindDoc="1" locked="0" layoutInCell="1" allowOverlap="1">
                  <wp:simplePos x="0" y="0"/>
                  <wp:positionH relativeFrom="column">
                    <wp:posOffset>886460</wp:posOffset>
                  </wp:positionH>
                  <wp:positionV relativeFrom="paragraph">
                    <wp:posOffset>3810</wp:posOffset>
                  </wp:positionV>
                  <wp:extent cx="3709670" cy="2792730"/>
                  <wp:effectExtent l="0" t="0" r="5080" b="7620"/>
                  <wp:wrapNone/>
                  <wp:docPr id="23" name="图片 23" descr="4、采矿方法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4、采矿方法图"/>
                          <pic:cNvPicPr>
                            <a:picLocks noChangeAspect="1"/>
                          </pic:cNvPicPr>
                        </pic:nvPicPr>
                        <pic:blipFill>
                          <a:blip r:embed="rId18"/>
                          <a:srcRect l="3322" t="3542" r="4457" b="30174"/>
                          <a:stretch>
                            <a:fillRect/>
                          </a:stretch>
                        </pic:blipFill>
                        <pic:spPr>
                          <a:xfrm>
                            <a:off x="0" y="0"/>
                            <a:ext cx="3709670" cy="2792730"/>
                          </a:xfrm>
                          <a:prstGeom prst="rect">
                            <a:avLst/>
                          </a:prstGeom>
                        </pic:spPr>
                      </pic:pic>
                    </a:graphicData>
                  </a:graphic>
                </wp:anchor>
              </w:drawing>
            </w:r>
          </w:p>
          <w:p>
            <w:pPr>
              <w:adjustRightInd w:val="0"/>
              <w:snapToGrid w:val="0"/>
              <w:ind w:firstLine="422"/>
              <w:rPr>
                <w:rFonts w:hint="default" w:ascii="Times New Roman" w:hAnsi="Times New Roman" w:eastAsia="仿宋" w:cs="Times New Roman"/>
                <w:color w:val="auto"/>
                <w:kern w:val="0"/>
                <w:sz w:val="24"/>
                <w:szCs w:val="24"/>
                <w:lang w:val="en-US" w:eastAsia="zh-CN" w:bidi="ar"/>
              </w:rPr>
            </w:pPr>
          </w:p>
          <w:p>
            <w:pPr>
              <w:adjustRightInd w:val="0"/>
              <w:snapToGrid w:val="0"/>
              <w:ind w:firstLine="422"/>
              <w:rPr>
                <w:rFonts w:hint="default" w:ascii="Times New Roman" w:hAnsi="Times New Roman" w:eastAsia="仿宋" w:cs="Times New Roman"/>
                <w:color w:val="auto"/>
                <w:kern w:val="0"/>
                <w:sz w:val="24"/>
                <w:szCs w:val="24"/>
                <w:lang w:val="en-US" w:eastAsia="zh-CN" w:bidi="ar"/>
              </w:rPr>
            </w:pPr>
          </w:p>
          <w:p>
            <w:pPr>
              <w:adjustRightInd w:val="0"/>
              <w:snapToGrid w:val="0"/>
              <w:ind w:firstLine="422"/>
              <w:rPr>
                <w:rFonts w:hint="default" w:ascii="Times New Roman" w:hAnsi="Times New Roman" w:eastAsia="仿宋" w:cs="Times New Roman"/>
                <w:color w:val="auto"/>
                <w:kern w:val="0"/>
                <w:sz w:val="24"/>
                <w:szCs w:val="24"/>
                <w:lang w:val="en-US" w:eastAsia="zh-CN" w:bidi="ar"/>
              </w:rPr>
            </w:pPr>
          </w:p>
          <w:p>
            <w:pPr>
              <w:adjustRightInd w:val="0"/>
              <w:snapToGrid w:val="0"/>
              <w:ind w:firstLine="422"/>
              <w:rPr>
                <w:rFonts w:hint="default" w:ascii="Times New Roman" w:hAnsi="Times New Roman" w:eastAsia="仿宋" w:cs="Times New Roman"/>
                <w:color w:val="auto"/>
                <w:kern w:val="0"/>
                <w:sz w:val="24"/>
                <w:szCs w:val="24"/>
                <w:lang w:val="en-US" w:eastAsia="zh-CN" w:bidi="ar"/>
              </w:rPr>
            </w:pPr>
          </w:p>
          <w:p>
            <w:pPr>
              <w:adjustRightInd w:val="0"/>
              <w:snapToGrid w:val="0"/>
              <w:ind w:firstLine="422"/>
              <w:rPr>
                <w:rFonts w:hint="default" w:ascii="Times New Roman" w:hAnsi="Times New Roman" w:eastAsia="仿宋" w:cs="Times New Roman"/>
                <w:color w:val="auto"/>
                <w:kern w:val="0"/>
                <w:sz w:val="24"/>
                <w:szCs w:val="24"/>
                <w:lang w:val="en-US" w:eastAsia="zh-CN" w:bidi="ar"/>
              </w:rPr>
            </w:pPr>
          </w:p>
          <w:p>
            <w:pPr>
              <w:adjustRightInd w:val="0"/>
              <w:snapToGrid w:val="0"/>
              <w:ind w:firstLine="422"/>
              <w:rPr>
                <w:rFonts w:hint="default" w:ascii="Times New Roman" w:hAnsi="Times New Roman" w:eastAsia="仿宋" w:cs="Times New Roman"/>
                <w:color w:val="auto"/>
                <w:kern w:val="0"/>
                <w:sz w:val="24"/>
                <w:szCs w:val="24"/>
                <w:lang w:val="en-US" w:eastAsia="zh-CN" w:bidi="ar"/>
              </w:rPr>
            </w:pPr>
          </w:p>
          <w:p>
            <w:pPr>
              <w:adjustRightInd w:val="0"/>
              <w:snapToGrid w:val="0"/>
              <w:ind w:firstLine="422"/>
              <w:rPr>
                <w:rFonts w:hint="default" w:ascii="Times New Roman" w:hAnsi="Times New Roman" w:eastAsia="仿宋" w:cs="Times New Roman"/>
                <w:color w:val="auto"/>
                <w:kern w:val="0"/>
                <w:sz w:val="24"/>
                <w:szCs w:val="24"/>
                <w:lang w:val="en-US" w:eastAsia="zh-CN" w:bidi="ar"/>
              </w:rPr>
            </w:pPr>
          </w:p>
          <w:p>
            <w:pPr>
              <w:adjustRightInd w:val="0"/>
              <w:snapToGrid w:val="0"/>
              <w:ind w:firstLine="422"/>
              <w:rPr>
                <w:rFonts w:hint="default" w:ascii="Times New Roman" w:hAnsi="Times New Roman" w:eastAsia="仿宋" w:cs="Times New Roman"/>
                <w:color w:val="auto"/>
                <w:kern w:val="0"/>
                <w:sz w:val="24"/>
                <w:szCs w:val="24"/>
                <w:lang w:val="en-US" w:eastAsia="zh-CN" w:bidi="ar"/>
              </w:rPr>
            </w:pPr>
          </w:p>
          <w:p>
            <w:pPr>
              <w:adjustRightInd w:val="0"/>
              <w:snapToGrid w:val="0"/>
              <w:ind w:firstLine="422"/>
              <w:rPr>
                <w:rFonts w:hint="default" w:ascii="Times New Roman" w:hAnsi="Times New Roman" w:eastAsia="仿宋" w:cs="Times New Roman"/>
                <w:color w:val="auto"/>
                <w:kern w:val="0"/>
                <w:sz w:val="24"/>
                <w:szCs w:val="24"/>
                <w:lang w:val="en-US" w:eastAsia="zh-CN" w:bidi="ar"/>
              </w:rPr>
            </w:pPr>
          </w:p>
          <w:p>
            <w:pPr>
              <w:adjustRightInd w:val="0"/>
              <w:snapToGrid w:val="0"/>
              <w:ind w:firstLine="422"/>
              <w:rPr>
                <w:rFonts w:hint="default" w:ascii="Times New Roman" w:hAnsi="Times New Roman" w:eastAsia="仿宋" w:cs="Times New Roman"/>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color w:val="auto"/>
                <w:kern w:val="0"/>
                <w:sz w:val="24"/>
                <w:szCs w:val="24"/>
                <w:lang w:val="en-US" w:eastAsia="zh-CN" w:bidi="ar"/>
              </w:rPr>
            </w:pPr>
            <w:r>
              <w:rPr>
                <w:rFonts w:hint="eastAsia" w:eastAsia="仿宋" w:cs="Times New Roman"/>
                <w:b/>
                <w:bCs/>
                <w:color w:val="auto"/>
                <w:kern w:val="0"/>
                <w:sz w:val="24"/>
                <w:szCs w:val="24"/>
                <w:lang w:val="en-US" w:eastAsia="zh-CN" w:bidi="ar"/>
              </w:rPr>
              <w:t>图2-3采矿方法图</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eastAsia" w:eastAsia="仿宋" w:cs="Times New Roman"/>
                <w:color w:val="auto"/>
                <w:kern w:val="0"/>
                <w:sz w:val="24"/>
                <w:szCs w:val="24"/>
                <w:lang w:val="en-US" w:eastAsia="zh-CN" w:bidi="ar"/>
              </w:rPr>
              <w:t>4</w:t>
            </w:r>
            <w:r>
              <w:rPr>
                <w:rFonts w:hint="default" w:ascii="Times New Roman" w:hAnsi="Times New Roman" w:eastAsia="仿宋" w:cs="Times New Roman"/>
                <w:color w:val="auto"/>
                <w:kern w:val="0"/>
                <w:sz w:val="24"/>
                <w:szCs w:val="24"/>
                <w:lang w:val="en-US" w:eastAsia="zh-CN" w:bidi="ar"/>
              </w:rPr>
              <w:t>）加工过程输送方式</w:t>
            </w:r>
          </w:p>
          <w:p>
            <w:pPr>
              <w:adjustRightInd w:val="0"/>
              <w:snapToGrid w:val="0"/>
              <w:ind w:firstLine="422"/>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项目加工过程各半成品输送方式采用</w:t>
            </w:r>
            <w:r>
              <w:rPr>
                <w:rFonts w:hint="eastAsia" w:eastAsia="仿宋" w:cs="Times New Roman"/>
                <w:color w:val="auto"/>
                <w:sz w:val="24"/>
                <w:highlight w:val="none"/>
                <w:lang w:val="en-US" w:eastAsia="zh-CN"/>
              </w:rPr>
              <w:t>全</w:t>
            </w:r>
            <w:r>
              <w:rPr>
                <w:rStyle w:val="81"/>
                <w:rFonts w:hint="default" w:ascii="Times New Roman" w:hAnsi="Times New Roman" w:eastAsia="仿宋" w:cs="Times New Roman"/>
                <w:b w:val="0"/>
                <w:bCs w:val="0"/>
                <w:color w:val="auto"/>
                <w:kern w:val="2"/>
                <w:sz w:val="24"/>
                <w:szCs w:val="24"/>
                <w:highlight w:val="none"/>
                <w:lang w:val="en-US" w:eastAsia="zh-CN" w:bidi="ar-SA"/>
              </w:rPr>
              <w:t>封闭式廊道皮带输送方式。</w:t>
            </w:r>
          </w:p>
          <w:p>
            <w:pPr>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4、运输方案</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eastAsia" w:eastAsia="仿宋" w:cs="Times New Roman"/>
                <w:bCs/>
                <w:color w:val="auto"/>
                <w:kern w:val="0"/>
                <w:sz w:val="24"/>
                <w:szCs w:val="24"/>
                <w:lang w:eastAsia="zh-CN"/>
              </w:rPr>
              <w:t>（</w:t>
            </w:r>
            <w:r>
              <w:rPr>
                <w:rFonts w:hint="eastAsia" w:eastAsia="仿宋" w:cs="Times New Roman"/>
                <w:bCs/>
                <w:color w:val="auto"/>
                <w:kern w:val="0"/>
                <w:sz w:val="24"/>
                <w:szCs w:val="24"/>
                <w:lang w:val="en-US" w:eastAsia="zh-CN"/>
              </w:rPr>
              <w:t>1</w:t>
            </w:r>
            <w:r>
              <w:rPr>
                <w:rFonts w:hint="eastAsia" w:eastAsia="仿宋" w:cs="Times New Roman"/>
                <w:bCs/>
                <w:color w:val="auto"/>
                <w:kern w:val="0"/>
                <w:sz w:val="24"/>
                <w:szCs w:val="24"/>
                <w:lang w:eastAsia="zh-CN"/>
              </w:rPr>
              <w:t>）</w:t>
            </w:r>
            <w:r>
              <w:rPr>
                <w:rFonts w:hint="eastAsia" w:eastAsia="仿宋" w:cs="Times New Roman"/>
                <w:bCs/>
                <w:color w:val="auto"/>
                <w:kern w:val="0"/>
                <w:sz w:val="24"/>
                <w:szCs w:val="24"/>
                <w:lang w:val="en-US" w:eastAsia="zh-CN"/>
              </w:rPr>
              <w:t>矿区内道路：</w:t>
            </w:r>
            <w:r>
              <w:rPr>
                <w:rFonts w:hint="default" w:ascii="Times New Roman" w:hAnsi="Times New Roman" w:eastAsia="仿宋" w:cs="Times New Roman"/>
                <w:bCs/>
                <w:color w:val="auto"/>
                <w:kern w:val="0"/>
                <w:sz w:val="24"/>
                <w:szCs w:val="24"/>
              </w:rPr>
              <w:t>本项目选用公路开拓汽车运输方案</w:t>
            </w:r>
            <w:r>
              <w:rPr>
                <w:rFonts w:hint="default" w:ascii="Times New Roman" w:hAnsi="Times New Roman" w:eastAsia="仿宋" w:cs="Times New Roman"/>
                <w:bCs/>
                <w:color w:val="auto"/>
                <w:kern w:val="0"/>
                <w:sz w:val="24"/>
                <w:szCs w:val="24"/>
                <w:lang w:eastAsia="zh-CN"/>
              </w:rPr>
              <w:t>，</w:t>
            </w:r>
            <w:r>
              <w:rPr>
                <w:rFonts w:hint="default" w:ascii="Times New Roman" w:hAnsi="Times New Roman" w:eastAsia="仿宋" w:cs="Times New Roman"/>
                <w:color w:val="auto"/>
                <w:sz w:val="24"/>
                <w:szCs w:val="24"/>
              </w:rPr>
              <w:t>矿区道路按照《厂矿道路设计规范》矿山</w:t>
            </w:r>
            <w:r>
              <w:rPr>
                <w:rFonts w:hint="default" w:ascii="Times New Roman" w:hAnsi="Times New Roman" w:eastAsia="仿宋" w:cs="Times New Roman"/>
                <w:color w:val="auto"/>
                <w:sz w:val="24"/>
                <w:szCs w:val="24"/>
                <w:lang w:val="en-US" w:eastAsia="zh-CN"/>
              </w:rPr>
              <w:t>三</w:t>
            </w:r>
            <w:r>
              <w:rPr>
                <w:rFonts w:hint="default" w:ascii="Times New Roman" w:hAnsi="Times New Roman" w:eastAsia="仿宋" w:cs="Times New Roman"/>
                <w:color w:val="auto"/>
                <w:sz w:val="24"/>
                <w:szCs w:val="24"/>
              </w:rPr>
              <w:t>级道路标准</w:t>
            </w:r>
            <w:r>
              <w:rPr>
                <w:rFonts w:hint="default" w:ascii="Times New Roman" w:hAnsi="Times New Roman" w:eastAsia="仿宋" w:cs="Times New Roman"/>
                <w:color w:val="auto"/>
                <w:sz w:val="24"/>
                <w:szCs w:val="24"/>
                <w:lang w:val="en-US" w:eastAsia="zh-CN"/>
              </w:rPr>
              <w:t>进行修建</w:t>
            </w:r>
            <w:r>
              <w:rPr>
                <w:rFonts w:hint="default" w:ascii="Times New Roman" w:hAnsi="Times New Roman" w:eastAsia="仿宋" w:cs="Times New Roman"/>
                <w:color w:val="auto"/>
                <w:sz w:val="24"/>
                <w:szCs w:val="24"/>
              </w:rPr>
              <w:t>，泥结碎石路面，</w:t>
            </w:r>
            <w:r>
              <w:rPr>
                <w:rFonts w:hint="default" w:ascii="Times New Roman" w:hAnsi="Times New Roman" w:eastAsia="仿宋" w:cs="Times New Roman"/>
                <w:color w:val="auto"/>
                <w:sz w:val="24"/>
                <w:szCs w:val="24"/>
                <w:lang w:val="en-US" w:eastAsia="zh-CN"/>
              </w:rPr>
              <w:t>单</w:t>
            </w:r>
            <w:r>
              <w:rPr>
                <w:rFonts w:hint="default" w:ascii="Times New Roman" w:hAnsi="Times New Roman" w:eastAsia="仿宋" w:cs="Times New Roman"/>
                <w:color w:val="auto"/>
                <w:sz w:val="24"/>
                <w:szCs w:val="24"/>
              </w:rPr>
              <w:t>车道，路面宽</w:t>
            </w:r>
            <w:r>
              <w:rPr>
                <w:rFonts w:hint="default" w:ascii="Times New Roman" w:hAnsi="Times New Roman" w:eastAsia="仿宋" w:cs="Times New Roman"/>
                <w:color w:val="auto"/>
                <w:sz w:val="24"/>
                <w:szCs w:val="24"/>
                <w:lang w:val="en-US" w:eastAsia="zh-CN"/>
              </w:rPr>
              <w:t>6m</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路基</w:t>
            </w:r>
            <w:r>
              <w:rPr>
                <w:rFonts w:hint="default" w:ascii="Times New Roman" w:hAnsi="Times New Roman" w:eastAsia="仿宋" w:cs="Times New Roman"/>
                <w:color w:val="auto"/>
                <w:sz w:val="24"/>
                <w:szCs w:val="24"/>
              </w:rPr>
              <w:t>宽</w:t>
            </w:r>
            <w:r>
              <w:rPr>
                <w:rFonts w:hint="default" w:ascii="Times New Roman" w:hAnsi="Times New Roman" w:eastAsia="仿宋" w:cs="Times New Roman"/>
                <w:color w:val="auto"/>
                <w:sz w:val="24"/>
                <w:szCs w:val="24"/>
                <w:lang w:val="en-US" w:eastAsia="zh-CN"/>
              </w:rPr>
              <w:t>8.0m</w:t>
            </w:r>
            <w:r>
              <w:rPr>
                <w:rFonts w:hint="default" w:ascii="Times New Roman" w:hAnsi="Times New Roman" w:eastAsia="仿宋" w:cs="Times New Roman"/>
                <w:color w:val="auto"/>
                <w:sz w:val="24"/>
                <w:szCs w:val="24"/>
              </w:rPr>
              <w:t>，最大</w:t>
            </w:r>
            <w:r>
              <w:rPr>
                <w:rFonts w:hint="default" w:ascii="Times New Roman" w:hAnsi="Times New Roman" w:eastAsia="仿宋" w:cs="Times New Roman"/>
                <w:color w:val="auto"/>
                <w:sz w:val="24"/>
                <w:szCs w:val="24"/>
                <w:lang w:val="en-US" w:eastAsia="zh-CN"/>
              </w:rPr>
              <w:t>纵</w:t>
            </w:r>
            <w:r>
              <w:rPr>
                <w:rFonts w:hint="default" w:ascii="Times New Roman" w:hAnsi="Times New Roman" w:eastAsia="仿宋" w:cs="Times New Roman"/>
                <w:color w:val="auto"/>
                <w:sz w:val="24"/>
                <w:szCs w:val="24"/>
              </w:rPr>
              <w:t>坡度≤</w:t>
            </w:r>
            <w:r>
              <w:rPr>
                <w:rFonts w:hint="default" w:ascii="Times New Roman" w:hAnsi="Times New Roman" w:eastAsia="仿宋" w:cs="Times New Roman"/>
                <w:color w:val="auto"/>
                <w:sz w:val="24"/>
                <w:szCs w:val="24"/>
                <w:lang w:val="en-US" w:eastAsia="zh-CN"/>
              </w:rPr>
              <w:t>8</w:t>
            </w:r>
            <w:r>
              <w:rPr>
                <w:rFonts w:hint="default" w:ascii="Times New Roman" w:hAnsi="Times New Roman" w:eastAsia="仿宋" w:cs="Times New Roman"/>
                <w:color w:val="auto"/>
                <w:sz w:val="24"/>
                <w:szCs w:val="24"/>
              </w:rPr>
              <w:t>%，最小转弯半径</w:t>
            </w:r>
            <w:r>
              <w:rPr>
                <w:rFonts w:hint="default" w:ascii="Times New Roman" w:hAnsi="Times New Roman" w:eastAsia="仿宋" w:cs="Times New Roman"/>
                <w:color w:val="auto"/>
                <w:sz w:val="24"/>
                <w:szCs w:val="24"/>
                <w:lang w:val="en-US" w:eastAsia="zh-CN"/>
              </w:rPr>
              <w:t>15m</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rPr>
              <w:t>每隔200</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rPr>
              <w:t>设置错车道，错车道路面宽10</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rPr>
              <w:t>，路基宽11.5</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rPr>
              <w:t>，渐宽长度13.5</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rPr>
              <w:t>，等宽长度18</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rPr>
              <w:t>，错车道总长45</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rPr>
              <w:t>。矿山道路围绕矿山地面布局范围，连接各个地面设施</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全长约</w:t>
            </w:r>
            <w:r>
              <w:rPr>
                <w:rFonts w:hint="default" w:ascii="Times New Roman" w:hAnsi="Times New Roman" w:eastAsia="仿宋" w:cs="Times New Roman"/>
                <w:color w:val="auto"/>
                <w:sz w:val="24"/>
                <w:szCs w:val="24"/>
                <w:highlight w:val="none"/>
                <w:lang w:val="en-US" w:eastAsia="zh-CN"/>
              </w:rPr>
              <w:t>1000m。</w:t>
            </w:r>
          </w:p>
          <w:p>
            <w:pPr>
              <w:adjustRightInd w:val="0"/>
              <w:snapToGrid w:val="0"/>
              <w:ind w:firstLine="422"/>
              <w:rPr>
                <w:rFonts w:hint="default" w:eastAsia="仿宋" w:cs="Times New Roman"/>
                <w:b/>
                <w:color w:val="auto"/>
                <w:kern w:val="0"/>
                <w:sz w:val="24"/>
                <w:szCs w:val="24"/>
                <w:lang w:val="en-US" w:eastAsia="zh-CN"/>
              </w:rPr>
            </w:pPr>
            <w:r>
              <w:rPr>
                <w:rFonts w:hint="eastAsia" w:ascii="Times New Roman" w:hAnsi="Times New Roman" w:eastAsia="仿宋" w:cs="Times New Roman"/>
                <w:bCs/>
                <w:color w:val="auto"/>
                <w:kern w:val="0"/>
                <w:sz w:val="24"/>
                <w:szCs w:val="24"/>
                <w:lang w:val="en-US" w:eastAsia="zh-CN"/>
              </w:rPr>
              <w:t>（2）矿区外道路：</w:t>
            </w:r>
            <w:r>
              <w:rPr>
                <w:rFonts w:hint="eastAsia" w:eastAsia="仿宋" w:cs="Times New Roman"/>
                <w:color w:val="auto"/>
                <w:sz w:val="24"/>
                <w:szCs w:val="24"/>
                <w:highlight w:val="none"/>
                <w:lang w:val="en-US" w:eastAsia="zh-CN"/>
              </w:rPr>
              <w:t>根据开发利用方案可知，本次新建矿区外道路临时道路，占地面积8000平方米，</w:t>
            </w:r>
            <w:r>
              <w:rPr>
                <w:rFonts w:hint="default" w:ascii="Times New Roman" w:hAnsi="Times New Roman" w:eastAsia="仿宋" w:cs="Times New Roman"/>
                <w:color w:val="auto"/>
                <w:sz w:val="24"/>
                <w:szCs w:val="24"/>
              </w:rPr>
              <w:t>泥结碎石路面</w:t>
            </w:r>
            <w:r>
              <w:rPr>
                <w:rFonts w:hint="eastAsia" w:ascii="Times New Roman" w:hAnsi="Times New Roman" w:eastAsia="仿宋" w:cs="Times New Roman"/>
                <w:color w:val="auto"/>
                <w:sz w:val="24"/>
                <w:szCs w:val="24"/>
                <w:lang w:eastAsia="zh-CN"/>
              </w:rPr>
              <w:t>，</w:t>
            </w:r>
            <w:r>
              <w:rPr>
                <w:rFonts w:hint="eastAsia" w:eastAsia="仿宋" w:cs="Times New Roman"/>
                <w:color w:val="auto"/>
                <w:sz w:val="24"/>
                <w:szCs w:val="24"/>
                <w:highlight w:val="none"/>
                <w:lang w:val="en-US" w:eastAsia="zh-CN"/>
              </w:rPr>
              <w:t>道路宽6米。</w:t>
            </w:r>
          </w:p>
          <w:p>
            <w:pPr>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5、产品方案</w:t>
            </w:r>
          </w:p>
          <w:p>
            <w:pPr>
              <w:pStyle w:val="41"/>
              <w:spacing w:line="360" w:lineRule="auto"/>
              <w:ind w:firstLine="480" w:firstLineChars="200"/>
              <w:jc w:val="both"/>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本项目矿山开采产品为</w:t>
            </w:r>
            <w:r>
              <w:rPr>
                <w:rFonts w:hint="default" w:ascii="Times New Roman" w:hAnsi="Times New Roman" w:eastAsia="仿宋" w:cs="Times New Roman"/>
                <w:b w:val="0"/>
                <w:bCs/>
                <w:color w:val="auto"/>
                <w:kern w:val="0"/>
                <w:sz w:val="24"/>
                <w:szCs w:val="24"/>
                <w:lang w:eastAsia="zh-CN"/>
              </w:rPr>
              <w:t>路基填筑料，</w:t>
            </w:r>
            <w:r>
              <w:rPr>
                <w:rFonts w:hint="default" w:ascii="Times New Roman" w:hAnsi="Times New Roman" w:eastAsia="仿宋" w:cs="Times New Roman"/>
                <w:b w:val="0"/>
                <w:bCs/>
                <w:color w:val="auto"/>
                <w:kern w:val="0"/>
                <w:sz w:val="24"/>
                <w:szCs w:val="24"/>
                <w:lang w:val="en-US" w:eastAsia="zh-CN"/>
              </w:rPr>
              <w:t>符合GB/T 14684-2022《建设用砂》，</w:t>
            </w:r>
            <w:r>
              <w:rPr>
                <w:rFonts w:hint="default" w:ascii="Times New Roman" w:hAnsi="Times New Roman" w:eastAsia="仿宋" w:cs="Times New Roman"/>
                <w:b w:val="0"/>
                <w:bCs/>
                <w:color w:val="auto"/>
                <w:kern w:val="0"/>
                <w:sz w:val="24"/>
                <w:szCs w:val="24"/>
              </w:rPr>
              <w:t>主要产品规格见表2-4。</w:t>
            </w:r>
          </w:p>
          <w:p>
            <w:pPr>
              <w:pStyle w:val="41"/>
              <w:spacing w:line="240" w:lineRule="auto"/>
              <w:ind w:firstLine="422" w:firstLineChars="20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表2-4产品方案一览表</w:t>
            </w:r>
          </w:p>
          <w:tbl>
            <w:tblPr>
              <w:tblStyle w:val="2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017"/>
              <w:gridCol w:w="2816"/>
              <w:gridCol w:w="991"/>
              <w:gridCol w:w="1442"/>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539"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1492" w:type="pct"/>
                  <w:vMerge w:val="restar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规格</w:t>
                  </w:r>
                </w:p>
              </w:tc>
              <w:tc>
                <w:tcPr>
                  <w:tcW w:w="1289" w:type="pct"/>
                  <w:gridSpan w:val="2"/>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产量</w:t>
                  </w:r>
                </w:p>
              </w:tc>
              <w:tc>
                <w:tcPr>
                  <w:tcW w:w="1411" w:type="pct"/>
                  <w:vAlign w:val="center"/>
                </w:tcPr>
                <w:p>
                  <w:pPr>
                    <w:pStyle w:val="44"/>
                    <w:spacing w:line="240" w:lineRule="auto"/>
                    <w:ind w:firstLine="0" w:firstLineChars="0"/>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539"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1492" w:type="pct"/>
                  <w:vMerge w:val="continue"/>
                  <w:vAlign w:val="center"/>
                </w:tcPr>
                <w:p>
                  <w:pPr>
                    <w:pStyle w:val="44"/>
                    <w:spacing w:line="240" w:lineRule="auto"/>
                    <w:ind w:firstLine="0" w:firstLineChars="0"/>
                    <w:rPr>
                      <w:rFonts w:hint="default" w:ascii="Times New Roman" w:hAnsi="Times New Roman" w:eastAsia="仿宋" w:cs="Times New Roman"/>
                      <w:color w:val="auto"/>
                      <w:sz w:val="21"/>
                      <w:szCs w:val="21"/>
                    </w:rPr>
                  </w:pPr>
                </w:p>
              </w:tc>
              <w:tc>
                <w:tcPr>
                  <w:tcW w:w="525" w:type="pc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万m</w:t>
                  </w:r>
                  <w:r>
                    <w:rPr>
                      <w:rFonts w:hint="default" w:ascii="Times New Roman" w:hAnsi="Times New Roman" w:eastAsia="仿宋" w:cs="Times New Roman"/>
                      <w:color w:val="auto"/>
                      <w:sz w:val="21"/>
                      <w:szCs w:val="21"/>
                      <w:vertAlign w:val="superscript"/>
                    </w:rPr>
                    <w:t>3</w:t>
                  </w:r>
                  <w:r>
                    <w:rPr>
                      <w:rFonts w:hint="default" w:ascii="Times New Roman" w:hAnsi="Times New Roman" w:eastAsia="仿宋" w:cs="Times New Roman"/>
                      <w:color w:val="auto"/>
                      <w:sz w:val="21"/>
                      <w:szCs w:val="21"/>
                    </w:rPr>
                    <w:t>/a</w:t>
                  </w:r>
                </w:p>
              </w:tc>
              <w:tc>
                <w:tcPr>
                  <w:tcW w:w="764" w:type="pc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万t</w:t>
                  </w:r>
                  <w:r>
                    <w:rPr>
                      <w:rFonts w:hint="default" w:ascii="Times New Roman" w:hAnsi="Times New Roman" w:eastAsia="仿宋" w:cs="Times New Roman"/>
                      <w:color w:val="auto"/>
                      <w:sz w:val="21"/>
                      <w:szCs w:val="21"/>
                    </w:rPr>
                    <w:t>/a</w:t>
                  </w:r>
                </w:p>
              </w:tc>
              <w:tc>
                <w:tcPr>
                  <w:tcW w:w="1411" w:type="pct"/>
                  <w:vMerge w:val="restart"/>
                  <w:vAlign w:val="center"/>
                </w:tcPr>
                <w:p>
                  <w:pPr>
                    <w:pStyle w:val="44"/>
                    <w:spacing w:line="240" w:lineRule="auto"/>
                    <w:ind w:firstLine="0" w:firstLineChars="0"/>
                    <w:rPr>
                      <w:rFonts w:hint="eastAsia"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bidi="ar"/>
                    </w:rPr>
                    <w:t>作为G30高速公路</w:t>
                  </w:r>
                  <w:r>
                    <w:rPr>
                      <w:rFonts w:hint="eastAsia" w:ascii="Times New Roman" w:hAnsi="Times New Roman" w:eastAsia="仿宋" w:cs="Times New Roman"/>
                      <w:color w:val="auto"/>
                      <w:kern w:val="2"/>
                      <w:sz w:val="21"/>
                      <w:szCs w:val="21"/>
                      <w:highlight w:val="none"/>
                      <w:lang w:val="en-US" w:eastAsia="zh-CN" w:bidi="ar-SA"/>
                    </w:rPr>
                    <w:t>G30连霍高速公路哈密至吐峪沟段改扩建工程</w:t>
                  </w:r>
                  <w:r>
                    <w:rPr>
                      <w:rFonts w:hint="default" w:ascii="Times New Roman" w:hAnsi="Times New Roman" w:eastAsia="仿宋" w:cs="Times New Roman"/>
                      <w:color w:val="auto"/>
                      <w:kern w:val="0"/>
                      <w:sz w:val="21"/>
                      <w:szCs w:val="21"/>
                      <w:lang w:val="en-US" w:eastAsia="zh-CN" w:bidi="ar"/>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vAlign w:val="center"/>
                </w:tcPr>
                <w:p>
                  <w:pPr>
                    <w:pStyle w:val="44"/>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539" w:type="pct"/>
                  <w:vAlign w:val="center"/>
                </w:tcPr>
                <w:p>
                  <w:pPr>
                    <w:pStyle w:val="44"/>
                    <w:spacing w:line="240" w:lineRule="auto"/>
                    <w:ind w:firstLine="0" w:firstLineChars="0"/>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val="en-US" w:eastAsia="zh-CN"/>
                    </w:rPr>
                    <w:t>建筑用砂矿</w:t>
                  </w:r>
                </w:p>
              </w:tc>
              <w:tc>
                <w:tcPr>
                  <w:tcW w:w="1492" w:type="pct"/>
                  <w:vAlign w:val="center"/>
                </w:tcPr>
                <w:p>
                  <w:pPr>
                    <w:pStyle w:val="44"/>
                    <w:spacing w:line="240" w:lineRule="auto"/>
                    <w:ind w:firstLine="0" w:firstLineChars="0"/>
                    <w:rPr>
                      <w:rFonts w:hint="default" w:ascii="Times New Roman" w:hAnsi="Times New Roman" w:eastAsia="仿宋" w:cs="Times New Roman"/>
                      <w:color w:val="auto"/>
                      <w:sz w:val="21"/>
                      <w:szCs w:val="21"/>
                      <w:lang w:val="en-US"/>
                    </w:rPr>
                  </w:pPr>
                  <w:r>
                    <w:rPr>
                      <w:rFonts w:hint="default" w:ascii="Times New Roman" w:hAnsi="Times New Roman" w:eastAsia="仿宋" w:cs="Times New Roman"/>
                      <w:color w:val="auto"/>
                      <w:sz w:val="21"/>
                      <w:szCs w:val="21"/>
                      <w:lang w:val="en-US" w:eastAsia="zh-CN"/>
                    </w:rPr>
                    <w:t>0.15mm～5mm、5mm～20mm、20mm～40mm</w:t>
                  </w:r>
                </w:p>
              </w:tc>
              <w:tc>
                <w:tcPr>
                  <w:tcW w:w="525" w:type="pct"/>
                  <w:vAlign w:val="center"/>
                </w:tcPr>
                <w:p>
                  <w:pPr>
                    <w:pStyle w:val="44"/>
                    <w:spacing w:line="240" w:lineRule="auto"/>
                    <w:ind w:firstLine="0" w:firstLineChars="0"/>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65</w:t>
                  </w:r>
                </w:p>
              </w:tc>
              <w:tc>
                <w:tcPr>
                  <w:tcW w:w="764" w:type="pct"/>
                  <w:vAlign w:val="center"/>
                </w:tcPr>
                <w:p>
                  <w:pPr>
                    <w:pStyle w:val="44"/>
                    <w:spacing w:line="240" w:lineRule="auto"/>
                    <w:ind w:firstLine="0" w:firstLineChars="0"/>
                    <w:rPr>
                      <w:rFonts w:hint="default" w:eastAsia="仿宋" w:cs="Times New Roman"/>
                      <w:color w:val="auto"/>
                      <w:sz w:val="21"/>
                      <w:szCs w:val="21"/>
                      <w:lang w:val="en-US" w:eastAsia="zh-CN"/>
                    </w:rPr>
                  </w:pPr>
                  <w:r>
                    <w:rPr>
                      <w:rFonts w:hint="eastAsia" w:eastAsia="仿宋" w:cs="Times New Roman"/>
                      <w:color w:val="auto"/>
                      <w:sz w:val="21"/>
                      <w:szCs w:val="21"/>
                      <w:lang w:val="en-US" w:eastAsia="zh-CN"/>
                    </w:rPr>
                    <w:t>97.5</w:t>
                  </w:r>
                </w:p>
              </w:tc>
              <w:tc>
                <w:tcPr>
                  <w:tcW w:w="1411" w:type="pct"/>
                  <w:vMerge w:val="continue"/>
                  <w:vAlign w:val="center"/>
                </w:tcPr>
                <w:p>
                  <w:pPr>
                    <w:pStyle w:val="44"/>
                    <w:spacing w:line="240" w:lineRule="auto"/>
                    <w:ind w:firstLine="0" w:firstLineChars="0"/>
                    <w:rPr>
                      <w:rFonts w:hint="eastAsia" w:eastAsia="仿宋"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color w:val="auto"/>
                <w:sz w:val="21"/>
                <w:szCs w:val="21"/>
                <w:lang w:val="en-GB"/>
              </w:rPr>
            </w:pPr>
            <w:r>
              <w:rPr>
                <w:rFonts w:hint="eastAsia" w:eastAsia="仿宋" w:cs="Times New Roman"/>
                <w:color w:val="auto"/>
                <w:sz w:val="21"/>
                <w:szCs w:val="21"/>
                <w:lang w:val="en-US" w:eastAsia="zh-CN"/>
              </w:rPr>
              <w:t>备注：</w:t>
            </w:r>
            <w:r>
              <w:rPr>
                <w:rFonts w:hint="default" w:ascii="Times New Roman" w:hAnsi="Times New Roman" w:eastAsia="仿宋" w:cs="Times New Roman"/>
                <w:color w:val="auto"/>
                <w:sz w:val="21"/>
                <w:szCs w:val="21"/>
                <w:lang w:val="en-GB"/>
              </w:rPr>
              <w:t>建筑用砂比重根据经验值选择1.</w:t>
            </w:r>
            <w:r>
              <w:rPr>
                <w:rFonts w:hint="default" w:ascii="Times New Roman" w:hAnsi="Times New Roman" w:eastAsia="仿宋" w:cs="Times New Roman"/>
                <w:color w:val="auto"/>
                <w:sz w:val="21"/>
                <w:szCs w:val="21"/>
                <w:lang w:val="en-US" w:eastAsia="zh-CN"/>
              </w:rPr>
              <w:t>5</w:t>
            </w:r>
            <w:r>
              <w:rPr>
                <w:rFonts w:hint="default" w:ascii="Times New Roman" w:hAnsi="Times New Roman" w:eastAsia="仿宋" w:cs="Times New Roman"/>
                <w:color w:val="auto"/>
                <w:sz w:val="21"/>
                <w:szCs w:val="21"/>
                <w:lang w:val="en-GB"/>
              </w:rPr>
              <w:t>吨/立方米</w:t>
            </w:r>
          </w:p>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6、主要生产设备</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本项目主要生产设备见下表：</w:t>
            </w:r>
          </w:p>
          <w:p>
            <w:pPr>
              <w:pStyle w:val="41"/>
              <w:spacing w:line="240" w:lineRule="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表2-5主要生产设备一览表</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2115"/>
              <w:gridCol w:w="2943"/>
              <w:gridCol w:w="1037"/>
              <w:gridCol w:w="99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序号</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设备名称</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规格型号</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单位</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数量</w:t>
                  </w:r>
                </w:p>
              </w:tc>
              <w:tc>
                <w:tcPr>
                  <w:tcW w:w="7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1</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挖掘机</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DH500LC-7</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台</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3</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2</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装载机</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ZL-50</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台</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2</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3</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自卸汽车</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eastAsia" w:eastAsia="仿宋" w:cs="Times New Roman"/>
                      <w:b w:val="0"/>
                      <w:bCs w:val="0"/>
                      <w:i w:val="0"/>
                      <w:iCs w:val="0"/>
                      <w:color w:val="auto"/>
                      <w:kern w:val="0"/>
                      <w:sz w:val="21"/>
                      <w:szCs w:val="21"/>
                      <w:u w:val="none"/>
                      <w:lang w:val="en-US" w:eastAsia="zh-CN" w:bidi="ar"/>
                    </w:rPr>
                    <w:t>30</w:t>
                  </w:r>
                  <w:r>
                    <w:rPr>
                      <w:rFonts w:hint="default" w:ascii="Times New Roman" w:hAnsi="Times New Roman" w:eastAsia="仿宋" w:cs="Times New Roman"/>
                      <w:b w:val="0"/>
                      <w:bCs w:val="0"/>
                      <w:i w:val="0"/>
                      <w:iCs w:val="0"/>
                      <w:color w:val="auto"/>
                      <w:kern w:val="0"/>
                      <w:sz w:val="21"/>
                      <w:szCs w:val="21"/>
                      <w:u w:val="none"/>
                      <w:lang w:val="en-US" w:eastAsia="zh-CN" w:bidi="ar"/>
                    </w:rPr>
                    <w:t>t</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辆</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8</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4</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滚筒筛</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120</w:t>
                  </w:r>
                  <w:r>
                    <w:rPr>
                      <w:rStyle w:val="84"/>
                      <w:rFonts w:hint="default" w:ascii="Times New Roman" w:hAnsi="Times New Roman" w:eastAsia="仿宋" w:cs="Times New Roman"/>
                      <w:b w:val="0"/>
                      <w:bCs w:val="0"/>
                      <w:color w:val="auto"/>
                      <w:sz w:val="21"/>
                      <w:szCs w:val="21"/>
                      <w:lang w:val="en-US" w:eastAsia="zh-CN" w:bidi="ar"/>
                    </w:rPr>
                    <w:t>m³/h</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台</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2</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lang w:val="en-US" w:eastAsia="zh-CN"/>
                    </w:rPr>
                  </w:pPr>
                  <w:r>
                    <w:rPr>
                      <w:rFonts w:hint="default" w:ascii="Times New Roman" w:hAnsi="Times New Roman" w:eastAsia="仿宋" w:cs="Times New Roman"/>
                      <w:b w:val="0"/>
                      <w:bCs w:val="0"/>
                      <w:i w:val="0"/>
                      <w:iCs w:val="0"/>
                      <w:color w:val="auto"/>
                      <w:kern w:val="0"/>
                      <w:sz w:val="21"/>
                      <w:szCs w:val="21"/>
                      <w:u w:val="none"/>
                      <w:lang w:val="en-US" w:eastAsia="zh-CN" w:bidi="ar"/>
                    </w:rPr>
                    <w:t>22</w:t>
                  </w:r>
                  <w:r>
                    <w:rPr>
                      <w:rStyle w:val="84"/>
                      <w:rFonts w:hint="default" w:ascii="Times New Roman" w:hAnsi="Times New Roman" w:eastAsia="仿宋" w:cs="Times New Roman"/>
                      <w:b w:val="0"/>
                      <w:bCs w:val="0"/>
                      <w:color w:val="auto"/>
                      <w:sz w:val="21"/>
                      <w:szCs w:val="21"/>
                      <w:lang w:val="en-US" w:eastAsia="zh-CN" w:bidi="ar"/>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5</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振动筛</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3YK1860</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台</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1</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22</w:t>
                  </w:r>
                  <w:r>
                    <w:rPr>
                      <w:rStyle w:val="84"/>
                      <w:rFonts w:hint="default" w:ascii="Times New Roman" w:hAnsi="Times New Roman" w:eastAsia="仿宋" w:cs="Times New Roman"/>
                      <w:b w:val="0"/>
                      <w:bCs w:val="0"/>
                      <w:color w:val="auto"/>
                      <w:sz w:val="21"/>
                      <w:szCs w:val="21"/>
                      <w:lang w:val="en-US" w:eastAsia="zh-CN" w:bidi="ar"/>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6</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带式输送机</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宽度800mm</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台</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3</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lang w:val="en-US" w:eastAsia="zh-CN"/>
                    </w:rPr>
                  </w:pPr>
                  <w:r>
                    <w:rPr>
                      <w:rFonts w:hint="default" w:ascii="Times New Roman" w:hAnsi="Times New Roman" w:eastAsia="仿宋" w:cs="Times New Roman"/>
                      <w:b w:val="0"/>
                      <w:bCs w:val="0"/>
                      <w:i w:val="0"/>
                      <w:iCs w:val="0"/>
                      <w:color w:val="auto"/>
                      <w:kern w:val="0"/>
                      <w:sz w:val="21"/>
                      <w:szCs w:val="21"/>
                      <w:u w:val="none"/>
                      <w:lang w:val="en-US" w:eastAsia="zh-CN" w:bidi="ar"/>
                    </w:rPr>
                    <w:t>3</w:t>
                  </w:r>
                  <w:r>
                    <w:rPr>
                      <w:rStyle w:val="84"/>
                      <w:rFonts w:hint="default" w:ascii="Times New Roman" w:hAnsi="Times New Roman" w:eastAsia="仿宋" w:cs="Times New Roman"/>
                      <w:b w:val="0"/>
                      <w:bCs w:val="0"/>
                      <w:color w:val="auto"/>
                      <w:sz w:val="21"/>
                      <w:szCs w:val="21"/>
                      <w:lang w:val="en-US" w:eastAsia="zh-CN" w:bidi="ar"/>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7</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螺旋式洗砂机</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水槽长度12000mm</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台</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2</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lang w:val="en-US" w:eastAsia="zh-CN"/>
                    </w:rPr>
                  </w:pPr>
                  <w:r>
                    <w:rPr>
                      <w:rFonts w:hint="default" w:ascii="Times New Roman" w:hAnsi="Times New Roman" w:eastAsia="仿宋" w:cs="Times New Roman"/>
                      <w:b w:val="0"/>
                      <w:bCs w:val="0"/>
                      <w:i w:val="0"/>
                      <w:iCs w:val="0"/>
                      <w:color w:val="auto"/>
                      <w:sz w:val="21"/>
                      <w:szCs w:val="21"/>
                      <w:u w:val="none"/>
                      <w:lang w:val="en-US" w:eastAsia="zh-CN"/>
                    </w:rPr>
                    <w:t>15</w:t>
                  </w:r>
                  <w:r>
                    <w:rPr>
                      <w:rStyle w:val="84"/>
                      <w:rFonts w:hint="default" w:ascii="Times New Roman" w:hAnsi="Times New Roman" w:eastAsia="仿宋" w:cs="Times New Roman"/>
                      <w:b w:val="0"/>
                      <w:bCs w:val="0"/>
                      <w:color w:val="auto"/>
                      <w:sz w:val="21"/>
                      <w:szCs w:val="21"/>
                      <w:lang w:val="en-US" w:eastAsia="zh-CN" w:bidi="ar"/>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lang w:val="en-US"/>
                    </w:rPr>
                  </w:pPr>
                  <w:r>
                    <w:rPr>
                      <w:rFonts w:hint="default" w:ascii="Times New Roman" w:hAnsi="Times New Roman" w:eastAsia="仿宋" w:cs="Times New Roman"/>
                      <w:b w:val="0"/>
                      <w:bCs w:val="0"/>
                      <w:i w:val="0"/>
                      <w:iCs w:val="0"/>
                      <w:color w:val="auto"/>
                      <w:kern w:val="0"/>
                      <w:sz w:val="21"/>
                      <w:szCs w:val="21"/>
                      <w:u w:val="none"/>
                      <w:lang w:val="en-US" w:eastAsia="zh-CN" w:bidi="ar"/>
                    </w:rPr>
                    <w:t>8</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变压器</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S13-150kVA-10/0.4</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台</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1</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lang w:val="en-US" w:eastAsia="zh-CN"/>
                    </w:rPr>
                  </w:pPr>
                  <w:r>
                    <w:rPr>
                      <w:rFonts w:hint="default" w:ascii="Times New Roman" w:hAnsi="Times New Roman" w:eastAsia="仿宋" w:cs="Times New Roman"/>
                      <w:b w:val="0"/>
                      <w:bCs w:val="0"/>
                      <w:i w:val="0"/>
                      <w:iCs w:val="0"/>
                      <w:color w:val="auto"/>
                      <w:sz w:val="21"/>
                      <w:szCs w:val="21"/>
                      <w:u w:val="none"/>
                      <w:lang w:val="en-US" w:eastAsia="zh-CN"/>
                    </w:rPr>
                    <w:t>9</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储水罐</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5m</w:t>
                  </w:r>
                  <w:r>
                    <w:rPr>
                      <w:rFonts w:hint="default" w:ascii="Times New Roman" w:hAnsi="Times New Roman" w:eastAsia="仿宋" w:cs="Times New Roman"/>
                      <w:b w:val="0"/>
                      <w:bCs w:val="0"/>
                      <w:i w:val="0"/>
                      <w:iCs w:val="0"/>
                      <w:color w:val="auto"/>
                      <w:kern w:val="0"/>
                      <w:sz w:val="21"/>
                      <w:szCs w:val="21"/>
                      <w:u w:val="none"/>
                      <w:vertAlign w:val="superscript"/>
                      <w:lang w:val="en-US" w:eastAsia="zh-CN" w:bidi="ar"/>
                    </w:rPr>
                    <w:t>3</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个</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1</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lang w:val="en-US"/>
                    </w:rPr>
                  </w:pPr>
                  <w:r>
                    <w:rPr>
                      <w:rFonts w:hint="default" w:ascii="Times New Roman" w:hAnsi="Times New Roman" w:eastAsia="仿宋" w:cs="Times New Roman"/>
                      <w:b w:val="0"/>
                      <w:bCs w:val="0"/>
                      <w:i w:val="0"/>
                      <w:iCs w:val="0"/>
                      <w:color w:val="auto"/>
                      <w:kern w:val="0"/>
                      <w:sz w:val="21"/>
                      <w:szCs w:val="21"/>
                      <w:u w:val="none"/>
                      <w:lang w:val="en-US" w:eastAsia="zh-CN" w:bidi="ar"/>
                    </w:rPr>
                    <w:t>10</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越野车</w:t>
                  </w:r>
                </w:p>
              </w:tc>
              <w:tc>
                <w:tcPr>
                  <w:tcW w:w="155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rPr>
                  </w:pP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辆</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1</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lang w:val="en-US"/>
                    </w:rPr>
                  </w:pPr>
                  <w:r>
                    <w:rPr>
                      <w:rFonts w:hint="default" w:ascii="Times New Roman" w:hAnsi="Times New Roman" w:eastAsia="仿宋" w:cs="Times New Roman"/>
                      <w:b w:val="0"/>
                      <w:bCs w:val="0"/>
                      <w:i w:val="0"/>
                      <w:iCs w:val="0"/>
                      <w:color w:val="auto"/>
                      <w:kern w:val="0"/>
                      <w:sz w:val="21"/>
                      <w:szCs w:val="21"/>
                      <w:u w:val="none"/>
                      <w:lang w:val="en-US" w:eastAsia="zh-CN" w:bidi="ar"/>
                    </w:rPr>
                    <w:t>11</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皮卡车</w:t>
                  </w:r>
                </w:p>
              </w:tc>
              <w:tc>
                <w:tcPr>
                  <w:tcW w:w="155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rPr>
                  </w:pP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辆</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1</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lang w:val="en-US"/>
                    </w:rPr>
                  </w:pPr>
                  <w:r>
                    <w:rPr>
                      <w:rFonts w:hint="default" w:ascii="Times New Roman" w:hAnsi="Times New Roman" w:eastAsia="仿宋" w:cs="Times New Roman"/>
                      <w:b w:val="0"/>
                      <w:bCs w:val="0"/>
                      <w:i w:val="0"/>
                      <w:iCs w:val="0"/>
                      <w:color w:val="auto"/>
                      <w:kern w:val="0"/>
                      <w:sz w:val="21"/>
                      <w:szCs w:val="21"/>
                      <w:u w:val="none"/>
                      <w:lang w:val="en-US" w:eastAsia="zh-CN" w:bidi="ar"/>
                    </w:rPr>
                    <w:t>12</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通信</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对讲机</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部</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sz w:val="21"/>
                      <w:szCs w:val="21"/>
                      <w:u w:val="none"/>
                    </w:rPr>
                  </w:pPr>
                  <w:r>
                    <w:rPr>
                      <w:rFonts w:hint="default" w:ascii="Times New Roman" w:hAnsi="Times New Roman" w:eastAsia="仿宋" w:cs="Times New Roman"/>
                      <w:b w:val="0"/>
                      <w:bCs w:val="0"/>
                      <w:i w:val="0"/>
                      <w:iCs w:val="0"/>
                      <w:color w:val="auto"/>
                      <w:kern w:val="0"/>
                      <w:sz w:val="21"/>
                      <w:szCs w:val="21"/>
                      <w:u w:val="none"/>
                      <w:lang w:val="en-US" w:eastAsia="zh-CN" w:bidi="ar"/>
                    </w:rPr>
                    <w:t>10</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eastAsia" w:eastAsia="仿宋" w:cs="Times New Roman"/>
                      <w:b w:val="0"/>
                      <w:bCs w:val="0"/>
                      <w:i w:val="0"/>
                      <w:iCs w:val="0"/>
                      <w:color w:val="auto"/>
                      <w:kern w:val="0"/>
                      <w:sz w:val="21"/>
                      <w:szCs w:val="21"/>
                      <w:u w:val="none"/>
                      <w:lang w:val="en-US" w:eastAsia="zh-CN" w:bidi="ar"/>
                    </w:rPr>
                    <w:t>13</w:t>
                  </w:r>
                </w:p>
              </w:tc>
              <w:tc>
                <w:tcPr>
                  <w:tcW w:w="11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洒水车</w:t>
                  </w:r>
                </w:p>
              </w:tc>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20m</w:t>
                  </w:r>
                  <w:r>
                    <w:rPr>
                      <w:rFonts w:hint="default" w:ascii="Times New Roman" w:hAnsi="Times New Roman" w:eastAsia="仿宋" w:cs="Times New Roman"/>
                      <w:b w:val="0"/>
                      <w:bCs w:val="0"/>
                      <w:i w:val="0"/>
                      <w:iCs w:val="0"/>
                      <w:color w:val="auto"/>
                      <w:kern w:val="0"/>
                      <w:sz w:val="21"/>
                      <w:szCs w:val="21"/>
                      <w:u w:val="none"/>
                      <w:vertAlign w:val="superscript"/>
                      <w:lang w:val="en-US" w:eastAsia="zh-CN" w:bidi="ar"/>
                    </w:rPr>
                    <w:t>3</w:t>
                  </w:r>
                </w:p>
              </w:tc>
              <w:tc>
                <w:tcPr>
                  <w:tcW w:w="5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辆</w:t>
                  </w:r>
                </w:p>
              </w:tc>
              <w:tc>
                <w:tcPr>
                  <w:tcW w:w="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b w:val="0"/>
                      <w:bCs w:val="0"/>
                      <w:i w:val="0"/>
                      <w:iCs w:val="0"/>
                      <w:color w:val="auto"/>
                      <w:kern w:val="0"/>
                      <w:sz w:val="21"/>
                      <w:szCs w:val="21"/>
                      <w:u w:val="none"/>
                      <w:lang w:val="en-US" w:eastAsia="zh-CN" w:bidi="ar"/>
                    </w:rPr>
                    <w:t>3</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i w:val="0"/>
                      <w:iCs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ind w:left="0" w:leftChars="0" w:right="105" w:rightChars="50" w:firstLine="482" w:firstLineChars="200"/>
              <w:jc w:val="both"/>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7、公用工程</w:t>
            </w:r>
          </w:p>
          <w:p>
            <w:pPr>
              <w:keepNext w:val="0"/>
              <w:keepLines w:val="0"/>
              <w:pageBreakBefore w:val="0"/>
              <w:widowControl w:val="0"/>
              <w:kinsoku/>
              <w:wordWrap/>
              <w:overflowPunct/>
              <w:topLinePunct w:val="0"/>
              <w:autoSpaceDE/>
              <w:autoSpaceDN/>
              <w:bidi w:val="0"/>
              <w:adjustRightInd/>
              <w:snapToGrid/>
              <w:ind w:right="105" w:rightChars="50" w:firstLine="422"/>
              <w:jc w:val="both"/>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1</w:t>
            </w:r>
            <w:r>
              <w:rPr>
                <w:rFonts w:hint="default" w:ascii="Times New Roman" w:hAnsi="Times New Roman" w:eastAsia="仿宋" w:cs="Times New Roman"/>
                <w:b/>
                <w:color w:val="auto"/>
                <w:sz w:val="24"/>
                <w:szCs w:val="24"/>
              </w:rPr>
              <w:t>供电</w:t>
            </w:r>
          </w:p>
          <w:p>
            <w:pPr>
              <w:keepNext w:val="0"/>
              <w:keepLines w:val="0"/>
              <w:pageBreakBefore w:val="0"/>
              <w:widowControl w:val="0"/>
              <w:kinsoku/>
              <w:wordWrap/>
              <w:overflowPunct/>
              <w:topLinePunct w:val="0"/>
              <w:bidi w:val="0"/>
              <w:adjustRightInd/>
              <w:snapToGrid/>
              <w:ind w:right="105" w:rightChars="50" w:firstLine="422"/>
              <w:jc w:val="both"/>
              <w:textAlignment w:val="auto"/>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根据</w:t>
            </w: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鄯善县泰航矿业有限公司新疆鄯善县红台西建筑用砂矿矿产资源开发利用与生态保护修复方案</w:t>
            </w:r>
            <w:r>
              <w:rPr>
                <w:rFonts w:hint="default" w:ascii="Times New Roman" w:hAnsi="Times New Roman" w:eastAsia="仿宋" w:cs="Times New Roman"/>
                <w:color w:val="auto"/>
                <w:sz w:val="24"/>
                <w:szCs w:val="24"/>
                <w:lang w:val="en-US" w:eastAsia="zh-CN"/>
              </w:rPr>
              <w:t>》可知，矿区北部约2km有高压电网通过，矿山可从附近电网引入10kV高压线路入矿区作为供电电源。</w:t>
            </w:r>
          </w:p>
          <w:p>
            <w:pPr>
              <w:keepNext w:val="0"/>
              <w:keepLines w:val="0"/>
              <w:pageBreakBefore w:val="0"/>
              <w:widowControl w:val="0"/>
              <w:kinsoku/>
              <w:wordWrap/>
              <w:overflowPunct/>
              <w:topLinePunct w:val="0"/>
              <w:bidi w:val="0"/>
              <w:adjustRightInd/>
              <w:snapToGrid/>
              <w:ind w:right="105" w:rightChars="50" w:firstLine="422"/>
              <w:jc w:val="both"/>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用电设备总数17台，工作台数16台，总装机容量：165kW，其中工作设备功率156kW；辅助生产、照明及生活用电功率15kW。设计矿山年耗电量140616kW·h，单位耗电指标1.41kW·h/m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w:t>
            </w:r>
          </w:p>
          <w:p>
            <w:pPr>
              <w:keepNext w:val="0"/>
              <w:keepLines w:val="0"/>
              <w:pageBreakBefore w:val="0"/>
              <w:widowControl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2</w:t>
            </w:r>
            <w:r>
              <w:rPr>
                <w:rFonts w:hint="default" w:ascii="Times New Roman" w:hAnsi="Times New Roman" w:eastAsia="仿宋" w:cs="Times New Roman"/>
                <w:b/>
                <w:color w:val="auto"/>
                <w:sz w:val="24"/>
                <w:szCs w:val="24"/>
              </w:rPr>
              <w:t>供暖</w:t>
            </w:r>
          </w:p>
          <w:p>
            <w:pPr>
              <w:pStyle w:val="36"/>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rPr>
                <w:rStyle w:val="29"/>
                <w:rFonts w:hint="default" w:ascii="Times New Roman" w:hAnsi="Times New Roman" w:eastAsia="仿宋" w:cs="Times New Roman"/>
                <w:color w:val="auto"/>
                <w:sz w:val="24"/>
                <w:szCs w:val="24"/>
              </w:rPr>
            </w:pPr>
            <w:r>
              <w:rPr>
                <w:rStyle w:val="29"/>
                <w:rFonts w:hint="default" w:ascii="Times New Roman" w:hAnsi="Times New Roman" w:eastAsia="仿宋" w:cs="Times New Roman"/>
                <w:color w:val="auto"/>
                <w:sz w:val="24"/>
                <w:szCs w:val="24"/>
                <w:lang w:val="en-US" w:eastAsia="zh-CN"/>
              </w:rPr>
              <w:t>办公生活区</w:t>
            </w:r>
            <w:r>
              <w:rPr>
                <w:rStyle w:val="29"/>
                <w:rFonts w:hint="default" w:ascii="Times New Roman" w:hAnsi="Times New Roman" w:eastAsia="仿宋" w:cs="Times New Roman"/>
                <w:color w:val="auto"/>
                <w:sz w:val="24"/>
                <w:szCs w:val="24"/>
              </w:rPr>
              <w:t>冬季</w:t>
            </w:r>
            <w:r>
              <w:rPr>
                <w:rStyle w:val="29"/>
                <w:rFonts w:hint="default" w:ascii="Times New Roman" w:hAnsi="Times New Roman" w:eastAsia="仿宋" w:cs="Times New Roman"/>
                <w:color w:val="auto"/>
                <w:sz w:val="24"/>
                <w:szCs w:val="24"/>
                <w:lang w:val="en-US" w:eastAsia="zh-CN"/>
              </w:rPr>
              <w:t>供暖采用</w:t>
            </w:r>
            <w:r>
              <w:rPr>
                <w:rStyle w:val="29"/>
                <w:rFonts w:hint="eastAsia" w:ascii="Times New Roman" w:eastAsia="仿宋" w:cs="Times New Roman"/>
                <w:color w:val="auto"/>
                <w:sz w:val="24"/>
                <w:szCs w:val="24"/>
                <w:lang w:val="en-US" w:eastAsia="zh-CN"/>
              </w:rPr>
              <w:t>电暖器</w:t>
            </w:r>
            <w:r>
              <w:rPr>
                <w:rStyle w:val="29"/>
                <w:rFonts w:hint="default" w:ascii="Times New Roman" w:hAnsi="Times New Roman" w:eastAsia="仿宋" w:cs="Times New Roman"/>
                <w:color w:val="auto"/>
                <w:sz w:val="24"/>
                <w:szCs w:val="24"/>
                <w:lang w:val="en-US" w:eastAsia="zh-CN"/>
              </w:rPr>
              <w:t>取暖</w:t>
            </w:r>
            <w:r>
              <w:rPr>
                <w:rStyle w:val="29"/>
                <w:rFonts w:hint="default" w:ascii="Times New Roman" w:hAnsi="Times New Roman" w:eastAsia="仿宋"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2</w:t>
            </w:r>
            <w:r>
              <w:rPr>
                <w:rFonts w:hint="default" w:ascii="Times New Roman" w:hAnsi="Times New Roman" w:eastAsia="仿宋" w:cs="Times New Roman"/>
                <w:b/>
                <w:bCs/>
                <w:color w:val="auto"/>
                <w:sz w:val="24"/>
                <w:szCs w:val="24"/>
                <w:lang w:val="en-US" w:eastAsia="zh-CN"/>
              </w:rPr>
              <w:t>矿山机修</w:t>
            </w:r>
          </w:p>
          <w:p>
            <w:pPr>
              <w:pStyle w:val="36"/>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矿山生产建设规模65万m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/年，属于大型矿山。由于矿山服务年限仅2.74年，矿区距离七克台镇约36.5千米，交通方便，矿山设备修理依托七克台镇修理厂，设计矿山不</w:t>
            </w:r>
            <w:r>
              <w:rPr>
                <w:rFonts w:hint="eastAsia" w:ascii="Times New Roman" w:eastAsia="仿宋" w:cs="Times New Roman"/>
                <w:color w:val="auto"/>
                <w:sz w:val="24"/>
                <w:szCs w:val="24"/>
                <w:lang w:val="en-US" w:eastAsia="zh-CN"/>
              </w:rPr>
              <w:t>设置</w:t>
            </w:r>
            <w:r>
              <w:rPr>
                <w:rFonts w:hint="default" w:ascii="Times New Roman" w:hAnsi="Times New Roman" w:eastAsia="仿宋" w:cs="Times New Roman"/>
                <w:color w:val="auto"/>
                <w:sz w:val="24"/>
                <w:szCs w:val="24"/>
                <w:lang w:val="en-US" w:eastAsia="zh-CN"/>
              </w:rPr>
              <w:t>设备修理间。</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4</w:t>
            </w:r>
            <w:r>
              <w:rPr>
                <w:rFonts w:hint="default" w:ascii="Times New Roman" w:hAnsi="Times New Roman" w:eastAsia="仿宋" w:cs="Times New Roman"/>
                <w:b/>
                <w:color w:val="auto"/>
                <w:sz w:val="24"/>
                <w:szCs w:val="24"/>
              </w:rPr>
              <w:t>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根据项目开发利用与生态保护修复方案可知，矿山生产用水设计从矿区东南部约8公里的金水站拉取，设计配备</w:t>
            </w: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lang w:val="en-US" w:eastAsia="zh-CN"/>
              </w:rPr>
              <w:t>台20m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水车，生活用水自七克台镇拉运。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lang w:val="en-US" w:eastAsia="zh-CN"/>
              </w:rPr>
              <w:t>1</w:t>
            </w: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rPr>
              <w:t>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1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①</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rPr>
              <w:t>开采及装卸降尘用水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项目采用雾炮机对开采、铲装（装卸）、筛分过程中产生的扬尘进行抑制，</w:t>
            </w:r>
            <w:r>
              <w:rPr>
                <w:rFonts w:hint="eastAsia" w:eastAsia="仿宋" w:cs="Times New Roman"/>
                <w:color w:val="auto"/>
                <w:kern w:val="0"/>
                <w:sz w:val="24"/>
                <w:szCs w:val="24"/>
                <w:highlight w:val="none"/>
                <w:lang w:val="en-US" w:eastAsia="zh-CN"/>
              </w:rPr>
              <w:t>根据</w:t>
            </w: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鄯善县泰航矿业有限公司新疆鄯善县红台西建筑用砂矿矿产资源开发利用与生态保护修复方案</w:t>
            </w: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z w:val="24"/>
                <w:szCs w:val="24"/>
                <w:lang w:val="en-US" w:eastAsia="zh-CN"/>
              </w:rPr>
              <w:t>可知</w:t>
            </w:r>
            <w:r>
              <w:rPr>
                <w:rFonts w:hint="eastAsia" w:eastAsia="仿宋" w:cs="Times New Roman"/>
                <w:color w:val="auto"/>
                <w:sz w:val="24"/>
                <w:szCs w:val="24"/>
                <w:lang w:val="en-US" w:eastAsia="zh-CN"/>
              </w:rPr>
              <w:t>，</w:t>
            </w:r>
            <w:r>
              <w:rPr>
                <w:rFonts w:hint="default" w:ascii="Times New Roman" w:hAnsi="Times New Roman" w:eastAsia="仿宋" w:cs="Times New Roman"/>
                <w:color w:val="auto"/>
                <w:kern w:val="0"/>
                <w:sz w:val="24"/>
                <w:szCs w:val="24"/>
                <w:highlight w:val="none"/>
              </w:rPr>
              <w:t>抑尘用水量按2L/t-矿石计，项目每日开采约</w:t>
            </w:r>
            <w:r>
              <w:rPr>
                <w:rFonts w:hint="eastAsia" w:eastAsia="仿宋" w:cs="Times New Roman"/>
                <w:color w:val="auto"/>
                <w:kern w:val="0"/>
                <w:sz w:val="24"/>
                <w:szCs w:val="24"/>
                <w:highlight w:val="none"/>
                <w:lang w:val="en-US" w:eastAsia="zh-CN"/>
              </w:rPr>
              <w:t>3611.11</w:t>
            </w:r>
            <w:r>
              <w:rPr>
                <w:rFonts w:hint="default" w:ascii="Times New Roman" w:hAnsi="Times New Roman" w:eastAsia="仿宋" w:cs="Times New Roman"/>
                <w:color w:val="auto"/>
                <w:kern w:val="0"/>
                <w:sz w:val="24"/>
                <w:szCs w:val="24"/>
                <w:highlight w:val="none"/>
              </w:rPr>
              <w:t>t，用水量约</w:t>
            </w:r>
            <w:r>
              <w:rPr>
                <w:rFonts w:hint="eastAsia" w:eastAsia="仿宋" w:cs="Times New Roman"/>
                <w:color w:val="auto"/>
                <w:kern w:val="0"/>
                <w:sz w:val="24"/>
                <w:szCs w:val="24"/>
                <w:highlight w:val="none"/>
                <w:lang w:val="en-US" w:eastAsia="zh-CN"/>
              </w:rPr>
              <w:t>7.22</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eastAsia" w:eastAsia="仿宋" w:cs="Times New Roman"/>
                <w:color w:val="auto"/>
                <w:kern w:val="0"/>
                <w:sz w:val="24"/>
                <w:szCs w:val="24"/>
                <w:highlight w:val="none"/>
                <w:lang w:val="en-US" w:eastAsia="zh-CN"/>
              </w:rPr>
              <w:t>1950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/a），降尘用水直接自然蒸发消耗。</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2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②</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rPr>
              <w:t>道路降尘用水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为减少矿山道路运输扬尘，需对道路进行洒水抑尘，矿区内道路面积为</w:t>
            </w:r>
            <w:r>
              <w:rPr>
                <w:rFonts w:hint="eastAsia" w:eastAsia="仿宋" w:cs="Times New Roman"/>
                <w:color w:val="auto"/>
                <w:kern w:val="0"/>
                <w:sz w:val="24"/>
                <w:szCs w:val="24"/>
                <w:highlight w:val="none"/>
                <w:lang w:val="en-US" w:eastAsia="zh-CN"/>
              </w:rPr>
              <w:t>80</w:t>
            </w:r>
            <w:r>
              <w:rPr>
                <w:rFonts w:hint="default" w:ascii="Times New Roman" w:hAnsi="Times New Roman" w:eastAsia="仿宋" w:cs="Times New Roman"/>
                <w:color w:val="auto"/>
                <w:kern w:val="0"/>
                <w:sz w:val="24"/>
                <w:szCs w:val="24"/>
                <w:highlight w:val="none"/>
                <w:lang w:val="en-US" w:eastAsia="zh-CN"/>
              </w:rPr>
              <w:t>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，道路洒水按平均1L/m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•次，每天洒水</w:t>
            </w:r>
            <w:r>
              <w:rPr>
                <w:rFonts w:hint="default"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rPr>
              <w:t>次，洒水量为</w:t>
            </w:r>
            <w:r>
              <w:rPr>
                <w:rFonts w:hint="eastAsia" w:eastAsia="仿宋" w:cs="Times New Roman"/>
                <w:color w:val="auto"/>
                <w:kern w:val="0"/>
                <w:sz w:val="24"/>
                <w:szCs w:val="24"/>
                <w:highlight w:val="none"/>
                <w:lang w:val="en-US" w:eastAsia="zh-CN"/>
              </w:rPr>
              <w:t>16</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eastAsia" w:eastAsia="仿宋" w:cs="Times New Roman"/>
                <w:color w:val="auto"/>
                <w:kern w:val="0"/>
                <w:sz w:val="24"/>
                <w:szCs w:val="24"/>
                <w:highlight w:val="none"/>
                <w:lang w:val="en-US" w:eastAsia="zh-CN"/>
              </w:rPr>
              <w:t>4320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/a），降尘用水直接自然蒸发消耗。</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3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③</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lang w:eastAsia="zh-CN"/>
              </w:rPr>
              <w:t>废石堆场</w:t>
            </w:r>
            <w:r>
              <w:rPr>
                <w:rFonts w:hint="default" w:ascii="Times New Roman" w:hAnsi="Times New Roman" w:eastAsia="仿宋" w:cs="Times New Roman"/>
                <w:color w:val="auto"/>
                <w:kern w:val="0"/>
                <w:sz w:val="24"/>
                <w:szCs w:val="24"/>
                <w:highlight w:val="none"/>
              </w:rPr>
              <w:t>降尘用水</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eastAsia="zh-CN"/>
              </w:rPr>
              <w:t>废石堆场</w:t>
            </w:r>
            <w:r>
              <w:rPr>
                <w:rFonts w:hint="default" w:ascii="Times New Roman" w:hAnsi="Times New Roman" w:eastAsia="仿宋" w:cs="Times New Roman"/>
                <w:color w:val="auto"/>
                <w:kern w:val="0"/>
                <w:sz w:val="24"/>
                <w:szCs w:val="24"/>
                <w:highlight w:val="none"/>
              </w:rPr>
              <w:t>占地面积为</w:t>
            </w:r>
            <w:r>
              <w:rPr>
                <w:rFonts w:hint="eastAsia" w:eastAsia="仿宋" w:cs="Times New Roman"/>
                <w:color w:val="auto"/>
                <w:kern w:val="0"/>
                <w:sz w:val="24"/>
                <w:szCs w:val="24"/>
                <w:highlight w:val="none"/>
                <w:lang w:val="en-US" w:eastAsia="zh-CN"/>
              </w:rPr>
              <w:t>20</w:t>
            </w:r>
            <w:r>
              <w:rPr>
                <w:rFonts w:hint="default" w:ascii="Times New Roman" w:hAnsi="Times New Roman" w:eastAsia="仿宋" w:cs="Times New Roman"/>
                <w:color w:val="auto"/>
                <w:kern w:val="0"/>
                <w:sz w:val="24"/>
                <w:szCs w:val="24"/>
                <w:highlight w:val="none"/>
              </w:rPr>
              <w:t>000m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，抑尘用水量按1L/m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·次计算，每日1次，则</w:t>
            </w:r>
            <w:r>
              <w:rPr>
                <w:rFonts w:hint="default" w:ascii="Times New Roman" w:hAnsi="Times New Roman" w:eastAsia="仿宋" w:cs="Times New Roman"/>
                <w:color w:val="auto"/>
                <w:kern w:val="0"/>
                <w:sz w:val="24"/>
                <w:szCs w:val="24"/>
                <w:highlight w:val="none"/>
                <w:lang w:eastAsia="zh-CN"/>
              </w:rPr>
              <w:t>废石堆场</w:t>
            </w:r>
            <w:r>
              <w:rPr>
                <w:rFonts w:hint="default" w:ascii="Times New Roman" w:hAnsi="Times New Roman" w:eastAsia="仿宋" w:cs="Times New Roman"/>
                <w:color w:val="auto"/>
                <w:kern w:val="0"/>
                <w:sz w:val="24"/>
                <w:szCs w:val="24"/>
                <w:highlight w:val="none"/>
              </w:rPr>
              <w:t>用水量为</w:t>
            </w:r>
            <w:r>
              <w:rPr>
                <w:rFonts w:hint="eastAsia" w:eastAsia="仿宋" w:cs="Times New Roman"/>
                <w:color w:val="auto"/>
                <w:kern w:val="0"/>
                <w:sz w:val="24"/>
                <w:szCs w:val="24"/>
                <w:highlight w:val="none"/>
                <w:lang w:val="en-US" w:eastAsia="zh-CN"/>
              </w:rPr>
              <w:t>20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eastAsia" w:eastAsia="仿宋" w:cs="Times New Roman"/>
                <w:color w:val="auto"/>
                <w:kern w:val="0"/>
                <w:sz w:val="24"/>
                <w:szCs w:val="24"/>
                <w:highlight w:val="none"/>
                <w:lang w:val="en-US" w:eastAsia="zh-CN"/>
              </w:rPr>
              <w:t>54</w:t>
            </w:r>
            <w:r>
              <w:rPr>
                <w:rFonts w:hint="default" w:ascii="Times New Roman" w:hAnsi="Times New Roman" w:eastAsia="仿宋" w:cs="Times New Roman"/>
                <w:color w:val="auto"/>
                <w:kern w:val="0"/>
                <w:sz w:val="24"/>
                <w:szCs w:val="24"/>
                <w:highlight w:val="none"/>
                <w:lang w:val="en-US" w:eastAsia="zh-CN"/>
              </w:rPr>
              <w:t>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/a），该部分水被矿石吸收和蒸发，没有废水外排。</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洗砂用水</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 w:cs="Times New Roman"/>
                <w:color w:val="auto"/>
                <w:kern w:val="0"/>
                <w:sz w:val="24"/>
                <w:szCs w:val="24"/>
                <w:highlight w:val="none"/>
                <w:lang w:val="en-US" w:eastAsia="zh-CN"/>
              </w:rPr>
            </w:pPr>
            <w:r>
              <w:rPr>
                <w:rFonts w:hint="eastAsia" w:ascii="Times New Roman" w:hAnsi="Times New Roman" w:eastAsia="仿宋" w:cs="Times New Roman"/>
                <w:color w:val="auto"/>
                <w:kern w:val="0"/>
                <w:sz w:val="24"/>
                <w:szCs w:val="24"/>
                <w:highlight w:val="none"/>
                <w:lang w:val="en-US" w:eastAsia="zh-CN"/>
              </w:rPr>
              <w:t>矿山在筛分时，需用水对砂石料进行冲洗和降尘。根据矿山的供水方案，该矿山设计生产规模65万m</w:t>
            </w:r>
            <w:r>
              <w:rPr>
                <w:rFonts w:hint="eastAsia" w:ascii="Times New Roman" w:hAnsi="Times New Roman" w:eastAsia="仿宋" w:cs="Times New Roman"/>
                <w:color w:val="auto"/>
                <w:kern w:val="0"/>
                <w:sz w:val="24"/>
                <w:szCs w:val="24"/>
                <w:highlight w:val="none"/>
                <w:vertAlign w:val="superscript"/>
                <w:lang w:val="en-US" w:eastAsia="zh-CN"/>
              </w:rPr>
              <w:t>3</w:t>
            </w:r>
            <w:r>
              <w:rPr>
                <w:rFonts w:hint="eastAsia" w:ascii="Times New Roman" w:hAnsi="Times New Roman" w:eastAsia="仿宋" w:cs="Times New Roman"/>
                <w:color w:val="auto"/>
                <w:kern w:val="0"/>
                <w:sz w:val="24"/>
                <w:szCs w:val="24"/>
                <w:highlight w:val="none"/>
                <w:lang w:val="en-US" w:eastAsia="zh-CN"/>
              </w:rPr>
              <w:t>/年，水洗1.0m</w:t>
            </w:r>
            <w:r>
              <w:rPr>
                <w:rFonts w:hint="eastAsia" w:ascii="Times New Roman" w:hAnsi="Times New Roman" w:eastAsia="仿宋" w:cs="Times New Roman"/>
                <w:color w:val="auto"/>
                <w:kern w:val="0"/>
                <w:sz w:val="24"/>
                <w:szCs w:val="24"/>
                <w:highlight w:val="none"/>
                <w:vertAlign w:val="superscript"/>
                <w:lang w:val="en-US" w:eastAsia="zh-CN"/>
              </w:rPr>
              <w:t>3</w:t>
            </w:r>
            <w:r>
              <w:rPr>
                <w:rFonts w:hint="eastAsia" w:ascii="Times New Roman" w:hAnsi="Times New Roman" w:eastAsia="仿宋" w:cs="Times New Roman"/>
                <w:color w:val="auto"/>
                <w:kern w:val="0"/>
                <w:sz w:val="24"/>
                <w:szCs w:val="24"/>
                <w:highlight w:val="none"/>
                <w:lang w:val="en-US" w:eastAsia="zh-CN"/>
              </w:rPr>
              <w:t>原矿需用水0.50m</w:t>
            </w:r>
            <w:r>
              <w:rPr>
                <w:rFonts w:hint="eastAsia" w:ascii="Times New Roman" w:hAnsi="Times New Roman" w:eastAsia="仿宋" w:cs="Times New Roman"/>
                <w:color w:val="auto"/>
                <w:kern w:val="0"/>
                <w:sz w:val="24"/>
                <w:szCs w:val="24"/>
                <w:highlight w:val="none"/>
                <w:vertAlign w:val="superscript"/>
                <w:lang w:val="en-US" w:eastAsia="zh-CN"/>
              </w:rPr>
              <w:t>3</w:t>
            </w:r>
            <w:r>
              <w:rPr>
                <w:rFonts w:hint="eastAsia" w:ascii="Times New Roman" w:hAnsi="Times New Roman" w:eastAsia="仿宋" w:cs="Times New Roman"/>
                <w:color w:val="auto"/>
                <w:kern w:val="0"/>
                <w:sz w:val="24"/>
                <w:szCs w:val="24"/>
                <w:highlight w:val="none"/>
                <w:lang w:val="en-US" w:eastAsia="zh-CN"/>
              </w:rPr>
              <w:t>，矿山年所需水洗的砂石料65万m</w:t>
            </w:r>
            <w:r>
              <w:rPr>
                <w:rFonts w:hint="eastAsia" w:ascii="Times New Roman" w:hAnsi="Times New Roman" w:eastAsia="仿宋" w:cs="Times New Roman"/>
                <w:color w:val="auto"/>
                <w:kern w:val="0"/>
                <w:sz w:val="24"/>
                <w:szCs w:val="24"/>
                <w:highlight w:val="none"/>
                <w:vertAlign w:val="superscript"/>
                <w:lang w:val="en-US" w:eastAsia="zh-CN"/>
              </w:rPr>
              <w:t>3</w:t>
            </w:r>
            <w:r>
              <w:rPr>
                <w:rFonts w:hint="eastAsia" w:ascii="Times New Roman" w:hAnsi="Times New Roman" w:eastAsia="仿宋" w:cs="Times New Roman"/>
                <w:color w:val="auto"/>
                <w:kern w:val="0"/>
                <w:sz w:val="24"/>
                <w:szCs w:val="24"/>
                <w:highlight w:val="none"/>
                <w:lang w:val="en-US" w:eastAsia="zh-CN"/>
              </w:rPr>
              <w:t>，水洗用水量为32.5万m</w:t>
            </w:r>
            <w:r>
              <w:rPr>
                <w:rFonts w:hint="eastAsia" w:ascii="Times New Roman" w:hAnsi="Times New Roman" w:eastAsia="仿宋" w:cs="Times New Roman"/>
                <w:color w:val="auto"/>
                <w:kern w:val="0"/>
                <w:sz w:val="24"/>
                <w:szCs w:val="24"/>
                <w:highlight w:val="none"/>
                <w:vertAlign w:val="superscript"/>
                <w:lang w:val="en-US" w:eastAsia="zh-CN"/>
              </w:rPr>
              <w:t>3</w:t>
            </w:r>
            <w:r>
              <w:rPr>
                <w:rFonts w:hint="eastAsia" w:ascii="Times New Roman" w:hAnsi="Times New Roman" w:eastAsia="仿宋" w:cs="Times New Roman"/>
                <w:color w:val="auto"/>
                <w:kern w:val="0"/>
                <w:sz w:val="24"/>
                <w:szCs w:val="24"/>
                <w:highlight w:val="none"/>
                <w:lang w:val="en-US" w:eastAsia="zh-CN"/>
              </w:rPr>
              <w:t>/年（1354.17m</w:t>
            </w:r>
            <w:r>
              <w:rPr>
                <w:rFonts w:hint="eastAsia" w:ascii="Times New Roman" w:hAnsi="Times New Roman" w:eastAsia="仿宋" w:cs="Times New Roman"/>
                <w:color w:val="auto"/>
                <w:kern w:val="0"/>
                <w:sz w:val="24"/>
                <w:szCs w:val="24"/>
                <w:highlight w:val="none"/>
                <w:vertAlign w:val="superscript"/>
                <w:lang w:val="en-US" w:eastAsia="zh-CN"/>
              </w:rPr>
              <w:t>3</w:t>
            </w:r>
            <w:r>
              <w:rPr>
                <w:rFonts w:hint="eastAsia" w:ascii="Times New Roman" w:hAnsi="Times New Roman" w:eastAsia="仿宋" w:cs="Times New Roman"/>
                <w:color w:val="auto"/>
                <w:kern w:val="0"/>
                <w:sz w:val="24"/>
                <w:szCs w:val="24"/>
                <w:highlight w:val="none"/>
                <w:lang w:val="en-US" w:eastAsia="zh-CN"/>
              </w:rPr>
              <w:t>/日）。废水经沉淀后可循环利用，回用率90%，补充新水10%，年需新水量3.25万m</w:t>
            </w:r>
            <w:r>
              <w:rPr>
                <w:rFonts w:hint="eastAsia" w:ascii="Times New Roman" w:hAnsi="Times New Roman" w:eastAsia="仿宋" w:cs="Times New Roman"/>
                <w:color w:val="auto"/>
                <w:kern w:val="0"/>
                <w:sz w:val="24"/>
                <w:szCs w:val="24"/>
                <w:highlight w:val="none"/>
                <w:vertAlign w:val="superscript"/>
                <w:lang w:val="en-US" w:eastAsia="zh-CN"/>
              </w:rPr>
              <w:t>3</w:t>
            </w:r>
            <w:r>
              <w:rPr>
                <w:rFonts w:hint="eastAsia" w:ascii="Times New Roman" w:hAnsi="Times New Roman" w:eastAsia="仿宋" w:cs="Times New Roman"/>
                <w:color w:val="auto"/>
                <w:kern w:val="0"/>
                <w:sz w:val="24"/>
                <w:szCs w:val="24"/>
                <w:highlight w:val="none"/>
                <w:lang w:val="en-US" w:eastAsia="zh-CN"/>
              </w:rPr>
              <w:t>/年（120.37m</w:t>
            </w:r>
            <w:r>
              <w:rPr>
                <w:rFonts w:hint="eastAsia" w:ascii="Times New Roman" w:hAnsi="Times New Roman" w:eastAsia="仿宋" w:cs="Times New Roman"/>
                <w:color w:val="auto"/>
                <w:kern w:val="0"/>
                <w:sz w:val="24"/>
                <w:szCs w:val="24"/>
                <w:highlight w:val="none"/>
                <w:vertAlign w:val="superscript"/>
                <w:lang w:val="en-US" w:eastAsia="zh-CN"/>
              </w:rPr>
              <w:t>3</w:t>
            </w:r>
            <w:r>
              <w:rPr>
                <w:rFonts w:hint="eastAsia" w:ascii="Times New Roman" w:hAnsi="Times New Roman" w:eastAsia="仿宋" w:cs="Times New Roman"/>
                <w:color w:val="auto"/>
                <w:kern w:val="0"/>
                <w:sz w:val="24"/>
                <w:szCs w:val="24"/>
                <w:highlight w:val="none"/>
                <w:lang w:val="en-US" w:eastAsia="zh-CN"/>
              </w:rPr>
              <w:t>/日）。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bidi="ar"/>
              </w:rPr>
              <w:t>（3）</w:t>
            </w:r>
            <w:r>
              <w:rPr>
                <w:rFonts w:hint="default" w:ascii="Times New Roman" w:hAnsi="Times New Roman" w:eastAsia="仿宋" w:cs="Times New Roman"/>
                <w:color w:val="auto"/>
                <w:sz w:val="24"/>
                <w:szCs w:val="24"/>
                <w:highlight w:val="none"/>
                <w:lang w:val="en-US" w:eastAsia="zh-CN"/>
              </w:rPr>
              <w:t>车辆冲洗用水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sz w:val="24"/>
                <w:szCs w:val="24"/>
                <w:highlight w:val="none"/>
                <w:lang w:val="en-US" w:eastAsia="zh-CN"/>
              </w:rPr>
              <w:t>本项目产品加工生产规模为</w:t>
            </w:r>
            <w:r>
              <w:rPr>
                <w:rFonts w:hint="eastAsia" w:eastAsia="仿宋" w:cs="Times New Roman"/>
                <w:color w:val="auto"/>
                <w:sz w:val="24"/>
                <w:szCs w:val="24"/>
                <w:highlight w:val="none"/>
                <w:lang w:val="en-US" w:eastAsia="zh-CN"/>
              </w:rPr>
              <w:t>97.5万</w:t>
            </w:r>
            <w:r>
              <w:rPr>
                <w:rFonts w:hint="default" w:ascii="Times New Roman" w:hAnsi="Times New Roman" w:eastAsia="仿宋" w:cs="Times New Roman"/>
                <w:color w:val="auto"/>
                <w:sz w:val="24"/>
                <w:szCs w:val="24"/>
                <w:highlight w:val="none"/>
                <w:lang w:val="en-US" w:eastAsia="zh-CN"/>
              </w:rPr>
              <w:t>t/a，按照生产装置最大能力的100%计算，每年最大运输原料</w:t>
            </w:r>
            <w:r>
              <w:rPr>
                <w:rFonts w:hint="eastAsia" w:eastAsia="仿宋" w:cs="Times New Roman"/>
                <w:color w:val="auto"/>
                <w:sz w:val="24"/>
                <w:szCs w:val="24"/>
                <w:highlight w:val="none"/>
                <w:lang w:val="en-US" w:eastAsia="zh-CN"/>
              </w:rPr>
              <w:t>97.5万</w:t>
            </w:r>
            <w:r>
              <w:rPr>
                <w:rFonts w:hint="default" w:ascii="Times New Roman" w:hAnsi="Times New Roman" w:eastAsia="仿宋" w:cs="Times New Roman"/>
                <w:color w:val="auto"/>
                <w:sz w:val="24"/>
                <w:szCs w:val="24"/>
                <w:highlight w:val="none"/>
                <w:lang w:val="en-US" w:eastAsia="zh-CN"/>
              </w:rPr>
              <w:t>吨，按照单车1次运输量最大为10吨计算，每年约需运输</w:t>
            </w:r>
            <w:r>
              <w:rPr>
                <w:rFonts w:hint="eastAsia" w:eastAsia="仿宋" w:cs="Times New Roman"/>
                <w:color w:val="auto"/>
                <w:sz w:val="24"/>
                <w:szCs w:val="24"/>
                <w:highlight w:val="none"/>
                <w:lang w:val="en-US" w:eastAsia="zh-CN"/>
              </w:rPr>
              <w:t>975</w:t>
            </w:r>
            <w:r>
              <w:rPr>
                <w:rFonts w:hint="default" w:ascii="Times New Roman" w:hAnsi="Times New Roman" w:eastAsia="仿宋" w:cs="Times New Roman"/>
                <w:color w:val="auto"/>
                <w:sz w:val="24"/>
                <w:szCs w:val="24"/>
                <w:highlight w:val="none"/>
                <w:lang w:val="en-US" w:eastAsia="zh-CN"/>
              </w:rPr>
              <w:t>00辆/年，每天运输车辆为</w:t>
            </w:r>
            <w:r>
              <w:rPr>
                <w:rFonts w:hint="eastAsia" w:eastAsia="仿宋" w:cs="Times New Roman"/>
                <w:color w:val="auto"/>
                <w:sz w:val="24"/>
                <w:szCs w:val="24"/>
                <w:highlight w:val="none"/>
                <w:lang w:val="en-US" w:eastAsia="zh-CN"/>
              </w:rPr>
              <w:t>362</w:t>
            </w:r>
            <w:r>
              <w:rPr>
                <w:rFonts w:hint="default" w:ascii="Times New Roman" w:hAnsi="Times New Roman" w:eastAsia="仿宋" w:cs="Times New Roman"/>
                <w:color w:val="auto"/>
                <w:sz w:val="24"/>
                <w:szCs w:val="24"/>
                <w:highlight w:val="none"/>
                <w:lang w:val="en-US" w:eastAsia="zh-CN"/>
              </w:rPr>
              <w:t>辆，车辆进出厂区前需对车轮和车身进行冲洗。据调查车辆车轮和车身冲洗水量为0.04m³/辆·，每年冲洗用水为</w:t>
            </w:r>
            <w:r>
              <w:rPr>
                <w:rFonts w:hint="eastAsia" w:eastAsia="仿宋" w:cs="Times New Roman"/>
                <w:color w:val="auto"/>
                <w:sz w:val="24"/>
                <w:szCs w:val="24"/>
                <w:highlight w:val="none"/>
                <w:lang w:val="en-US" w:eastAsia="zh-CN"/>
              </w:rPr>
              <w:t>390</w:t>
            </w:r>
            <w:r>
              <w:rPr>
                <w:rFonts w:hint="default" w:ascii="Times New Roman" w:hAnsi="Times New Roman" w:eastAsia="仿宋" w:cs="Times New Roman"/>
                <w:color w:val="auto"/>
                <w:sz w:val="24"/>
                <w:szCs w:val="24"/>
                <w:highlight w:val="none"/>
                <w:lang w:val="en-US" w:eastAsia="zh-CN"/>
              </w:rPr>
              <w:t>0m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/a（</w:t>
            </w:r>
            <w:r>
              <w:rPr>
                <w:rFonts w:hint="eastAsia" w:eastAsia="仿宋" w:cs="Times New Roman"/>
                <w:color w:val="auto"/>
                <w:sz w:val="24"/>
                <w:szCs w:val="24"/>
                <w:highlight w:val="none"/>
                <w:lang w:val="en-US" w:eastAsia="zh-CN"/>
              </w:rPr>
              <w:t>14.44</w:t>
            </w:r>
            <w:r>
              <w:rPr>
                <w:rFonts w:hint="default" w:ascii="Times New Roman" w:hAnsi="Times New Roman" w:eastAsia="仿宋" w:cs="Times New Roman"/>
                <w:color w:val="auto"/>
                <w:sz w:val="24"/>
                <w:szCs w:val="24"/>
                <w:highlight w:val="none"/>
                <w:lang w:val="en-US" w:eastAsia="zh-CN"/>
              </w:rPr>
              <w:t>m³/d），排污系数按0.9计算，则冲洗车辆的清洗废水量约</w:t>
            </w:r>
            <w:r>
              <w:rPr>
                <w:rFonts w:hint="eastAsia" w:eastAsia="仿宋" w:cs="Times New Roman"/>
                <w:color w:val="auto"/>
                <w:sz w:val="24"/>
                <w:szCs w:val="24"/>
                <w:highlight w:val="none"/>
                <w:lang w:val="en-US" w:eastAsia="zh-CN"/>
              </w:rPr>
              <w:t>3510</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/a（</w:t>
            </w:r>
            <w:r>
              <w:rPr>
                <w:rFonts w:hint="eastAsia" w:eastAsia="仿宋" w:cs="Times New Roman"/>
                <w:color w:val="auto"/>
                <w:sz w:val="24"/>
                <w:szCs w:val="24"/>
                <w:highlight w:val="none"/>
                <w:lang w:val="en-US" w:eastAsia="zh-CN"/>
              </w:rPr>
              <w:t>13</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/d）。废水经沉淀池沉淀后回用。</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生活用水：项目劳动定员</w:t>
            </w:r>
            <w:r>
              <w:rPr>
                <w:rFonts w:hint="eastAsia" w:eastAsia="仿宋" w:cs="Times New Roman"/>
                <w:color w:val="auto"/>
                <w:sz w:val="24"/>
                <w:szCs w:val="24"/>
                <w:highlight w:val="none"/>
                <w:lang w:val="en-US" w:eastAsia="zh-CN"/>
              </w:rPr>
              <w:t>31人</w:t>
            </w:r>
            <w:r>
              <w:rPr>
                <w:rFonts w:hint="default" w:ascii="Times New Roman" w:hAnsi="Times New Roman" w:eastAsia="仿宋" w:cs="Times New Roman"/>
                <w:color w:val="auto"/>
                <w:sz w:val="24"/>
                <w:szCs w:val="24"/>
                <w:highlight w:val="none"/>
              </w:rPr>
              <w:t>，用水量按80L/人·d，生活用水量为</w:t>
            </w:r>
            <w:r>
              <w:rPr>
                <w:rFonts w:hint="eastAsia" w:eastAsia="仿宋" w:cs="Times New Roman"/>
                <w:color w:val="auto"/>
                <w:sz w:val="24"/>
                <w:szCs w:val="24"/>
                <w:highlight w:val="none"/>
                <w:lang w:val="en-US" w:eastAsia="zh-CN"/>
              </w:rPr>
              <w:t>2.48</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/d，年产生天数</w:t>
            </w:r>
            <w:r>
              <w:rPr>
                <w:rFonts w:hint="default" w:ascii="Times New Roman" w:hAnsi="Times New Roman" w:eastAsia="仿宋" w:cs="Times New Roman"/>
                <w:color w:val="auto"/>
                <w:sz w:val="24"/>
                <w:szCs w:val="24"/>
                <w:highlight w:val="none"/>
                <w:lang w:val="en-US" w:eastAsia="zh-CN"/>
              </w:rPr>
              <w:t>270</w:t>
            </w:r>
            <w:r>
              <w:rPr>
                <w:rFonts w:hint="default" w:ascii="Times New Roman" w:hAnsi="Times New Roman" w:eastAsia="仿宋" w:cs="Times New Roman"/>
                <w:color w:val="auto"/>
                <w:sz w:val="24"/>
                <w:szCs w:val="24"/>
                <w:highlight w:val="none"/>
              </w:rPr>
              <w:t>天，合</w:t>
            </w:r>
            <w:r>
              <w:rPr>
                <w:rFonts w:hint="eastAsia" w:eastAsia="仿宋" w:cs="Times New Roman"/>
                <w:color w:val="auto"/>
                <w:sz w:val="24"/>
                <w:szCs w:val="24"/>
                <w:highlight w:val="none"/>
                <w:lang w:val="en-US" w:eastAsia="zh-CN"/>
              </w:rPr>
              <w:t>669.6</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/a。</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7.</w:t>
            </w:r>
            <w:r>
              <w:rPr>
                <w:rFonts w:hint="default" w:ascii="Times New Roman" w:hAnsi="Times New Roman" w:eastAsia="仿宋" w:cs="Times New Roman"/>
                <w:b/>
                <w:color w:val="auto"/>
                <w:sz w:val="24"/>
                <w:szCs w:val="24"/>
                <w:highlight w:val="none"/>
                <w:lang w:val="en-US" w:eastAsia="zh-CN"/>
              </w:rPr>
              <w:t>5</w:t>
            </w:r>
            <w:r>
              <w:rPr>
                <w:rFonts w:hint="default" w:ascii="Times New Roman" w:hAnsi="Times New Roman" w:eastAsia="仿宋" w:cs="Times New Roman"/>
                <w:b/>
                <w:color w:val="auto"/>
                <w:sz w:val="24"/>
                <w:szCs w:val="24"/>
                <w:highlight w:val="none"/>
              </w:rPr>
              <w:t>排水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项目降尘用水在生产过程中全部挥发，无废水产生，项目产生的废水主要为劳动定员生活污水。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项目生活污水排放量按照用水量的80%进行核算，则生活污水排放总量为</w:t>
            </w:r>
            <w:r>
              <w:rPr>
                <w:rFonts w:hint="default" w:ascii="Times New Roman" w:hAnsi="Times New Roman" w:eastAsia="仿宋" w:cs="Times New Roman"/>
                <w:color w:val="auto"/>
                <w:sz w:val="24"/>
                <w:szCs w:val="24"/>
                <w:highlight w:val="none"/>
                <w:lang w:eastAsia="zh-CN"/>
              </w:rPr>
              <w:t>1.</w:t>
            </w:r>
            <w:r>
              <w:rPr>
                <w:rFonts w:hint="eastAsia" w:eastAsia="仿宋" w:cs="Times New Roman"/>
                <w:color w:val="auto"/>
                <w:sz w:val="24"/>
                <w:szCs w:val="24"/>
                <w:highlight w:val="none"/>
                <w:lang w:val="en-US" w:eastAsia="zh-CN"/>
              </w:rPr>
              <w:t>98</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/d，合</w:t>
            </w:r>
            <w:r>
              <w:rPr>
                <w:rFonts w:hint="eastAsia" w:eastAsia="仿宋" w:cs="Times New Roman"/>
                <w:color w:val="auto"/>
                <w:sz w:val="24"/>
                <w:szCs w:val="24"/>
                <w:highlight w:val="none"/>
                <w:lang w:val="en-US" w:eastAsia="zh-CN"/>
              </w:rPr>
              <w:t>535.68</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/a。</w:t>
            </w: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eastAsia" w:eastAsia="仿宋" w:cs="Times New Roman"/>
                <w:bCs/>
                <w:color w:val="auto"/>
                <w:spacing w:val="10"/>
                <w:kern w:val="2"/>
                <w:sz w:val="24"/>
                <w:szCs w:val="24"/>
                <w:highlight w:val="none"/>
                <w:lang w:val="en-US" w:eastAsia="zh-CN" w:bidi="ar-SA"/>
              </w:rPr>
              <w:t>，</w:t>
            </w:r>
            <w:r>
              <w:rPr>
                <w:rFonts w:hint="default" w:ascii="Times New Roman" w:hAnsi="Times New Roman" w:eastAsia="仿宋" w:cs="Times New Roman"/>
                <w:color w:val="auto"/>
                <w:sz w:val="24"/>
                <w:szCs w:val="24"/>
                <w:highlight w:val="none"/>
              </w:rPr>
              <w:t>项目用水量估算见表2-6，本项目水平衡见图2-</w:t>
            </w: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表2-6用水情况一览表</w:t>
            </w:r>
          </w:p>
          <w:tbl>
            <w:tblPr>
              <w:tblStyle w:val="2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52"/>
              <w:gridCol w:w="1661"/>
              <w:gridCol w:w="1541"/>
              <w:gridCol w:w="1146"/>
              <w:gridCol w:w="158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87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用水项目</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用水定额</w:t>
                  </w:r>
                </w:p>
              </w:tc>
              <w:tc>
                <w:tcPr>
                  <w:tcW w:w="816"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用水</w:t>
                  </w:r>
                  <w:r>
                    <w:rPr>
                      <w:rFonts w:hint="default" w:ascii="Times New Roman" w:hAnsi="Times New Roman" w:eastAsia="仿宋" w:cs="Times New Roman"/>
                      <w:color w:val="auto"/>
                      <w:sz w:val="21"/>
                      <w:szCs w:val="21"/>
                      <w:highlight w:val="none"/>
                    </w:rPr>
                    <w:t>量（m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color w:val="auto"/>
                      <w:sz w:val="21"/>
                      <w:szCs w:val="21"/>
                      <w:highlight w:val="none"/>
                    </w:rPr>
                    <w:t>/d）</w:t>
                  </w:r>
                </w:p>
              </w:tc>
              <w:tc>
                <w:tcPr>
                  <w:tcW w:w="607"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排污系数</w:t>
                  </w:r>
                </w:p>
              </w:tc>
              <w:tc>
                <w:tcPr>
                  <w:tcW w:w="840"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回用水</w:t>
                  </w:r>
                  <w:r>
                    <w:rPr>
                      <w:rFonts w:hint="default" w:ascii="Times New Roman" w:hAnsi="Times New Roman" w:eastAsia="仿宋" w:cs="Times New Roman"/>
                      <w:bCs/>
                      <w:color w:val="auto"/>
                      <w:sz w:val="21"/>
                      <w:szCs w:val="21"/>
                      <w:highlight w:val="none"/>
                    </w:rPr>
                    <w:t>（m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bCs/>
                      <w:color w:val="auto"/>
                      <w:sz w:val="21"/>
                      <w:szCs w:val="21"/>
                      <w:highlight w:val="none"/>
                    </w:rPr>
                    <w:t>/</w:t>
                  </w:r>
                  <w:r>
                    <w:rPr>
                      <w:rFonts w:hint="default" w:ascii="Times New Roman" w:hAnsi="Times New Roman" w:eastAsia="仿宋" w:cs="Times New Roman"/>
                      <w:bCs/>
                      <w:color w:val="auto"/>
                      <w:sz w:val="21"/>
                      <w:szCs w:val="21"/>
                      <w:highlight w:val="none"/>
                      <w:lang w:val="en-US" w:eastAsia="zh-CN"/>
                    </w:rPr>
                    <w:t>d</w:t>
                  </w:r>
                  <w:r>
                    <w:rPr>
                      <w:rFonts w:hint="default" w:ascii="Times New Roman" w:hAnsi="Times New Roman" w:eastAsia="仿宋" w:cs="Times New Roman"/>
                      <w:bCs/>
                      <w:color w:val="auto"/>
                      <w:sz w:val="21"/>
                      <w:szCs w:val="21"/>
                      <w:highlight w:val="none"/>
                    </w:rPr>
                    <w:t>）</w:t>
                  </w:r>
                </w:p>
              </w:tc>
              <w:tc>
                <w:tcPr>
                  <w:tcW w:w="735"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废水量（m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bCs/>
                      <w:color w:val="auto"/>
                      <w:sz w:val="21"/>
                      <w:szCs w:val="21"/>
                      <w:highlight w:val="none"/>
                    </w:rPr>
                    <w:t>/</w:t>
                  </w:r>
                  <w:r>
                    <w:rPr>
                      <w:rFonts w:hint="default" w:ascii="Times New Roman" w:hAnsi="Times New Roman" w:eastAsia="仿宋" w:cs="Times New Roman"/>
                      <w:bCs/>
                      <w:color w:val="auto"/>
                      <w:sz w:val="21"/>
                      <w:szCs w:val="21"/>
                      <w:highlight w:val="none"/>
                      <w:lang w:val="en-US" w:eastAsia="zh-CN"/>
                    </w:rPr>
                    <w:t>d</w:t>
                  </w:r>
                  <w:r>
                    <w:rPr>
                      <w:rFonts w:hint="default" w:ascii="Times New Roman" w:hAnsi="Times New Roman" w:eastAsia="仿宋" w:cs="Times New Roman"/>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w:t>
                  </w:r>
                </w:p>
              </w:tc>
              <w:tc>
                <w:tcPr>
                  <w:tcW w:w="87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生活用水</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80L/人·d</w:t>
                  </w:r>
                </w:p>
              </w:tc>
              <w:tc>
                <w:tcPr>
                  <w:tcW w:w="81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2.</w:t>
                  </w:r>
                  <w:r>
                    <w:rPr>
                      <w:rFonts w:hint="eastAsia" w:eastAsia="仿宋" w:cs="Times New Roman"/>
                      <w:color w:val="auto"/>
                      <w:sz w:val="21"/>
                      <w:szCs w:val="21"/>
                      <w:highlight w:val="none"/>
                      <w:lang w:val="en-US" w:eastAsia="zh-CN"/>
                    </w:rPr>
                    <w:t>48</w:t>
                  </w:r>
                </w:p>
              </w:tc>
              <w:tc>
                <w:tcPr>
                  <w:tcW w:w="607"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0.8</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2</w:t>
                  </w:r>
                </w:p>
              </w:tc>
              <w:tc>
                <w:tcPr>
                  <w:tcW w:w="875"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开采、装卸及筛分降尘用水</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2L/t-矿石</w:t>
                  </w:r>
                </w:p>
              </w:tc>
              <w:tc>
                <w:tcPr>
                  <w:tcW w:w="816"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7.22</w:t>
                  </w:r>
                </w:p>
              </w:tc>
              <w:tc>
                <w:tcPr>
                  <w:tcW w:w="607" w:type="pc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w:t>
                  </w:r>
                </w:p>
              </w:tc>
              <w:tc>
                <w:tcPr>
                  <w:tcW w:w="875"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道路降尘用水</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1L/m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•次</w:t>
                  </w:r>
                </w:p>
              </w:tc>
              <w:tc>
                <w:tcPr>
                  <w:tcW w:w="81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16</w:t>
                  </w:r>
                </w:p>
              </w:tc>
              <w:tc>
                <w:tcPr>
                  <w:tcW w:w="607" w:type="pc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4</w:t>
                  </w:r>
                </w:p>
              </w:tc>
              <w:tc>
                <w:tcPr>
                  <w:tcW w:w="875"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废渣、</w:t>
                  </w:r>
                  <w:r>
                    <w:rPr>
                      <w:rFonts w:hint="default" w:ascii="Times New Roman" w:hAnsi="Times New Roman" w:eastAsia="仿宋" w:cs="Times New Roman"/>
                      <w:bCs/>
                      <w:color w:val="auto"/>
                      <w:sz w:val="21"/>
                      <w:szCs w:val="21"/>
                      <w:highlight w:val="none"/>
                      <w:lang w:eastAsia="zh-CN"/>
                    </w:rPr>
                    <w:t>废石堆场</w:t>
                  </w:r>
                  <w:r>
                    <w:rPr>
                      <w:rFonts w:hint="default" w:ascii="Times New Roman" w:hAnsi="Times New Roman" w:eastAsia="仿宋" w:cs="Times New Roman"/>
                      <w:bCs/>
                      <w:color w:val="auto"/>
                      <w:sz w:val="21"/>
                      <w:szCs w:val="21"/>
                      <w:highlight w:val="none"/>
                    </w:rPr>
                    <w:t>降尘用水</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1L/m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·次</w:t>
                  </w:r>
                </w:p>
              </w:tc>
              <w:tc>
                <w:tcPr>
                  <w:tcW w:w="81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20</w:t>
                  </w:r>
                </w:p>
              </w:tc>
              <w:tc>
                <w:tcPr>
                  <w:tcW w:w="607" w:type="pct"/>
                  <w:vAlign w:val="center"/>
                </w:tcPr>
                <w:p>
                  <w:pPr>
                    <w:pStyle w:val="44"/>
                    <w:spacing w:line="240" w:lineRule="auto"/>
                    <w:ind w:firstLine="0" w:firstLineChars="0"/>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5</w:t>
                  </w:r>
                </w:p>
              </w:tc>
              <w:tc>
                <w:tcPr>
                  <w:tcW w:w="875"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洗砂用水</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0.5m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砂石料</w:t>
                  </w:r>
                </w:p>
              </w:tc>
              <w:tc>
                <w:tcPr>
                  <w:tcW w:w="81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120.37</w:t>
                  </w:r>
                </w:p>
              </w:tc>
              <w:tc>
                <w:tcPr>
                  <w:tcW w:w="607"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1233.8</w:t>
                  </w:r>
                </w:p>
              </w:tc>
              <w:tc>
                <w:tcPr>
                  <w:tcW w:w="73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6</w:t>
                  </w:r>
                </w:p>
              </w:tc>
              <w:tc>
                <w:tcPr>
                  <w:tcW w:w="875"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车辆冲洗用水</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0.04m³/辆·次</w:t>
                  </w:r>
                </w:p>
              </w:tc>
              <w:tc>
                <w:tcPr>
                  <w:tcW w:w="81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14.44</w:t>
                  </w:r>
                </w:p>
              </w:tc>
              <w:tc>
                <w:tcPr>
                  <w:tcW w:w="607"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0.9</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13</w:t>
                  </w:r>
                </w:p>
              </w:tc>
              <w:tc>
                <w:tcPr>
                  <w:tcW w:w="73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42"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7</w:t>
                  </w:r>
                </w:p>
              </w:tc>
              <w:tc>
                <w:tcPr>
                  <w:tcW w:w="875" w:type="pct"/>
                  <w:vAlign w:val="center"/>
                </w:tcPr>
                <w:p>
                  <w:pPr>
                    <w:pStyle w:val="44"/>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合计</w:t>
                  </w:r>
                </w:p>
              </w:tc>
              <w:tc>
                <w:tcPr>
                  <w:tcW w:w="88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816"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180.51</w:t>
                  </w:r>
                </w:p>
              </w:tc>
              <w:tc>
                <w:tcPr>
                  <w:tcW w:w="607"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1246.8</w:t>
                  </w:r>
                </w:p>
              </w:tc>
              <w:tc>
                <w:tcPr>
                  <w:tcW w:w="735" w:type="pct"/>
                  <w:vAlign w:val="center"/>
                </w:tcPr>
                <w:p>
                  <w:pPr>
                    <w:pStyle w:val="44"/>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1.98</w:t>
                  </w:r>
                </w:p>
              </w:tc>
            </w:tr>
          </w:tbl>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1480185</wp:posOffset>
                      </wp:positionH>
                      <wp:positionV relativeFrom="paragraph">
                        <wp:posOffset>1367790</wp:posOffset>
                      </wp:positionV>
                      <wp:extent cx="655955" cy="378460"/>
                      <wp:effectExtent l="0" t="0" r="0" b="0"/>
                      <wp:wrapNone/>
                      <wp:docPr id="86" name="文本框 25"/>
                      <wp:cNvGraphicFramePr/>
                      <a:graphic xmlns:a="http://schemas.openxmlformats.org/drawingml/2006/main">
                        <a:graphicData uri="http://schemas.microsoft.com/office/word/2010/wordprocessingShape">
                          <wps:wsp>
                            <wps:cNvSpPr/>
                            <wps:spPr>
                              <a:xfrm>
                                <a:off x="0" y="0"/>
                                <a:ext cx="655955" cy="37855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120.37</w:t>
                                  </w:r>
                                </w:p>
                              </w:txbxContent>
                            </wps:txbx>
                            <wps:bodyPr upright="1"/>
                          </wps:wsp>
                        </a:graphicData>
                      </a:graphic>
                    </wp:anchor>
                  </w:drawing>
                </mc:Choice>
                <mc:Fallback>
                  <w:pict>
                    <v:rect id="文本框 25" o:spid="_x0000_s1026" o:spt="1" style="position:absolute;left:0pt;margin-left:116.55pt;margin-top:107.7pt;height:29.8pt;width:51.65pt;z-index:251663360;mso-width-relative:page;mso-height-relative:page;" filled="f" stroked="f" coordsize="21600,21600" o:gfxdata="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xcdFB2wAAAAsB&#10;AAAPAAAAAAAAAAEAIAAAACIAAABkcnMvZG93bnJldi54bWxQSwECFAAUAAAACACHTuJA7wOCyaYB&#10;AABFAwAADgAAAAAAAAABACAAAAAqAQAAZHJzL2Uyb0RvYy54bWxQSwUGAAAAAAYABgBZAQAAQgUA&#10;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120.37</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1650365</wp:posOffset>
                      </wp:positionH>
                      <wp:positionV relativeFrom="paragraph">
                        <wp:posOffset>2000885</wp:posOffset>
                      </wp:positionV>
                      <wp:extent cx="511810" cy="378460"/>
                      <wp:effectExtent l="0" t="0" r="0" b="0"/>
                      <wp:wrapNone/>
                      <wp:docPr id="88" name="文本框 25"/>
                      <wp:cNvGraphicFramePr/>
                      <a:graphic xmlns:a="http://schemas.openxmlformats.org/drawingml/2006/main">
                        <a:graphicData uri="http://schemas.microsoft.com/office/word/2010/wordprocessingShape">
                          <wps:wsp>
                            <wps:cNvSpPr/>
                            <wps:spPr>
                              <a:xfrm>
                                <a:off x="0" y="0"/>
                                <a:ext cx="511810" cy="37855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14.44</w:t>
                                  </w:r>
                                </w:p>
                              </w:txbxContent>
                            </wps:txbx>
                            <wps:bodyPr upright="1"/>
                          </wps:wsp>
                        </a:graphicData>
                      </a:graphic>
                    </wp:anchor>
                  </w:drawing>
                </mc:Choice>
                <mc:Fallback>
                  <w:pict>
                    <v:rect id="文本框 25" o:spid="_x0000_s1026" o:spt="1" style="position:absolute;left:0pt;margin-left:129.95pt;margin-top:157.55pt;height:29.8pt;width:40.3pt;z-index:251664384;mso-width-relative:page;mso-height-relative:page;" filled="f" stroked="f" coordsize="21600,21600" o:gfxdata="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CWP33QAA&#10;AAsBAAAPAAAAAAAAAAEAIAAAACIAAABkcnMvZG93bnJldi54bWxQSwECFAAUAAAACACHTuJAIjVC&#10;o6cBAABFAwAADgAAAAAAAAABACAAAAAs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14.44</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4733925</wp:posOffset>
                      </wp:positionH>
                      <wp:positionV relativeFrom="paragraph">
                        <wp:posOffset>1731010</wp:posOffset>
                      </wp:positionV>
                      <wp:extent cx="663575" cy="270510"/>
                      <wp:effectExtent l="6350" t="6350" r="15875" b="8890"/>
                      <wp:wrapNone/>
                      <wp:docPr id="106" name="文本框 2"/>
                      <wp:cNvGraphicFramePr/>
                      <a:graphic xmlns:a="http://schemas.openxmlformats.org/drawingml/2006/main">
                        <a:graphicData uri="http://schemas.microsoft.com/office/word/2010/wordprocessingShape">
                          <wps:wsp>
                            <wps:cNvSpPr/>
                            <wps:spPr>
                              <a:xfrm>
                                <a:off x="0" y="0"/>
                                <a:ext cx="663575"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lang w:val="en-US"/>
                                    </w:rPr>
                                  </w:pPr>
                                  <w:r>
                                    <w:rPr>
                                      <w:rFonts w:hint="eastAsia"/>
                                      <w:lang w:val="en-US" w:eastAsia="zh-CN"/>
                                    </w:rPr>
                                    <w:t>沉淀池</w:t>
                                  </w:r>
                                </w:p>
                              </w:txbxContent>
                            </wps:txbx>
                            <wps:bodyPr upright="1"/>
                          </wps:wsp>
                        </a:graphicData>
                      </a:graphic>
                    </wp:anchor>
                  </w:drawing>
                </mc:Choice>
                <mc:Fallback>
                  <w:pict>
                    <v:rect id="文本框 2" o:spid="_x0000_s1026" o:spt="1" style="position:absolute;left:0pt;margin-left:372.75pt;margin-top:136.3pt;height:21.3pt;width:52.25pt;z-index:251676672;mso-width-relative:page;mso-height-relative:page;" fillcolor="#FFFFFF" filled="t" stroked="t" coordsize="21600,21600" o:gfxdata="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FLUO62QAAAAsBAAAP&#10;AAAAAAAAAAEAIAAAACIAAABkcnMvZG93bnJldi54bWxQSwECFAAUAAAACACHTuJAZU/hrFACAAAE&#10;BQAADgAAAAAAAAABACAAAAAoAQAAZHJzL2Uyb0RvYy54bWxQSwUGAAAAAAYABgBZAQAA6gU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lang w:val="en-US"/>
                              </w:rPr>
                            </w:pPr>
                            <w:r>
                              <w:rPr>
                                <w:rFonts w:hint="eastAsia"/>
                                <w:lang w:val="en-US" w:eastAsia="zh-CN"/>
                              </w:rPr>
                              <w:t>沉淀池</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3312160</wp:posOffset>
                      </wp:positionH>
                      <wp:positionV relativeFrom="paragraph">
                        <wp:posOffset>2263775</wp:posOffset>
                      </wp:positionV>
                      <wp:extent cx="770890" cy="378460"/>
                      <wp:effectExtent l="0" t="0" r="0" b="0"/>
                      <wp:wrapNone/>
                      <wp:docPr id="119" name="文本框 25"/>
                      <wp:cNvGraphicFramePr/>
                      <a:graphic xmlns:a="http://schemas.openxmlformats.org/drawingml/2006/main">
                        <a:graphicData uri="http://schemas.microsoft.com/office/word/2010/wordprocessingShape">
                          <wps:wsp>
                            <wps:cNvSpPr/>
                            <wps:spPr>
                              <a:xfrm>
                                <a:off x="0" y="0"/>
                                <a:ext cx="770890"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1246.8</w:t>
                                  </w:r>
                                </w:p>
                              </w:txbxContent>
                            </wps:txbx>
                            <wps:bodyPr upright="1"/>
                          </wps:wsp>
                        </a:graphicData>
                      </a:graphic>
                    </wp:anchor>
                  </w:drawing>
                </mc:Choice>
                <mc:Fallback>
                  <w:pict>
                    <v:rect id="文本框 25" o:spid="_x0000_s1026" o:spt="1" style="position:absolute;left:0pt;margin-left:260.8pt;margin-top:178.25pt;height:29.8pt;width:60.7pt;z-index:251686912;mso-width-relative:page;mso-height-relative:page;" filled="f" stroked="f" coordsize="21600,21600" o:gfxdata="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HJ/d3AAA&#10;AAsBAAAPAAAAAAAAAAEAIAAAACIAAABkcnMvZG93bnJldi54bWxQSwECFAAUAAAACACHTuJA3nFL&#10;A6gBAABGAwAADgAAAAAAAAABACAAAAAr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1246.8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4159885</wp:posOffset>
                      </wp:positionH>
                      <wp:positionV relativeFrom="paragraph">
                        <wp:posOffset>225425</wp:posOffset>
                      </wp:positionV>
                      <wp:extent cx="646430" cy="279400"/>
                      <wp:effectExtent l="0" t="0" r="0" b="0"/>
                      <wp:wrapNone/>
                      <wp:docPr id="20" name="文本框 21"/>
                      <wp:cNvGraphicFramePr/>
                      <a:graphic xmlns:a="http://schemas.openxmlformats.org/drawingml/2006/main">
                        <a:graphicData uri="http://schemas.microsoft.com/office/word/2010/wordprocessingShape">
                          <wps:wsp>
                            <wps:cNvSpPr/>
                            <wps:spPr>
                              <a:xfrm>
                                <a:off x="0" y="0"/>
                                <a:ext cx="646761" cy="279696"/>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1.98</w:t>
                                  </w:r>
                                </w:p>
                              </w:txbxContent>
                            </wps:txbx>
                            <wps:bodyPr upright="1"/>
                          </wps:wsp>
                        </a:graphicData>
                      </a:graphic>
                    </wp:anchor>
                  </w:drawing>
                </mc:Choice>
                <mc:Fallback>
                  <w:pict>
                    <v:rect id="文本框 21" o:spid="_x0000_s1026" o:spt="1" style="position:absolute;left:0pt;margin-left:327.55pt;margin-top:17.75pt;height:22pt;width:50.9pt;z-index:251691008;mso-width-relative:page;mso-height-relative:page;" filled="f" stroked="f" coordsize="21600,21600" o:gfxdata="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f87JdoAAAAJAQAA&#10;DwAAAAAAAAABACAAAAAiAAAAZHJzL2Rvd25yZXYueG1sUEsBAhQAFAAAAAgAh07iQP44MdGlAQAA&#10;RQMAAA4AAAAAAAAAAQAgAAAAKQEAAGRycy9lMm9Eb2MueG1sUEsFBgAAAAAGAAYAWQEAAEAFAAAA&#10;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1.98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4308475</wp:posOffset>
                      </wp:positionH>
                      <wp:positionV relativeFrom="paragraph">
                        <wp:posOffset>531495</wp:posOffset>
                      </wp:positionV>
                      <wp:extent cx="288290" cy="635"/>
                      <wp:effectExtent l="0" t="37465" r="16510" b="38100"/>
                      <wp:wrapNone/>
                      <wp:docPr id="124"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339.25pt;margin-top:41.85pt;height:0.05pt;width:22.7pt;z-index:251688960;mso-width-relative:page;mso-height-relative:page;" filled="f" stroked="t" coordsize="21600,21600" o:gfxdata="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TJxL2AAAAAkBAAAPAAAAAAAAAAEAIAAAACIAAABkcnMvZG93bnJldi54bWxQSwEC&#10;FAAUAAAACACHTuJAZrziI/QBAADgAwAADgAAAAAAAAABACAAAAAnAQAAZHJzL2Uyb0RvYy54bWxQ&#10;SwUGAAAAAAYABgBZAQAAjQU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3639185</wp:posOffset>
                      </wp:positionH>
                      <wp:positionV relativeFrom="paragraph">
                        <wp:posOffset>393065</wp:posOffset>
                      </wp:positionV>
                      <wp:extent cx="663575" cy="270510"/>
                      <wp:effectExtent l="6350" t="6350" r="15875" b="8890"/>
                      <wp:wrapNone/>
                      <wp:docPr id="121" name="文本框 2"/>
                      <wp:cNvGraphicFramePr/>
                      <a:graphic xmlns:a="http://schemas.openxmlformats.org/drawingml/2006/main">
                        <a:graphicData uri="http://schemas.microsoft.com/office/word/2010/wordprocessingShape">
                          <wps:wsp>
                            <wps:cNvSpPr/>
                            <wps:spPr>
                              <a:xfrm>
                                <a:off x="0" y="0"/>
                                <a:ext cx="663575"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lang w:val="en-US"/>
                                    </w:rPr>
                                  </w:pPr>
                                  <w:r>
                                    <w:rPr>
                                      <w:rFonts w:hint="eastAsia"/>
                                      <w:lang w:val="en-US" w:eastAsia="zh-CN"/>
                                    </w:rPr>
                                    <w:t>防渗化粪池池</w:t>
                                  </w:r>
                                </w:p>
                              </w:txbxContent>
                            </wps:txbx>
                            <wps:bodyPr upright="1"/>
                          </wps:wsp>
                        </a:graphicData>
                      </a:graphic>
                    </wp:anchor>
                  </w:drawing>
                </mc:Choice>
                <mc:Fallback>
                  <w:pict>
                    <v:rect id="文本框 2" o:spid="_x0000_s1026" o:spt="1" style="position:absolute;left:0pt;margin-left:286.55pt;margin-top:30.95pt;height:21.3pt;width:52.25pt;z-index:251687936;mso-width-relative:page;mso-height-relative:page;" fillcolor="#FFFFFF" filled="t" stroked="t" coordsize="21600,21600" o:gfxdata="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i2dN2AAAAAoBAAAP&#10;AAAAAAAAAAEAIAAAACIAAABkcnMvZG93bnJldi54bWxQSwECFAAUAAAACACHTuJAgA2Q7lECAAAE&#10;BQAADgAAAAAAAAABACAAAAAnAQAAZHJzL2Uyb0RvYy54bWxQSwUGAAAAAAYABgBZAQAA6gU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lang w:val="en-US"/>
                              </w:rPr>
                            </w:pPr>
                            <w:r>
                              <w:rPr>
                                <w:rFonts w:hint="eastAsia"/>
                                <w:lang w:val="en-US" w:eastAsia="zh-CN"/>
                              </w:rPr>
                              <w:t>防渗化粪池池</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4658360</wp:posOffset>
                      </wp:positionH>
                      <wp:positionV relativeFrom="paragraph">
                        <wp:posOffset>325755</wp:posOffset>
                      </wp:positionV>
                      <wp:extent cx="1133475" cy="387350"/>
                      <wp:effectExtent l="6350" t="6350" r="22225" b="6350"/>
                      <wp:wrapNone/>
                      <wp:docPr id="125" name="文本框 2"/>
                      <wp:cNvGraphicFramePr/>
                      <a:graphic xmlns:a="http://schemas.openxmlformats.org/drawingml/2006/main">
                        <a:graphicData uri="http://schemas.microsoft.com/office/word/2010/wordprocessingShape">
                          <wps:wsp>
                            <wps:cNvSpPr/>
                            <wps:spPr>
                              <a:xfrm>
                                <a:off x="0" y="0"/>
                                <a:ext cx="1133475" cy="38735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sz w:val="18"/>
                                      <w:szCs w:val="18"/>
                                      <w:lang w:val="en-US"/>
                                    </w:rPr>
                                  </w:pPr>
                                  <w:r>
                                    <w:rPr>
                                      <w:rFonts w:hint="eastAsia"/>
                                      <w:color w:val="auto"/>
                                      <w:sz w:val="18"/>
                                      <w:szCs w:val="18"/>
                                      <w:lang w:val="en-US" w:eastAsia="zh-CN"/>
                                    </w:rPr>
                                    <w:t>吸污泵车拉运至鄯善县污水处理厂</w:t>
                                  </w:r>
                                </w:p>
                              </w:txbxContent>
                            </wps:txbx>
                            <wps:bodyPr upright="1"/>
                          </wps:wsp>
                        </a:graphicData>
                      </a:graphic>
                    </wp:anchor>
                  </w:drawing>
                </mc:Choice>
                <mc:Fallback>
                  <w:pict>
                    <v:rect id="文本框 2" o:spid="_x0000_s1026" o:spt="1" style="position:absolute;left:0pt;margin-left:366.8pt;margin-top:25.65pt;height:30.5pt;width:89.25pt;z-index:251689984;mso-width-relative:page;mso-height-relative:page;" fillcolor="#FFFFFF" filled="t" stroked="t" coordsize="21600,21600" o:gfxdata="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v6yIdgAAAAKAQAA&#10;DwAAAAAAAAABACAAAAAiAAAAZHJzL2Rvd25yZXYueG1sUEsBAhQAFAAAAAgAh07iQNdzO8hSAgAA&#10;BQUAAA4AAAAAAAAAAQAgAAAAJwEAAGRycy9lMm9Eb2MueG1sUEsFBgAAAAAGAAYAWQEAAOsFAAAA&#10;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sz w:val="18"/>
                                <w:szCs w:val="18"/>
                                <w:lang w:val="en-US"/>
                              </w:rPr>
                            </w:pPr>
                            <w:r>
                              <w:rPr>
                                <w:rFonts w:hint="eastAsia"/>
                                <w:color w:val="auto"/>
                                <w:sz w:val="18"/>
                                <w:szCs w:val="18"/>
                                <w:lang w:val="en-US" w:eastAsia="zh-CN"/>
                              </w:rPr>
                              <w:t>吸污泵车拉运至鄯善县污水处理厂</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1262380</wp:posOffset>
                      </wp:positionH>
                      <wp:positionV relativeFrom="paragraph">
                        <wp:posOffset>1389380</wp:posOffset>
                      </wp:positionV>
                      <wp:extent cx="288290" cy="635"/>
                      <wp:effectExtent l="0" t="37465" r="16510" b="38100"/>
                      <wp:wrapNone/>
                      <wp:docPr id="109"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99.4pt;margin-top:109.4pt;height:0.05pt;width:22.7pt;z-index:251677696;mso-width-relative:page;mso-height-relative:page;" filled="f" stroked="t" coordsize="21600,21600" o:gfxdata="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FReU1wAAAAsBAAAPAAAAAAAAAAEAIAAAACIAAABkcnMvZG93bnJldi54bWxQSwEC&#10;FAAUAAAACACHTuJAgXJYOPUBAADgAwAADgAAAAAAAAABACAAAAAmAQAAZHJzL2Uyb0RvYy54bWxQ&#10;SwUGAAAAAAYABgBZAQAAjQU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4155440</wp:posOffset>
                      </wp:positionH>
                      <wp:positionV relativeFrom="paragraph">
                        <wp:posOffset>1671955</wp:posOffset>
                      </wp:positionV>
                      <wp:extent cx="694690" cy="378460"/>
                      <wp:effectExtent l="0" t="0" r="0" b="0"/>
                      <wp:wrapNone/>
                      <wp:docPr id="118" name="文本框 25"/>
                      <wp:cNvGraphicFramePr/>
                      <a:graphic xmlns:a="http://schemas.openxmlformats.org/drawingml/2006/main">
                        <a:graphicData uri="http://schemas.microsoft.com/office/word/2010/wordprocessingShape">
                          <wps:wsp>
                            <wps:cNvSpPr/>
                            <wps:spPr>
                              <a:xfrm>
                                <a:off x="0" y="0"/>
                                <a:ext cx="694690"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1246.8</w:t>
                                  </w:r>
                                </w:p>
                              </w:txbxContent>
                            </wps:txbx>
                            <wps:bodyPr upright="1"/>
                          </wps:wsp>
                        </a:graphicData>
                      </a:graphic>
                    </wp:anchor>
                  </w:drawing>
                </mc:Choice>
                <mc:Fallback>
                  <w:pict>
                    <v:rect id="文本框 25" o:spid="_x0000_s1026" o:spt="1" style="position:absolute;left:0pt;margin-left:327.2pt;margin-top:131.65pt;height:29.8pt;width:54.7pt;z-index:251685888;mso-width-relative:page;mso-height-relative:page;" filled="f" stroked="f" coordsize="21600,21600" o:gfxdata="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zhkvz3AAA&#10;AAsBAAAPAAAAAAAAAAEAIAAAACIAAABkcnMvZG93bnJldi54bWxQSwECFAAUAAAACACHTuJAQSi8&#10;TagBAABGAwAADgAAAAAAAAABACAAAAAr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1246.8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3719195</wp:posOffset>
                      </wp:positionH>
                      <wp:positionV relativeFrom="paragraph">
                        <wp:posOffset>1992630</wp:posOffset>
                      </wp:positionV>
                      <wp:extent cx="608965" cy="378460"/>
                      <wp:effectExtent l="0" t="0" r="0" b="0"/>
                      <wp:wrapNone/>
                      <wp:docPr id="117"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13</w:t>
                                  </w:r>
                                </w:p>
                              </w:txbxContent>
                            </wps:txbx>
                            <wps:bodyPr upright="1"/>
                          </wps:wsp>
                        </a:graphicData>
                      </a:graphic>
                    </wp:anchor>
                  </w:drawing>
                </mc:Choice>
                <mc:Fallback>
                  <w:pict>
                    <v:rect id="文本框 25" o:spid="_x0000_s1026" o:spt="1" style="position:absolute;left:0pt;margin-left:292.85pt;margin-top:156.9pt;height:29.8pt;width:47.95pt;z-index:251684864;mso-width-relative:page;mso-height-relative:page;" filled="f" stroked="f" coordsize="21600,21600" o:gfxdata="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mZQY3AAA&#10;AAsBAAAPAAAAAAAAAAEAIAAAACIAAABkcnMvZG93bnJldi54bWxQSwECFAAUAAAACACHTuJAw0jX&#10;y6gBAABGAwAADgAAAAAAAAABACAAAAAr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13</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3665855</wp:posOffset>
                      </wp:positionH>
                      <wp:positionV relativeFrom="paragraph">
                        <wp:posOffset>1324610</wp:posOffset>
                      </wp:positionV>
                      <wp:extent cx="608965" cy="378460"/>
                      <wp:effectExtent l="0" t="0" r="0" b="0"/>
                      <wp:wrapNone/>
                      <wp:docPr id="116"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1233.8</w:t>
                                  </w:r>
                                </w:p>
                              </w:txbxContent>
                            </wps:txbx>
                            <wps:bodyPr upright="1"/>
                          </wps:wsp>
                        </a:graphicData>
                      </a:graphic>
                    </wp:anchor>
                  </w:drawing>
                </mc:Choice>
                <mc:Fallback>
                  <w:pict>
                    <v:rect id="文本框 25" o:spid="_x0000_s1026" o:spt="1" style="position:absolute;left:0pt;margin-left:288.65pt;margin-top:104.3pt;height:29.8pt;width:47.95pt;z-index:251683840;mso-width-relative:page;mso-height-relative:page;" filled="f" stroked="f" coordsize="21600,21600" o:gfxdata="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w3KnHbAAAA&#10;CwEAAA8AAAAAAAAAAQAgAAAAIgAAAGRycy9kb3ducmV2LnhtbFBLAQIUABQAAAAIAIdO4kC2Tu2W&#10;qAEAAEYDAAAOAAAAAAAAAAEAIAAAACo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1233.8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1026795</wp:posOffset>
                      </wp:positionH>
                      <wp:positionV relativeFrom="paragraph">
                        <wp:posOffset>2303145</wp:posOffset>
                      </wp:positionV>
                      <wp:extent cx="1143635" cy="635"/>
                      <wp:effectExtent l="0" t="37465" r="18415" b="38100"/>
                      <wp:wrapNone/>
                      <wp:docPr id="115" name="直接连接符 7"/>
                      <wp:cNvGraphicFramePr/>
                      <a:graphic xmlns:a="http://schemas.openxmlformats.org/drawingml/2006/main">
                        <a:graphicData uri="http://schemas.microsoft.com/office/word/2010/wordprocessingShape">
                          <wps:wsp>
                            <wps:cNvCnPr/>
                            <wps:spPr>
                              <a:xfrm>
                                <a:off x="0" y="0"/>
                                <a:ext cx="1143635" cy="63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7" o:spid="_x0000_s1026" o:spt="20" style="position:absolute;left:0pt;margin-left:80.85pt;margin-top:181.35pt;height:0.05pt;width:90.05pt;z-index:251682816;mso-width-relative:page;mso-height-relative:page;" filled="f" stroked="t" coordsize="21600,21600" o:gfxdata="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Sbr02gAAAAsBAAAPAAAAAAAAAAEAIAAAACIAAABkcnMvZG93bnJldi54bWxQ&#10;SwECFAAUAAAACACHTuJArICDTfUBAADgAwAADgAAAAAAAAABACAAAAApAQAAZHJzL2Uyb0RvYy54&#10;bWxQSwUGAAAAAAYABgBZAQAAkAU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1034415</wp:posOffset>
                      </wp:positionH>
                      <wp:positionV relativeFrom="paragraph">
                        <wp:posOffset>1678940</wp:posOffset>
                      </wp:positionV>
                      <wp:extent cx="1143635" cy="635"/>
                      <wp:effectExtent l="0" t="37465" r="18415" b="38100"/>
                      <wp:wrapNone/>
                      <wp:docPr id="114" name="直接连接符 7"/>
                      <wp:cNvGraphicFramePr/>
                      <a:graphic xmlns:a="http://schemas.openxmlformats.org/drawingml/2006/main">
                        <a:graphicData uri="http://schemas.microsoft.com/office/word/2010/wordprocessingShape">
                          <wps:wsp>
                            <wps:cNvCnPr/>
                            <wps:spPr>
                              <a:xfrm>
                                <a:off x="0" y="0"/>
                                <a:ext cx="1143635" cy="63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7" o:spid="_x0000_s1026" o:spt="20" style="position:absolute;left:0pt;margin-left:81.45pt;margin-top:132.2pt;height:0.05pt;width:90.05pt;z-index:251681792;mso-width-relative:page;mso-height-relative:page;" filled="f" stroked="t" coordsize="21600,21600" o:gfxdata="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RS7d2wAAAAsBAAAPAAAAAAAAAAEAIAAAACIAAABkcnMvZG93bnJldi54bWxQ&#10;SwECFAAUAAAACACHTuJAEKLGQ/QBAADgAwAADgAAAAAAAAABACAAAAAqAQAAZHJzL2Uyb0RvYy54&#10;bWxQSwUGAAAAAAYABgBZAQAAkAU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80768" behindDoc="0" locked="0" layoutInCell="1" allowOverlap="1">
                      <wp:simplePos x="0" y="0"/>
                      <wp:positionH relativeFrom="column">
                        <wp:posOffset>1029970</wp:posOffset>
                      </wp:positionH>
                      <wp:positionV relativeFrom="paragraph">
                        <wp:posOffset>1664970</wp:posOffset>
                      </wp:positionV>
                      <wp:extent cx="1270" cy="846455"/>
                      <wp:effectExtent l="4445" t="0" r="13335" b="10795"/>
                      <wp:wrapNone/>
                      <wp:docPr id="113" name="直接连接符 113"/>
                      <wp:cNvGraphicFramePr/>
                      <a:graphic xmlns:a="http://schemas.openxmlformats.org/drawingml/2006/main">
                        <a:graphicData uri="http://schemas.microsoft.com/office/word/2010/wordprocessingShape">
                          <wps:wsp>
                            <wps:cNvCnPr/>
                            <wps:spPr>
                              <a:xfrm>
                                <a:off x="0" y="0"/>
                                <a:ext cx="1270" cy="846455"/>
                              </a:xfrm>
                              <a:prstGeom prst="line">
                                <a:avLst/>
                              </a:prstGeom>
                              <a:ln>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1.1pt;margin-top:131.1pt;height:66.65pt;width:0.1pt;z-index:251680768;mso-width-relative:page;mso-height-relative:page;" filled="f" stroked="t" coordsize="21600,21600" o:gfxdata="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R3i4vYAAAACwEAAA8AAAAA&#10;AAAAAQAgAAAAIgAAAGRycy9kb3ducmV2LnhtbFBLAQIUABQAAAAIAIdO4kACXkLPFAIAACwEAAAO&#10;AAAAAAAAAAEAIAAAACcBAABkcnMvZTJvRG9jLnhtbFBLBQYAAAAABgAGAFkBAACtBQAAAAA=&#10;">
                      <v:fill on="f" focussize="0,0"/>
                      <v:stroke color="#000000 [3200]" joinstyle="round" dashstyle="dash"/>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8720" behindDoc="0" locked="0" layoutInCell="1" allowOverlap="1">
                      <wp:simplePos x="0" y="0"/>
                      <wp:positionH relativeFrom="column">
                        <wp:posOffset>5066030</wp:posOffset>
                      </wp:positionH>
                      <wp:positionV relativeFrom="paragraph">
                        <wp:posOffset>2001520</wp:posOffset>
                      </wp:positionV>
                      <wp:extent cx="12700" cy="501650"/>
                      <wp:effectExtent l="4445" t="0" r="20955" b="12700"/>
                      <wp:wrapNone/>
                      <wp:docPr id="111" name="直接连接符 111"/>
                      <wp:cNvGraphicFramePr/>
                      <a:graphic xmlns:a="http://schemas.openxmlformats.org/drawingml/2006/main">
                        <a:graphicData uri="http://schemas.microsoft.com/office/word/2010/wordprocessingShape">
                          <wps:wsp>
                            <wps:cNvCnPr>
                              <a:stCxn id="106" idx="2"/>
                            </wps:cNvCnPr>
                            <wps:spPr>
                              <a:xfrm>
                                <a:off x="6059805" y="8648700"/>
                                <a:ext cx="12700" cy="501650"/>
                              </a:xfrm>
                              <a:prstGeom prst="line">
                                <a:avLst/>
                              </a:prstGeom>
                              <a:ln>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8.9pt;margin-top:157.6pt;height:39.5pt;width:1pt;z-index:251678720;mso-width-relative:page;mso-height-relative:page;" filled="f" stroked="t" coordsize="21600,21600" o:gfxdata="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JKA32QAAAAsBAAAPAAAAAAAAAAEAIAAAACIAAABkcnMvZG93bnJldi54&#10;bWxQSwECFAAUAAAACACHTuJAJFz7vzICAABhBAAADgAAAAAAAAABACAAAAAoAQAAZHJzL2Uyb0Rv&#10;Yy54bWxQSwUGAAAAAAYABgBZAQAAzAUAAAAA&#10;">
                      <v:fill on="f" focussize="0,0"/>
                      <v:stroke color="#000000 [3200]" joinstyle="round" dashstyle="dash"/>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4276725</wp:posOffset>
                      </wp:positionH>
                      <wp:positionV relativeFrom="paragraph">
                        <wp:posOffset>1885950</wp:posOffset>
                      </wp:positionV>
                      <wp:extent cx="288290" cy="635"/>
                      <wp:effectExtent l="0" t="37465" r="16510" b="38100"/>
                      <wp:wrapNone/>
                      <wp:docPr id="105"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336.75pt;margin-top:148.5pt;height:0.05pt;width:22.7pt;z-index:251675648;mso-width-relative:page;mso-height-relative:page;" filled="f" stroked="t" coordsize="21600,21600" o:gfxdata="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NCZlrZAAAACwEAAA8AAAAAAAAAAQAgAAAAIgAAAGRycy9kb3ducmV2LnhtbFBL&#10;AQIUABQAAAAIAIdO4kCR7WVz9QEAAOADAAAOAAAAAAAAAAEAIAAAACgBAABkcnMvZTJvRG9jLnht&#10;bFBLBQYAAAAABgAGAFkBAACPBQ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4624" behindDoc="0" locked="0" layoutInCell="1" allowOverlap="1">
                      <wp:simplePos x="0" y="0"/>
                      <wp:positionH relativeFrom="column">
                        <wp:posOffset>4269740</wp:posOffset>
                      </wp:positionH>
                      <wp:positionV relativeFrom="paragraph">
                        <wp:posOffset>1548765</wp:posOffset>
                      </wp:positionV>
                      <wp:extent cx="635" cy="659130"/>
                      <wp:effectExtent l="6350" t="0" r="12065" b="7620"/>
                      <wp:wrapNone/>
                      <wp:docPr id="104" name="直接连接符 104"/>
                      <wp:cNvGraphicFramePr/>
                      <a:graphic xmlns:a="http://schemas.openxmlformats.org/drawingml/2006/main">
                        <a:graphicData uri="http://schemas.microsoft.com/office/word/2010/wordprocessingShape">
                          <wps:wsp>
                            <wps:cNvCnPr/>
                            <wps:spPr>
                              <a:xfrm flipH="1">
                                <a:off x="5440045" y="8188960"/>
                                <a:ext cx="635" cy="65913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336.2pt;margin-top:121.95pt;height:51.9pt;width:0.05pt;z-index:251674624;mso-width-relative:page;mso-height-relative:page;" filled="f" stroked="t" coordsize="21600,21600" o:gfxdata="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RLA02wAAAAsBAAAPAAAAAAAAAAEAIAAAACIA&#10;AABkcnMvZG93bnJldi54bWxQSwECFAAUAAAACACHTuJAsPE9FwYCAAD0AwAADgAAAAAAAAABACAA&#10;AAAqAQAAZHJzL2Uyb0RvYy54bWxQSwUGAAAAAAYABgBZAQAAogUAAAAA&#10;">
                      <v:fill on="f" focussize="0,0"/>
                      <v:stroke weight="1pt" color="#000000" joinstyle="round"/>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3210560</wp:posOffset>
                      </wp:positionH>
                      <wp:positionV relativeFrom="paragraph">
                        <wp:posOffset>2216785</wp:posOffset>
                      </wp:positionV>
                      <wp:extent cx="1068705" cy="635"/>
                      <wp:effectExtent l="0" t="0" r="0" b="0"/>
                      <wp:wrapNone/>
                      <wp:docPr id="103" name="直接连接符 103"/>
                      <wp:cNvGraphicFramePr/>
                      <a:graphic xmlns:a="http://schemas.openxmlformats.org/drawingml/2006/main">
                        <a:graphicData uri="http://schemas.microsoft.com/office/word/2010/wordprocessingShape">
                          <wps:wsp>
                            <wps:cNvCnPr/>
                            <wps:spPr>
                              <a:xfrm flipV="1">
                                <a:off x="0" y="0"/>
                                <a:ext cx="106870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52.8pt;margin-top:174.55pt;height:0.05pt;width:84.15pt;z-index:251673600;mso-width-relative:page;mso-height-relative:page;" filled="f" stroked="t" coordsize="21600,21600" o:gfxdata="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PX7/aAAAACwEAAA8AAAAAAAAAAQAgAAAAIgAAAGRycy9kb3ducmV2Lnht&#10;bFBLAQIUABQAAAAIAIdO4kByGEv09wEAAOkDAAAOAAAAAAAAAAEAIAAAACkBAABkcnMvZTJvRG9j&#10;LnhtbFBLBQYAAAAABgAGAFkBAACSBQAAAAA=&#10;">
                      <v:fill on="f" focussize="0,0"/>
                      <v:stroke weight="1pt" color="#000000" joinstyle="round"/>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2915285</wp:posOffset>
                      </wp:positionH>
                      <wp:positionV relativeFrom="paragraph">
                        <wp:posOffset>1548765</wp:posOffset>
                      </wp:positionV>
                      <wp:extent cx="1354455" cy="635"/>
                      <wp:effectExtent l="0" t="0" r="0" b="0"/>
                      <wp:wrapNone/>
                      <wp:docPr id="102" name="直接连接符 102"/>
                      <wp:cNvGraphicFramePr/>
                      <a:graphic xmlns:a="http://schemas.openxmlformats.org/drawingml/2006/main">
                        <a:graphicData uri="http://schemas.microsoft.com/office/word/2010/wordprocessingShape">
                          <wps:wsp>
                            <wps:cNvCnPr/>
                            <wps:spPr>
                              <a:xfrm flipV="1">
                                <a:off x="4085590" y="8233410"/>
                                <a:ext cx="135445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9.55pt;margin-top:121.95pt;height:0.05pt;width:106.65pt;z-index:251672576;mso-width-relative:page;mso-height-relative:page;" filled="f" stroked="t" coordsize="21600,21600" o:gfxdata="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CMnZNsAAAALAQAADwAAAAAAAAABACAAAAAiAAAA&#10;ZHJzL2Rvd25yZXYueG1sUEsBAhQAFAAAAAgAh07iQP/+/6kEAgAA9QMAAA4AAAAAAAAAAQAgAAAA&#10;KgEAAGRycy9lMm9Eb2MueG1sUEsFBgAAAAAGAAYAWQEAAKAFAAAAAA==&#10;">
                      <v:fill on="f" focussize="0,0"/>
                      <v:stroke weight="1pt" color="#000000" joinstyle="round"/>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3704590</wp:posOffset>
                      </wp:positionH>
                      <wp:positionV relativeFrom="paragraph">
                        <wp:posOffset>1541780</wp:posOffset>
                      </wp:positionV>
                      <wp:extent cx="548005" cy="315595"/>
                      <wp:effectExtent l="0" t="0" r="0" b="0"/>
                      <wp:wrapNone/>
                      <wp:docPr id="97" name="文本框 20"/>
                      <wp:cNvGraphicFramePr/>
                      <a:graphic xmlns:a="http://schemas.openxmlformats.org/drawingml/2006/main">
                        <a:graphicData uri="http://schemas.microsoft.com/office/word/2010/wordprocessingShape">
                          <wps:wsp>
                            <wps:cNvSpPr/>
                            <wps:spPr>
                              <a:xfrm>
                                <a:off x="0" y="0"/>
                                <a:ext cx="548005" cy="315595"/>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产品</w:t>
                                  </w:r>
                                </w:p>
                              </w:txbxContent>
                            </wps:txbx>
                            <wps:bodyPr upright="1"/>
                          </wps:wsp>
                        </a:graphicData>
                      </a:graphic>
                    </wp:anchor>
                  </w:drawing>
                </mc:Choice>
                <mc:Fallback>
                  <w:pict>
                    <v:rect id="文本框 20" o:spid="_x0000_s1026" o:spt="1" style="position:absolute;left:0pt;margin-left:291.7pt;margin-top:121.4pt;height:24.85pt;width:43.15pt;z-index:251668480;mso-width-relative:page;mso-height-relative:page;" filled="f" stroked="f" coordsize="21600,21600" o:gfxdata="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z7htHcAAAA&#10;CwEAAA8AAAAAAAAAAQAgAAAAIgAAAGRycy9kb3ducmV2LnhtbFBLAQIUABQAAAAIAIdO4kDTytnY&#10;pwEAAEU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产品</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2928620</wp:posOffset>
                      </wp:positionH>
                      <wp:positionV relativeFrom="paragraph">
                        <wp:posOffset>1680845</wp:posOffset>
                      </wp:positionV>
                      <wp:extent cx="895985" cy="5715"/>
                      <wp:effectExtent l="0" t="37465" r="18415" b="33020"/>
                      <wp:wrapNone/>
                      <wp:docPr id="96" name="直接连接符 7"/>
                      <wp:cNvGraphicFramePr/>
                      <a:graphic xmlns:a="http://schemas.openxmlformats.org/drawingml/2006/main">
                        <a:graphicData uri="http://schemas.microsoft.com/office/word/2010/wordprocessingShape">
                          <wps:wsp>
                            <wps:cNvCnPr/>
                            <wps:spPr>
                              <a:xfrm flipV="1">
                                <a:off x="0" y="0"/>
                                <a:ext cx="895985" cy="571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flip:y;margin-left:230.6pt;margin-top:132.35pt;height:0.45pt;width:70.55pt;z-index:251667456;mso-width-relative:page;mso-height-relative:page;" filled="f" stroked="t" coordsize="21600,21600" o:gfxdata="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s+fw2gAAAAsBAAAPAAAAAAAAAAEAIAAAACIAAABkcnMvZG93&#10;bnJldi54bWxQSwECFAAUAAAACACHTuJA2G6Rrv4BAADqAwAADgAAAAAAAAABACAAAAApAQAAZHJz&#10;L2Uyb0RvYy54bWxQSwUGAAAAAAYABgBZAQAAmQU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1557020</wp:posOffset>
                      </wp:positionH>
                      <wp:positionV relativeFrom="paragraph">
                        <wp:posOffset>2231390</wp:posOffset>
                      </wp:positionV>
                      <wp:extent cx="597535" cy="7620"/>
                      <wp:effectExtent l="0" t="31750" r="12065" b="36830"/>
                      <wp:wrapNone/>
                      <wp:docPr id="80" name="直接连接符 7"/>
                      <wp:cNvGraphicFramePr/>
                      <a:graphic xmlns:a="http://schemas.openxmlformats.org/drawingml/2006/main">
                        <a:graphicData uri="http://schemas.microsoft.com/office/word/2010/wordprocessingShape">
                          <wps:wsp>
                            <wps:cNvCnPr/>
                            <wps:spPr>
                              <a:xfrm>
                                <a:off x="0" y="0"/>
                                <a:ext cx="597535" cy="762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122.6pt;margin-top:175.7pt;height:0.6pt;width:47.05pt;z-index:251661312;mso-width-relative:page;mso-height-relative:page;" filled="f" stroked="t" coordsize="21600,21600" o:gfxdata="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fbonZAAAACwEAAA8AAAAAAAAAAQAgAAAAIgAAAGRycy9kb3ducmV2Lnht&#10;bFBLAQIUABQAAAAIAIdO4kBMVnqJ+AEAAOADAAAOAAAAAAAAAAEAIAAAACgBAABkcnMvZTJvRG9j&#10;LnhtbFBLBQYAAAAABgAGAFkBAACSBQ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2724150</wp:posOffset>
                      </wp:positionH>
                      <wp:positionV relativeFrom="paragraph">
                        <wp:posOffset>1728470</wp:posOffset>
                      </wp:positionV>
                      <wp:extent cx="975360" cy="315595"/>
                      <wp:effectExtent l="0" t="0" r="0" b="0"/>
                      <wp:wrapNone/>
                      <wp:docPr id="100" name="文本框 20"/>
                      <wp:cNvGraphicFramePr/>
                      <a:graphic xmlns:a="http://schemas.openxmlformats.org/drawingml/2006/main">
                        <a:graphicData uri="http://schemas.microsoft.com/office/word/2010/wordprocessingShape">
                          <wps:wsp>
                            <wps:cNvSpPr/>
                            <wps:spPr>
                              <a:xfrm>
                                <a:off x="0" y="0"/>
                                <a:ext cx="975360" cy="315595"/>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1.44</w:t>
                                  </w:r>
                                </w:p>
                              </w:txbxContent>
                            </wps:txbx>
                            <wps:bodyPr upright="1"/>
                          </wps:wsp>
                        </a:graphicData>
                      </a:graphic>
                    </wp:anchor>
                  </w:drawing>
                </mc:Choice>
                <mc:Fallback>
                  <w:pict>
                    <v:rect id="文本框 20" o:spid="_x0000_s1026" o:spt="1" style="position:absolute;left:0pt;margin-left:214.5pt;margin-top:136.1pt;height:24.85pt;width:76.8pt;z-index:251671552;mso-width-relative:page;mso-height-relative:page;" filled="f" stroked="f" coordsize="21600,21600" o:gfxdata="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hRuWPcAAAA&#10;CwEAAA8AAAAAAAAAAQAgAAAAIgAAAGRycy9kb3ducmV2LnhtbFBLAQIUABQAAAAIAIdO4kDYJwHt&#10;pwEAAEY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1.44</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2584450</wp:posOffset>
                      </wp:positionH>
                      <wp:positionV relativeFrom="paragraph">
                        <wp:posOffset>1892300</wp:posOffset>
                      </wp:positionV>
                      <wp:extent cx="266700" cy="172085"/>
                      <wp:effectExtent l="3175" t="0" r="15875" b="18415"/>
                      <wp:wrapNone/>
                      <wp:docPr id="99" name="直接连接符 15"/>
                      <wp:cNvGraphicFramePr/>
                      <a:graphic xmlns:a="http://schemas.openxmlformats.org/drawingml/2006/main">
                        <a:graphicData uri="http://schemas.microsoft.com/office/word/2010/wordprocessingShape">
                          <wps:wsp>
                            <wps:cNvCnPr/>
                            <wps:spPr>
                              <a:xfrm flipV="1">
                                <a:off x="0" y="0"/>
                                <a:ext cx="266700" cy="17208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15" o:spid="_x0000_s1026" o:spt="20" style="position:absolute;left:0pt;flip:y;margin-left:203.5pt;margin-top:149pt;height:13.55pt;width:21pt;z-index:251670528;mso-width-relative:page;mso-height-relative:page;" filled="f" stroked="t" coordsize="21600,21600" o:gfxdata="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0NGLaAAAACwEAAA8AAAAAAAAAAQAgAAAAIgAAAGRycy9k&#10;b3ducmV2LnhtbFBLAQIUABQAAAAIAIdO4kClB1XJAAIAAOwDAAAOAAAAAAAAAAEAIAAAACkBAABk&#10;cnMvZTJvRG9jLnhtbFBLBQYAAAAABgAGAFkBAACbBQ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2154555</wp:posOffset>
                      </wp:positionH>
                      <wp:positionV relativeFrom="paragraph">
                        <wp:posOffset>2084705</wp:posOffset>
                      </wp:positionV>
                      <wp:extent cx="1045210" cy="270510"/>
                      <wp:effectExtent l="6350" t="6350" r="15240" b="8890"/>
                      <wp:wrapNone/>
                      <wp:docPr id="98" name="文本框 2"/>
                      <wp:cNvGraphicFramePr/>
                      <a:graphic xmlns:a="http://schemas.openxmlformats.org/drawingml/2006/main">
                        <a:graphicData uri="http://schemas.microsoft.com/office/word/2010/wordprocessingShape">
                          <wps:wsp>
                            <wps:cNvSpPr/>
                            <wps:spPr>
                              <a:xfrm>
                                <a:off x="0" y="0"/>
                                <a:ext cx="1045210"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lang w:val="en-US" w:eastAsia="zh-CN"/>
                                    </w:rPr>
                                    <w:t>车辆冲洗</w:t>
                                  </w:r>
                                  <w:r>
                                    <w:t>用水</w:t>
                                  </w:r>
                                </w:p>
                              </w:txbxContent>
                            </wps:txbx>
                            <wps:bodyPr upright="1"/>
                          </wps:wsp>
                        </a:graphicData>
                      </a:graphic>
                    </wp:anchor>
                  </w:drawing>
                </mc:Choice>
                <mc:Fallback>
                  <w:pict>
                    <v:rect id="文本框 2" o:spid="_x0000_s1026" o:spt="1" style="position:absolute;left:0pt;margin-left:169.65pt;margin-top:164.15pt;height:21.3pt;width:82.3pt;z-index:251669504;mso-width-relative:page;mso-height-relative:page;" fillcolor="#FFFFFF" filled="t" stroked="t" coordsize="21600,21600" o:gfxdata="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ubEsrYAAAACwEAAA8AAAAA&#10;AAAAAQAgAAAAIgAAAGRycy9kb3ducmV2LnhtbFBLAQIUABQAAAAIAIdO4kBBOmzaTQIAAAQFAAAO&#10;AAAAAAAAAAEAIAAAACcBAABkcnMvZTJvRG9jLnhtbFBLBQYAAAAABgAGAFkBAADmBQ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rPr>
                                <w:rFonts w:hint="eastAsia"/>
                                <w:lang w:val="en-US" w:eastAsia="zh-CN"/>
                              </w:rPr>
                              <w:t>车辆冲洗</w:t>
                            </w:r>
                            <w:r>
                              <w:t>用水</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2598420</wp:posOffset>
                      </wp:positionH>
                      <wp:positionV relativeFrom="paragraph">
                        <wp:posOffset>1166495</wp:posOffset>
                      </wp:positionV>
                      <wp:extent cx="975360" cy="315595"/>
                      <wp:effectExtent l="0" t="0" r="0" b="0"/>
                      <wp:wrapNone/>
                      <wp:docPr id="92" name="文本框 20"/>
                      <wp:cNvGraphicFramePr/>
                      <a:graphic xmlns:a="http://schemas.openxmlformats.org/drawingml/2006/main">
                        <a:graphicData uri="http://schemas.microsoft.com/office/word/2010/wordprocessingShape">
                          <wps:wsp>
                            <wps:cNvSpPr/>
                            <wps:spPr>
                              <a:xfrm>
                                <a:off x="0" y="0"/>
                                <a:ext cx="975583" cy="315758"/>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120.37</w:t>
                                  </w:r>
                                </w:p>
                              </w:txbxContent>
                            </wps:txbx>
                            <wps:bodyPr upright="1"/>
                          </wps:wsp>
                        </a:graphicData>
                      </a:graphic>
                    </wp:anchor>
                  </w:drawing>
                </mc:Choice>
                <mc:Fallback>
                  <w:pict>
                    <v:rect id="文本框 20" o:spid="_x0000_s1026" o:spt="1" style="position:absolute;left:0pt;margin-left:204.6pt;margin-top:91.85pt;height:24.85pt;width:76.8pt;z-index:251666432;mso-width-relative:page;mso-height-relative:page;" filled="f" stroked="f" coordsize="21600,21600" o:gfxdata="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j+0ncAAAA&#10;CwEAAA8AAAAAAAAAAQAgAAAAIgAAAGRycy9kb3ducmV2LnhtbFBLAQIUABQAAAAIAIdO4kCkzaeZ&#10;pwEAAEU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120.37</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2458720</wp:posOffset>
                      </wp:positionH>
                      <wp:positionV relativeFrom="paragraph">
                        <wp:posOffset>1294765</wp:posOffset>
                      </wp:positionV>
                      <wp:extent cx="266700" cy="172085"/>
                      <wp:effectExtent l="3175" t="0" r="15875" b="18415"/>
                      <wp:wrapNone/>
                      <wp:docPr id="89" name="直接连接符 15"/>
                      <wp:cNvGraphicFramePr/>
                      <a:graphic xmlns:a="http://schemas.openxmlformats.org/drawingml/2006/main">
                        <a:graphicData uri="http://schemas.microsoft.com/office/word/2010/wordprocessingShape">
                          <wps:wsp>
                            <wps:cNvCnPr/>
                            <wps:spPr>
                              <a:xfrm flipV="1">
                                <a:off x="0" y="0"/>
                                <a:ext cx="266700" cy="172349"/>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15" o:spid="_x0000_s1026" o:spt="20" style="position:absolute;left:0pt;flip:y;margin-left:193.6pt;margin-top:101.95pt;height:13.55pt;width:21pt;z-index:251665408;mso-width-relative:page;mso-height-relative:page;" filled="f" stroked="t" coordsize="21600,21600" o:gfxdata="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Qmrb2QAAAAsBAAAPAAAAAAAAAAEAIAAAACIAAABkcnMvZG93&#10;bnJldi54bWxQSwECFAAUAAAACACHTuJAgpN1hv8BAADsAwAADgAAAAAAAAABACAAAAAoAQAAZHJz&#10;L2Uyb0RvYy54bWxQSwUGAAAAAAYABgBZAQAAmQU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1589405</wp:posOffset>
                      </wp:positionH>
                      <wp:positionV relativeFrom="paragraph">
                        <wp:posOffset>1606550</wp:posOffset>
                      </wp:positionV>
                      <wp:extent cx="573405" cy="6985"/>
                      <wp:effectExtent l="0" t="37465" r="17145" b="31750"/>
                      <wp:wrapNone/>
                      <wp:docPr id="79" name="直接连接符 7"/>
                      <wp:cNvGraphicFramePr/>
                      <a:graphic xmlns:a="http://schemas.openxmlformats.org/drawingml/2006/main">
                        <a:graphicData uri="http://schemas.microsoft.com/office/word/2010/wordprocessingShape">
                          <wps:wsp>
                            <wps:cNvCnPr/>
                            <wps:spPr>
                              <a:xfrm flipV="1">
                                <a:off x="0" y="0"/>
                                <a:ext cx="573405" cy="69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flip:y;margin-left:125.15pt;margin-top:126.5pt;height:0.55pt;width:45.15pt;z-index:251660288;mso-width-relative:page;mso-height-relative:page;" filled="f" stroked="t" coordsize="21600,21600" o:gfxdata="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T6XldoAAAALAQAADwAAAAAAAAABACAAAAAiAAAAZHJzL2Rv&#10;d25yZXYueG1sUEsBAhQAFAAAAAgAh07iQI0rJM//AQAA6gMAAA4AAAAAAAAAAQAgAAAAKQEAAGRy&#10;cy9lMm9Eb2MueG1sUEsFBgAAAAAGAAYAWQEAAJoFA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2153285</wp:posOffset>
                      </wp:positionH>
                      <wp:positionV relativeFrom="paragraph">
                        <wp:posOffset>1461135</wp:posOffset>
                      </wp:positionV>
                      <wp:extent cx="762000" cy="270510"/>
                      <wp:effectExtent l="6350" t="6350" r="12700" b="8890"/>
                      <wp:wrapNone/>
                      <wp:docPr id="81" name="文本框 2"/>
                      <wp:cNvGraphicFramePr/>
                      <a:graphic xmlns:a="http://schemas.openxmlformats.org/drawingml/2006/main">
                        <a:graphicData uri="http://schemas.microsoft.com/office/word/2010/wordprocessingShape">
                          <wps:wsp>
                            <wps:cNvSpPr/>
                            <wps:spPr>
                              <a:xfrm>
                                <a:off x="0" y="0"/>
                                <a:ext cx="762000" cy="27079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lang w:val="en-US" w:eastAsia="zh-CN"/>
                                    </w:rPr>
                                    <w:t>洗砂</w:t>
                                  </w:r>
                                  <w:r>
                                    <w:t>用水</w:t>
                                  </w:r>
                                </w:p>
                              </w:txbxContent>
                            </wps:txbx>
                            <wps:bodyPr upright="1"/>
                          </wps:wsp>
                        </a:graphicData>
                      </a:graphic>
                    </wp:anchor>
                  </w:drawing>
                </mc:Choice>
                <mc:Fallback>
                  <w:pict>
                    <v:rect id="文本框 2" o:spid="_x0000_s1026" o:spt="1" style="position:absolute;left:0pt;margin-left:169.55pt;margin-top:115.05pt;height:21.3pt;width:60pt;z-index:251662336;mso-width-relative:page;mso-height-relative:page;" fillcolor="#FFFFFF" filled="t" stroked="t" coordsize="21600,21600" o:gfxdata="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r+19W2AAAAAsBAAAPAAAA&#10;AAAAAAEAIAAAACIAAABkcnMvZG93bnJldi54bWxQSwECFAAUAAAACACHTuJAz2/MgE4CAAADBQAA&#10;DgAAAAAAAAABACAAAAAnAQAAZHJzL2Uyb0RvYy54bWxQSwUGAAAAAAYABgBZAQAA5wU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rPr>
                                <w:rFonts w:hint="eastAsia"/>
                                <w:lang w:val="en-US" w:eastAsia="zh-CN"/>
                              </w:rPr>
                              <w:t>洗砂</w:t>
                            </w:r>
                            <w:r>
                              <w:t>用水</w:t>
                            </w:r>
                          </w:p>
                        </w:txbxContent>
                      </v:textbox>
                    </v:rect>
                  </w:pict>
                </mc:Fallback>
              </mc:AlternateContent>
            </w:r>
            <w:r>
              <w:rPr>
                <w:rFonts w:hint="default" w:ascii="Times New Roman" w:hAnsi="Times New Roman" w:eastAsia="仿宋" w:cs="Times New Roman"/>
                <w:snapToGrid w:val="0"/>
                <w:color w:val="auto"/>
                <w:sz w:val="24"/>
                <w:szCs w:val="22"/>
                <w:highlight w:val="none"/>
              </w:rPr>
              <mc:AlternateContent>
                <mc:Choice Requires="wpg">
                  <w:drawing>
                    <wp:inline distT="0" distB="0" distL="114300" distR="114300">
                      <wp:extent cx="4622165" cy="2234565"/>
                      <wp:effectExtent l="0" t="0" r="0" b="13970"/>
                      <wp:docPr id="7" name="组合 28"/>
                      <wp:cNvGraphicFramePr/>
                      <a:graphic xmlns:a="http://schemas.openxmlformats.org/drawingml/2006/main">
                        <a:graphicData uri="http://schemas.microsoft.com/office/word/2010/wordprocessingGroup">
                          <wpg:wgp>
                            <wpg:cNvGrpSpPr/>
                            <wpg:grpSpPr>
                              <a:xfrm>
                                <a:off x="0" y="0"/>
                                <a:ext cx="4622246" cy="2234367"/>
                                <a:chOff x="2467" y="9972"/>
                                <a:chExt cx="6775" cy="2972"/>
                              </a:xfrm>
                            </wpg:grpSpPr>
                            <wps:wsp>
                              <wps:cNvPr id="54" name="文本框 2"/>
                              <wps:cNvSpPr/>
                              <wps:spPr>
                                <a:xfrm>
                                  <a:off x="5041" y="10496"/>
                                  <a:ext cx="1200" cy="345"/>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t>生活用水</w:t>
                                    </w:r>
                                  </w:p>
                                </w:txbxContent>
                              </wps:txbx>
                              <wps:bodyPr upright="1"/>
                            </wps:wsp>
                            <wps:wsp>
                              <wps:cNvPr id="55" name="文本框 3"/>
                              <wps:cNvSpPr/>
                              <wps:spPr>
                                <a:xfrm>
                                  <a:off x="7347" y="10300"/>
                                  <a:ext cx="1895" cy="601"/>
                                </a:xfrm>
                                <a:prstGeom prst="rect">
                                  <a:avLst/>
                                </a:prstGeom>
                                <a:noFill/>
                                <a:ln w="12700" cap="flat" cmpd="sng">
                                  <a:no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p>
                                </w:txbxContent>
                              </wps:txbx>
                              <wps:bodyPr upright="1"/>
                            </wps:wsp>
                            <wps:wsp>
                              <wps:cNvPr id="56" name="文本框 4"/>
                              <wps:cNvSpPr/>
                              <wps:spPr>
                                <a:xfrm>
                                  <a:off x="5067" y="11091"/>
                                  <a:ext cx="3028" cy="438"/>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ind w:firstLine="0" w:firstLineChars="0"/>
                                      <w:jc w:val="center"/>
                                    </w:pPr>
                                    <w:r>
                                      <w:t>开采区、道路、</w:t>
                                    </w:r>
                                    <w:r>
                                      <w:rPr>
                                        <w:rFonts w:hint="eastAsia"/>
                                        <w:lang w:eastAsia="zh-CN"/>
                                      </w:rPr>
                                      <w:t>堆场</w:t>
                                    </w:r>
                                    <w:r>
                                      <w:t>洒水降尘</w:t>
                                    </w:r>
                                  </w:p>
                                </w:txbxContent>
                              </wps:txbx>
                              <wps:bodyPr upright="1"/>
                            </wps:wsp>
                            <wps:wsp>
                              <wps:cNvPr id="58" name="直接连接符 6"/>
                              <wps:cNvCnPr/>
                              <wps:spPr>
                                <a:xfrm>
                                  <a:off x="3819" y="10753"/>
                                  <a:ext cx="1208" cy="7"/>
                                </a:xfrm>
                                <a:prstGeom prst="line">
                                  <a:avLst/>
                                </a:prstGeom>
                                <a:ln w="12700" cap="flat" cmpd="sng">
                                  <a:solidFill>
                                    <a:srgbClr val="000000"/>
                                  </a:solidFill>
                                  <a:prstDash val="solid"/>
                                  <a:headEnd type="none" w="med" len="med"/>
                                  <a:tailEnd type="triangle" w="med" len="med"/>
                                </a:ln>
                              </wps:spPr>
                              <wps:bodyPr/>
                            </wps:wsp>
                            <wps:wsp>
                              <wps:cNvPr id="59" name="直接连接符 7"/>
                              <wps:cNvCnPr/>
                              <wps:spPr>
                                <a:xfrm flipV="1">
                                  <a:off x="3823" y="11345"/>
                                  <a:ext cx="1261" cy="13"/>
                                </a:xfrm>
                                <a:prstGeom prst="line">
                                  <a:avLst/>
                                </a:prstGeom>
                                <a:ln w="12700" cap="flat" cmpd="sng">
                                  <a:solidFill>
                                    <a:srgbClr val="000000"/>
                                  </a:solidFill>
                                  <a:prstDash val="solid"/>
                                  <a:headEnd type="none" w="med" len="med"/>
                                  <a:tailEnd type="triangle" w="med" len="med"/>
                                </a:ln>
                              </wps:spPr>
                              <wps:bodyPr/>
                            </wps:wsp>
                            <wps:wsp>
                              <wps:cNvPr id="65" name="直接连接符 13"/>
                              <wps:cNvCnPr/>
                              <wps:spPr>
                                <a:xfrm flipH="1">
                                  <a:off x="3790" y="10753"/>
                                  <a:ext cx="3" cy="2191"/>
                                </a:xfrm>
                                <a:prstGeom prst="line">
                                  <a:avLst/>
                                </a:prstGeom>
                                <a:ln w="12700" cap="flat" cmpd="sng">
                                  <a:solidFill>
                                    <a:srgbClr val="000000"/>
                                  </a:solidFill>
                                  <a:prstDash val="solid"/>
                                  <a:headEnd type="none" w="med" len="med"/>
                                  <a:tailEnd type="none" w="med" len="med"/>
                                </a:ln>
                              </wps:spPr>
                              <wps:bodyPr/>
                            </wps:wsp>
                            <wps:wsp>
                              <wps:cNvPr id="66" name="文本框 14"/>
                              <wps:cNvSpPr/>
                              <wps:spPr>
                                <a:xfrm>
                                  <a:off x="2467" y="11586"/>
                                  <a:ext cx="1132" cy="819"/>
                                </a:xfrm>
                                <a:prstGeom prst="rect">
                                  <a:avLst/>
                                </a:prstGeom>
                                <a:noFill/>
                                <a:ln>
                                  <a:noFill/>
                                </a:ln>
                              </wps:spPr>
                              <wps:txbx>
                                <w:txbxContent>
                                  <w:p>
                                    <w:pPr>
                                      <w:spacing w:line="240" w:lineRule="auto"/>
                                      <w:ind w:firstLine="0" w:firstLineChars="0"/>
                                      <w:jc w:val="center"/>
                                      <w:rPr>
                                        <w:rFonts w:hint="default" w:eastAsia="宋体"/>
                                        <w:lang w:val="en-US" w:eastAsia="zh-CN"/>
                                      </w:rPr>
                                    </w:pPr>
                                    <w:r>
                                      <w:t>新鲜水</w:t>
                                    </w:r>
                                    <w:r>
                                      <w:rPr>
                                        <w:rFonts w:hint="eastAsia"/>
                                        <w:lang w:val="en-US" w:eastAsia="zh-CN"/>
                                      </w:rPr>
                                      <w:t>180.51</w:t>
                                    </w:r>
                                  </w:p>
                                </w:txbxContent>
                              </wps:txbx>
                              <wps:bodyPr upright="1"/>
                            </wps:wsp>
                            <wps:wsp>
                              <wps:cNvPr id="67" name="直接连接符 15"/>
                              <wps:cNvCnPr/>
                              <wps:spPr>
                                <a:xfrm flipV="1">
                                  <a:off x="5521" y="10167"/>
                                  <a:ext cx="420" cy="280"/>
                                </a:xfrm>
                                <a:prstGeom prst="line">
                                  <a:avLst/>
                                </a:prstGeom>
                                <a:ln w="12700" cap="flat" cmpd="sng">
                                  <a:solidFill>
                                    <a:srgbClr val="000000"/>
                                  </a:solidFill>
                                  <a:prstDash val="dash"/>
                                  <a:headEnd type="none" w="med" len="med"/>
                                  <a:tailEnd type="triangle" w="med" len="med"/>
                                </a:ln>
                              </wps:spPr>
                              <wps:bodyPr/>
                            </wps:wsp>
                            <wps:wsp>
                              <wps:cNvPr id="68" name="直接连接符 16"/>
                              <wps:cNvCnPr/>
                              <wps:spPr>
                                <a:xfrm flipV="1">
                                  <a:off x="6268" y="10683"/>
                                  <a:ext cx="566" cy="10"/>
                                </a:xfrm>
                                <a:prstGeom prst="line">
                                  <a:avLst/>
                                </a:prstGeom>
                                <a:ln w="12700" cap="flat" cmpd="sng">
                                  <a:solidFill>
                                    <a:schemeClr val="tx1"/>
                                  </a:solidFill>
                                  <a:prstDash val="solid"/>
                                  <a:headEnd type="none" w="med" len="med"/>
                                  <a:tailEnd type="triangle" w="med" len="med"/>
                                </a:ln>
                              </wps:spPr>
                              <wps:bodyPr/>
                            </wps:wsp>
                            <wps:wsp>
                              <wps:cNvPr id="70" name="文本框 19"/>
                              <wps:cNvSpPr/>
                              <wps:spPr>
                                <a:xfrm>
                                  <a:off x="3993" y="10286"/>
                                  <a:ext cx="737" cy="41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2.48</w:t>
                                    </w:r>
                                  </w:p>
                                </w:txbxContent>
                              </wps:txbx>
                              <wps:bodyPr upright="1"/>
                            </wps:wsp>
                            <wps:wsp>
                              <wps:cNvPr id="71" name="文本框 20"/>
                              <wps:cNvSpPr/>
                              <wps:spPr>
                                <a:xfrm>
                                  <a:off x="5723" y="9972"/>
                                  <a:ext cx="1430" cy="420"/>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0.5</w:t>
                                    </w:r>
                                  </w:p>
                                </w:txbxContent>
                              </wps:txbx>
                              <wps:bodyPr upright="1"/>
                            </wps:wsp>
                            <wps:wsp>
                              <wps:cNvPr id="72" name="文本框 21"/>
                              <wps:cNvSpPr/>
                              <wps:spPr>
                                <a:xfrm>
                                  <a:off x="6082" y="10437"/>
                                  <a:ext cx="948" cy="37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1.98</w:t>
                                    </w:r>
                                  </w:p>
                                </w:txbxContent>
                              </wps:txbx>
                              <wps:bodyPr upright="1"/>
                            </wps:wsp>
                            <wps:wsp>
                              <wps:cNvPr id="76" name="文本框 25"/>
                              <wps:cNvSpPr/>
                              <wps:spPr>
                                <a:xfrm>
                                  <a:off x="3928" y="10904"/>
                                  <a:ext cx="806" cy="615"/>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43.22</w:t>
                                    </w:r>
                                  </w:p>
                                </w:txbxContent>
                              </wps:txbx>
                              <wps:bodyPr upright="1"/>
                            </wps:wsp>
                          </wpg:wgp>
                        </a:graphicData>
                      </a:graphic>
                    </wp:inline>
                  </w:drawing>
                </mc:Choice>
                <mc:Fallback>
                  <w:pict>
                    <v:group id="组合 28" o:spid="_x0000_s1026" o:spt="203" style="height:175.95pt;width:363.95pt;" coordorigin="2467,9972" coordsize="6775,2972" o:gfxdata="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JsN58PXAAAABQEAAA8AAAAAAAAAAQAgAAAAIgAAAGRycy9kb3ducmV2LnhtbFBLAQIUABQA&#10;AAAIAIdO4kDFDRUvDwUAAKIcAAAOAAAAAAAAAAEAIAAAACYBAABkcnMvZTJvRG9jLnhtbFBLBQYA&#10;AAAABgAGAFkBAACnCAAAAAA=&#10;">
                      <o:lock v:ext="edit" aspectratio="f"/>
                      <v:rect id="文本框 2" o:spid="_x0000_s1026" o:spt="1" style="position:absolute;left:5041;top:10496;height:345;width:1200;" fillcolor="#FFFFFF" filled="t" stroked="t" coordsize="21600,21600" o:gfxdata="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1wavQAA&#10;ANsAAAAPAAAAAAAAAAEAIAAAACIAAABkcnMvZG93bnJldi54bWxQSwECFAAUAAAACACHTuJAMy8F&#10;njsAAAA5AAAAEAAAAAAAAAABACAAAAAMAQAAZHJzL3NoYXBleG1sLnhtbFBLBQYAAAAABgAGAFsB&#10;AAC2Aw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t>生活用水</w:t>
                              </w:r>
                            </w:p>
                          </w:txbxContent>
                        </v:textbox>
                      </v:rect>
                      <v:rect id="文本框 3" o:spid="_x0000_s1026" o:spt="1" style="position:absolute;left:7347;top:10300;height:601;width:1895;" filled="f" stroked="f" coordsize="21600,21600" o:gfxdata="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jrkvQAA&#10;ANsAAAAPAAAAAAAAAAEAIAAAACIAAABkcnMvZG93bnJldi54bWxQSwECFAAUAAAACACHTuJAMy8F&#10;njsAAAA5AAAAEAAAAAAAAAABACAAAAAMAQAAZHJzL3NoYXBleG1sLnhtbFBLBQYAAAAABgAGAFsB&#10;AAC2AwAAAAA=&#10;">
                        <v:fill on="f" focussize="0,0"/>
                        <v:stroke on="f" weight="1pt" joinstyle="miter"/>
                        <v:imagedata o:title=""/>
                        <o:lock v:ext="edit" aspectratio="f"/>
                        <v:textbox>
                          <w:txbxContent>
                            <w:p>
                              <w:pPr>
                                <w:spacing w:line="240" w:lineRule="auto"/>
                                <w:ind w:firstLine="0" w:firstLineChars="0"/>
                                <w:jc w:val="center"/>
                                <w:rPr>
                                  <w:rFonts w:hint="default" w:eastAsia="宋体"/>
                                  <w:lang w:val="en-US" w:eastAsia="zh-CN"/>
                                </w:rPr>
                              </w:pPr>
                            </w:p>
                          </w:txbxContent>
                        </v:textbox>
                      </v:rect>
                      <v:rect id="文本框 4" o:spid="_x0000_s1026" o:spt="1" style="position:absolute;left:5067;top:11091;height:438;width:3028;" fillcolor="#FFFFFF" filled="t" stroked="t" coordsize="21600,21600" o:gfxdata="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xZ/a8AAAA&#10;2wAAAA8AAAAAAAAAAQAgAAAAIgAAAGRycy9kb3ducmV2LnhtbFBLAQIUABQAAAAIAIdO4kAzLwWe&#10;OwAAADkAAAAQAAAAAAAAAAEAIAAAAAsBAABkcnMvc2hhcGV4bWwueG1sUEsFBgAAAAAGAAYAWwEA&#10;ALUDAAAAAA==&#10;">
                        <v:fill type="gradient" on="t" color2="#FFFFFF" angle="90" focus="100%" focussize="0,0"/>
                        <v:stroke weight="1pt" color="#000000" joinstyle="miter"/>
                        <v:imagedata o:title=""/>
                        <o:lock v:ext="edit" aspectratio="f"/>
                        <v:textbox>
                          <w:txbxContent>
                            <w:p>
                              <w:pPr>
                                <w:ind w:firstLine="0" w:firstLineChars="0"/>
                                <w:jc w:val="center"/>
                              </w:pPr>
                              <w:r>
                                <w:t>开采区、道路、</w:t>
                              </w:r>
                              <w:r>
                                <w:rPr>
                                  <w:rFonts w:hint="eastAsia"/>
                                  <w:lang w:eastAsia="zh-CN"/>
                                </w:rPr>
                                <w:t>堆场</w:t>
                              </w:r>
                              <w:r>
                                <w:t>洒水降尘</w:t>
                              </w:r>
                            </w:p>
                          </w:txbxContent>
                        </v:textbox>
                      </v:rect>
                      <v:line id="直接连接符 6" o:spid="_x0000_s1026" o:spt="20" style="position:absolute;left:3819;top:10753;height:7;width:1208;" filled="f" stroked="t" coordsize="21600,21600" o:gfxdata="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3g1f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接连接符 7" o:spid="_x0000_s1026" o:spt="20" style="position:absolute;left:3823;top:11345;flip:y;height:13;width:1261;" filled="f" stroked="t" coordsize="21600,21600" o:gfxdata="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cjM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接连接符 13" o:spid="_x0000_s1026" o:spt="20" style="position:absolute;left:3790;top:10753;flip:x;height:2191;width:3;" filled="f" stroked="t" coordsize="21600,21600" o:gfxdata="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uPX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文本框 14" o:spid="_x0000_s1026" o:spt="1" style="position:absolute;left:2467;top:11586;height:819;width:1132;" filled="f" stroked="f" coordsize="21600,21600" o:gfxdata="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zqg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新鲜水</w:t>
                              </w:r>
                              <w:r>
                                <w:rPr>
                                  <w:rFonts w:hint="eastAsia"/>
                                  <w:lang w:val="en-US" w:eastAsia="zh-CN"/>
                                </w:rPr>
                                <w:t>180.51</w:t>
                              </w:r>
                            </w:p>
                          </w:txbxContent>
                        </v:textbox>
                      </v:rect>
                      <v:line id="直接连接符 15" o:spid="_x0000_s1026" o:spt="20" style="position:absolute;left:5521;top:10167;flip:y;height:280;width:420;" filled="f" stroked="t" coordsize="21600,21600" o:gfxdata="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eaWvQAA&#10;ANsAAAAPAAAAAAAAAAEAIAAAACIAAABkcnMvZG93bnJldi54bWxQSwECFAAUAAAACACHTuJAMy8F&#10;njsAAAA5AAAAEAAAAAAAAAABACAAAAAMAQAAZHJzL3NoYXBleG1sLnhtbFBLBQYAAAAABgAGAFsB&#10;AAC2AwAAAAA=&#10;">
                        <v:fill on="f" focussize="0,0"/>
                        <v:stroke weight="1pt" color="#000000" joinstyle="round" dashstyle="dash" endarrow="block"/>
                        <v:imagedata o:title=""/>
                        <o:lock v:ext="edit" aspectratio="f"/>
                      </v:line>
                      <v:line id="直接连接符 16" o:spid="_x0000_s1026" o:spt="20" style="position:absolute;left:6268;top:10683;flip:y;height:10;width:566;" filled="f" stroked="t" coordsize="21600,21600" o:gfxdata="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eBp+q2AAAA2wAAAA8A&#10;AAAAAAAAAQAgAAAAIgAAAGRycy9kb3ducmV2LnhtbFBLAQIUABQAAAAIAIdO4kAzLwWeOwAAADkA&#10;AAAQAAAAAAAAAAEAIAAAAAUBAABkcnMvc2hhcGV4bWwueG1sUEsFBgAAAAAGAAYAWwEAAK8DAAAA&#10;AA==&#10;">
                        <v:fill on="f" focussize="0,0"/>
                        <v:stroke weight="1pt" color="#000000 [3213]" joinstyle="round" endarrow="block"/>
                        <v:imagedata o:title=""/>
                        <o:lock v:ext="edit" aspectratio="f"/>
                      </v:line>
                      <v:rect id="文本框 19" o:spid="_x0000_s1026" o:spt="1" style="position:absolute;left:3993;top:10286;height:410;width:737;" filled="f" stroked="f" coordsize="21600,21600" o:gfxdata="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BBs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2.48</w:t>
                              </w:r>
                            </w:p>
                          </w:txbxContent>
                        </v:textbox>
                      </v:rect>
                      <v:rect id="文本框 20" o:spid="_x0000_s1026" o:spt="1" style="position:absolute;left:5723;top:9972;height:420;width:1430;" filled="f" stroked="f" coordsize="21600,21600" o:gfxdata="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OQ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0.5</w:t>
                              </w:r>
                            </w:p>
                          </w:txbxContent>
                        </v:textbox>
                      </v:rect>
                      <v:rect id="文本框 21" o:spid="_x0000_s1026" o:spt="1" style="position:absolute;left:6082;top:10437;height:372;width:948;" filled="f" stroked="f" coordsize="21600,21600" o:gfxdata="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fnp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1.98</w:t>
                              </w:r>
                            </w:p>
                          </w:txbxContent>
                        </v:textbox>
                      </v:rect>
                      <v:rect id="文本框 25" o:spid="_x0000_s1026" o:spt="1" style="position:absolute;left:3928;top:10904;height:615;width:806;" filled="f" stroked="f" coordsize="21600,21600" o:gfxdata="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V8X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43.22</w:t>
                              </w:r>
                            </w:p>
                          </w:txbxContent>
                        </v:textbox>
                      </v:rect>
                      <w10:wrap type="none"/>
                      <w10:anchorlock/>
                    </v:group>
                  </w:pict>
                </mc:Fallback>
              </mc:AlternateContent>
            </w:r>
          </w:p>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1021080</wp:posOffset>
                      </wp:positionH>
                      <wp:positionV relativeFrom="paragraph">
                        <wp:posOffset>153670</wp:posOffset>
                      </wp:positionV>
                      <wp:extent cx="4046855" cy="12065"/>
                      <wp:effectExtent l="0" t="0" r="0" b="0"/>
                      <wp:wrapNone/>
                      <wp:docPr id="112" name="直接连接符 112"/>
                      <wp:cNvGraphicFramePr/>
                      <a:graphic xmlns:a="http://schemas.openxmlformats.org/drawingml/2006/main">
                        <a:graphicData uri="http://schemas.microsoft.com/office/word/2010/wordprocessingShape">
                          <wps:wsp>
                            <wps:cNvCnPr/>
                            <wps:spPr>
                              <a:xfrm flipH="1">
                                <a:off x="2191385" y="9132570"/>
                                <a:ext cx="4046855" cy="12065"/>
                              </a:xfrm>
                              <a:prstGeom prst="line">
                                <a:avLst/>
                              </a:prstGeom>
                              <a:ln w="12700" cap="flat" cmpd="sng">
                                <a:solidFill>
                                  <a:srgbClr val="000000"/>
                                </a:solidFill>
                                <a:prstDash val="dash"/>
                                <a:headEnd type="none" w="med" len="med"/>
                                <a:tailEnd type="none" w="med" len="med"/>
                              </a:ln>
                            </wps:spPr>
                            <wps:bodyPr/>
                          </wps:wsp>
                        </a:graphicData>
                      </a:graphic>
                    </wp:anchor>
                  </w:drawing>
                </mc:Choice>
                <mc:Fallback>
                  <w:pict>
                    <v:line id="_x0000_s1026" o:spid="_x0000_s1026" o:spt="20" style="position:absolute;left:0pt;flip:x;margin-left:80.4pt;margin-top:12.1pt;height:0.95pt;width:318.65pt;z-index:251679744;mso-width-relative:page;mso-height-relative:page;" filled="f" stroked="t" coordsize="21600,21600" o:gfxdata="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0hnfLWAAAACQEAAA8AAAAAAAAAAQAgAAAAIgAAAGRycy9k&#10;b3ducmV2LnhtbFBLAQIUABQAAAAIAIdO4kAhWe+GBAIAAPYDAAAOAAAAAAAAAAEAIAAAACUBAABk&#10;cnMvZTJvRG9jLnhtbFBLBQYAAAAABgAGAFkBAACbBQAAAAA=&#10;">
                      <v:fill on="f" focussize="0,0"/>
                      <v:stroke weight="1pt" color="#000000" joinstyle="round" dashstyle="dash"/>
                      <v:imagedata o:title=""/>
                      <o:lock v:ext="edit" aspectratio="f"/>
                    </v:line>
                  </w:pict>
                </mc:Fallback>
              </mc:AlternateContent>
            </w:r>
          </w:p>
          <w:p>
            <w:pPr>
              <w:ind w:right="105" w:rightChars="50" w:firstLine="0" w:firstLineChars="0"/>
              <w:jc w:val="center"/>
              <w:rPr>
                <w:rFonts w:hint="default" w:ascii="Times New Roman" w:hAnsi="Times New Roman" w:eastAsia="仿宋" w:cs="Times New Roman"/>
                <w:b/>
                <w:color w:val="auto"/>
                <w:sz w:val="24"/>
                <w:szCs w:val="24"/>
                <w:highlight w:val="yellow"/>
              </w:rPr>
            </w:pPr>
            <w:r>
              <w:rPr>
                <w:rFonts w:hint="default" w:ascii="Times New Roman" w:hAnsi="Times New Roman" w:eastAsia="仿宋" w:cs="Times New Roman"/>
                <w:b/>
                <w:color w:val="auto"/>
                <w:sz w:val="24"/>
                <w:szCs w:val="24"/>
                <w:highlight w:val="none"/>
              </w:rPr>
              <w:t>图2-</w:t>
            </w:r>
            <w:r>
              <w:rPr>
                <w:rFonts w:hint="eastAsia" w:eastAsia="仿宋" w:cs="Times New Roman"/>
                <w:b/>
                <w:color w:val="auto"/>
                <w:sz w:val="24"/>
                <w:szCs w:val="24"/>
                <w:highlight w:val="none"/>
                <w:lang w:val="en-US" w:eastAsia="zh-CN"/>
              </w:rPr>
              <w:t>4</w:t>
            </w:r>
            <w:r>
              <w:rPr>
                <w:rFonts w:hint="default" w:ascii="Times New Roman" w:hAnsi="Times New Roman" w:eastAsia="仿宋" w:cs="Times New Roman"/>
                <w:b/>
                <w:color w:val="auto"/>
                <w:sz w:val="24"/>
                <w:szCs w:val="24"/>
                <w:highlight w:val="none"/>
              </w:rPr>
              <w:t>本项目水平衡图m</w:t>
            </w:r>
            <w:r>
              <w:rPr>
                <w:rFonts w:hint="default" w:ascii="Times New Roman" w:hAnsi="Times New Roman" w:eastAsia="仿宋" w:cs="Times New Roman"/>
                <w:b/>
                <w:color w:val="auto"/>
                <w:sz w:val="24"/>
                <w:szCs w:val="24"/>
                <w:highlight w:val="none"/>
                <w:vertAlign w:val="superscript"/>
              </w:rPr>
              <w:t>3</w:t>
            </w:r>
            <w:r>
              <w:rPr>
                <w:rFonts w:hint="default" w:ascii="Times New Roman" w:hAnsi="Times New Roman" w:eastAsia="仿宋" w:cs="Times New Roman"/>
                <w:b/>
                <w:color w:val="auto"/>
                <w:sz w:val="24"/>
                <w:szCs w:val="24"/>
                <w:highlight w:val="none"/>
              </w:rPr>
              <w:t>/d</w:t>
            </w:r>
          </w:p>
          <w:p>
            <w:pPr>
              <w:keepNext w:val="0"/>
              <w:keepLines w:val="0"/>
              <w:pageBreakBefore w:val="0"/>
              <w:widowControl w:val="0"/>
              <w:kinsoku/>
              <w:wordWrap/>
              <w:overflowPunct/>
              <w:topLinePunct w:val="0"/>
              <w:autoSpaceDE/>
              <w:autoSpaceDN/>
              <w:bidi w:val="0"/>
              <w:adjustRightInd/>
              <w:snapToGrid/>
              <w:spacing w:before="157" w:beforeLines="50"/>
              <w:ind w:right="105" w:rightChars="50" w:firstLine="422"/>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lang w:val="en-US" w:eastAsia="zh-CN"/>
              </w:rPr>
              <w:t>9、</w:t>
            </w:r>
            <w:r>
              <w:rPr>
                <w:rFonts w:hint="default" w:ascii="Times New Roman" w:hAnsi="Times New Roman" w:eastAsia="仿宋" w:cs="Times New Roman"/>
                <w:b/>
                <w:color w:val="auto"/>
                <w:sz w:val="24"/>
                <w:szCs w:val="24"/>
                <w:highlight w:val="none"/>
              </w:rPr>
              <w:t>劳动定员及工作制度</w:t>
            </w:r>
          </w:p>
          <w:p>
            <w:pPr>
              <w:pStyle w:val="36"/>
              <w:spacing w:line="360" w:lineRule="auto"/>
              <w:ind w:firstLine="480" w:firstLineChars="200"/>
              <w:rPr>
                <w:rFonts w:hint="default" w:ascii="Times New Roman" w:hAnsi="Times New Roman" w:eastAsia="仿宋" w:cs="Times New Roman"/>
                <w:color w:val="auto"/>
              </w:rPr>
            </w:pPr>
            <w:r>
              <w:rPr>
                <w:rFonts w:hint="default" w:ascii="Times New Roman" w:hAnsi="Times New Roman" w:eastAsia="仿宋" w:cs="Times New Roman"/>
                <w:b w:val="0"/>
                <w:bCs/>
                <w:color w:val="auto"/>
                <w:kern w:val="2"/>
                <w:sz w:val="24"/>
                <w:szCs w:val="24"/>
                <w:highlight w:val="none"/>
                <w:lang w:val="en-US" w:eastAsia="zh-CN" w:bidi="ar-SA"/>
              </w:rPr>
              <w:t>本项目矿区劳动定员</w:t>
            </w:r>
            <w:r>
              <w:rPr>
                <w:rFonts w:hint="eastAsia" w:ascii="Times New Roman" w:eastAsia="仿宋" w:cs="Times New Roman"/>
                <w:b w:val="0"/>
                <w:bCs/>
                <w:color w:val="auto"/>
                <w:kern w:val="2"/>
                <w:sz w:val="24"/>
                <w:szCs w:val="24"/>
                <w:highlight w:val="none"/>
                <w:lang w:val="en-US" w:eastAsia="zh-CN" w:bidi="ar-SA"/>
              </w:rPr>
              <w:t>31人</w:t>
            </w:r>
            <w:r>
              <w:rPr>
                <w:rFonts w:hint="default" w:ascii="Times New Roman" w:hAnsi="Times New Roman" w:eastAsia="仿宋" w:cs="Times New Roman"/>
                <w:b w:val="0"/>
                <w:bCs/>
                <w:color w:val="auto"/>
                <w:kern w:val="2"/>
                <w:sz w:val="24"/>
                <w:szCs w:val="24"/>
                <w:highlight w:val="none"/>
                <w:lang w:val="en-US" w:eastAsia="zh-CN" w:bidi="ar-SA"/>
              </w:rPr>
              <w:t>，每年工作270天，每天1班，每班工作8小时，年工作时间为2160h。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总平面及现场布置</w:t>
            </w:r>
          </w:p>
        </w:tc>
        <w:tc>
          <w:tcPr>
            <w:tcW w:w="9070" w:type="dxa"/>
            <w:vAlign w:val="center"/>
          </w:tcPr>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t>该项目总占地面积</w:t>
            </w:r>
            <w:r>
              <w:rPr>
                <w:rFonts w:hint="default" w:ascii="Times New Roman" w:hAnsi="Times New Roman" w:eastAsia="仿宋" w:cs="Times New Roman"/>
                <w:color w:val="auto"/>
                <w:lang w:val="en-US" w:eastAsia="zh-CN"/>
              </w:rPr>
              <w:t>299200</w:t>
            </w:r>
            <w:r>
              <w:rPr>
                <w:rFonts w:hint="default" w:ascii="Times New Roman" w:hAnsi="Times New Roman" w:eastAsia="仿宋" w:cs="Times New Roman"/>
                <w:color w:val="auto"/>
              </w:rPr>
              <w:t>m</w:t>
            </w:r>
            <w:r>
              <w:rPr>
                <w:rFonts w:hint="default" w:ascii="Times New Roman" w:hAnsi="Times New Roman" w:eastAsia="仿宋" w:cs="Times New Roman"/>
                <w:color w:val="auto"/>
                <w:vertAlign w:val="superscript"/>
              </w:rPr>
              <w:t>2</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项目区常年主导风向为东风</w:t>
            </w:r>
            <w:r>
              <w:rPr>
                <w:rFonts w:hint="eastAsia" w:ascii="Times New Roman" w:eastAsia="仿宋" w:cs="Times New Roman"/>
                <w:color w:val="auto"/>
                <w:lang w:val="en-US" w:eastAsia="zh-CN"/>
              </w:rPr>
              <w:t>，具体分析如下：</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1）拟建露天采矿场</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顶部境界最高标高810m，最低标高795m；露天采坑最终形成2个台阶，台阶标高分别为805米、795米。最终台阶高度10米，最终台阶坡面角30°，最终帮坡角26°～30°，安全平台宽度4米，不设清扫平台。露天采矿场顶部境界长约159m-900m，宽119m-518m；采坑底部境界长约158m-859m，宽66m-496m，占地面积291200m</w:t>
            </w:r>
            <w:r>
              <w:rPr>
                <w:rFonts w:hint="default" w:ascii="Times New Roman" w:hAnsi="Times New Roman" w:eastAsia="仿宋" w:cs="Times New Roman"/>
                <w:color w:val="auto"/>
                <w:vertAlign w:val="superscript"/>
                <w:lang w:val="en-US" w:eastAsia="zh-CN"/>
              </w:rPr>
              <w:t>2</w:t>
            </w:r>
            <w:r>
              <w:rPr>
                <w:rFonts w:hint="default" w:ascii="Times New Roman" w:hAnsi="Times New Roman" w:eastAsia="仿宋" w:cs="Times New Roman"/>
                <w:color w:val="auto"/>
                <w:lang w:val="en-US" w:eastAsia="zh-CN"/>
              </w:rPr>
              <w:t>。开采标高810m～795m。</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2）拟建办公生活区</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办公生活区位于拟建露天采场内西南部，占地面积约2000m</w:t>
            </w:r>
            <w:r>
              <w:rPr>
                <w:rFonts w:hint="default" w:ascii="Times New Roman" w:hAnsi="Times New Roman" w:eastAsia="仿宋" w:cs="Times New Roman"/>
                <w:color w:val="auto"/>
                <w:vertAlign w:val="superscript"/>
                <w:lang w:val="en-US" w:eastAsia="zh-CN"/>
              </w:rPr>
              <w:t>2</w:t>
            </w:r>
            <w:r>
              <w:rPr>
                <w:rFonts w:hint="default" w:ascii="Times New Roman" w:hAnsi="Times New Roman" w:eastAsia="仿宋" w:cs="Times New Roman"/>
                <w:color w:val="auto"/>
                <w:lang w:val="en-US" w:eastAsia="zh-CN"/>
              </w:rPr>
              <w:t>，地形坡度0～3°，包括办公室、职工宿舍、食堂、浴室等建筑物，均为轻钢结构</w:t>
            </w:r>
            <w:r>
              <w:rPr>
                <w:rFonts w:hint="eastAsia" w:ascii="Times New Roman" w:eastAsia="仿宋" w:cs="Times New Roman"/>
                <w:color w:val="auto"/>
                <w:lang w:val="en-US" w:eastAsia="zh-CN"/>
              </w:rPr>
              <w:t>。</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3）拟建工业场地</w:t>
            </w:r>
          </w:p>
          <w:p>
            <w:pPr>
              <w:pStyle w:val="3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lang w:val="en-US" w:eastAsia="zh-CN"/>
              </w:rPr>
              <w:t>拟建工业场地位于拟建露天采场中西部，办公生活区北部约150m处，坡度为0～3°，占地面积约10000m</w:t>
            </w:r>
            <w:r>
              <w:rPr>
                <w:rFonts w:hint="default" w:ascii="Times New Roman" w:hAnsi="Times New Roman" w:eastAsia="仿宋" w:cs="Times New Roman"/>
                <w:color w:val="auto"/>
                <w:vertAlign w:val="superscript"/>
                <w:lang w:val="en-US" w:eastAsia="zh-CN"/>
              </w:rPr>
              <w:t>2</w:t>
            </w:r>
            <w:r>
              <w:rPr>
                <w:rFonts w:hint="default" w:ascii="Times New Roman" w:hAnsi="Times New Roman" w:eastAsia="仿宋" w:cs="Times New Roman"/>
                <w:color w:val="auto"/>
                <w:lang w:val="en-US" w:eastAsia="zh-CN"/>
              </w:rPr>
              <w:t>。</w:t>
            </w:r>
            <w:r>
              <w:rPr>
                <w:rFonts w:hint="default" w:ascii="Times New Roman" w:hAnsi="Times New Roman" w:eastAsia="仿宋" w:cs="Times New Roman"/>
                <w:color w:val="auto"/>
                <w:highlight w:val="none"/>
                <w:lang w:val="en-US" w:eastAsia="zh-CN"/>
              </w:rPr>
              <w:t>设备区主要包含破碎生产线、筛分生产线、设备检修及停放区、蓄水池、矿区运输道路等组成。整个工艺系统呈水平式布置，以方便生产。</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4）拟建废石堆放场</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拟建废石堆放场布置在拟建采矿场中部，工业场地以东约20m处</w:t>
            </w:r>
            <w:r>
              <w:rPr>
                <w:rFonts w:hint="eastAsia" w:ascii="Times New Roman" w:eastAsia="仿宋" w:cs="Times New Roman"/>
                <w:color w:val="auto"/>
                <w:lang w:val="en-US" w:eastAsia="zh-CN"/>
              </w:rPr>
              <w:t>，</w:t>
            </w:r>
            <w:r>
              <w:rPr>
                <w:rFonts w:hint="default" w:ascii="Times New Roman" w:hAnsi="Times New Roman" w:eastAsia="仿宋" w:cs="Times New Roman"/>
                <w:color w:val="auto"/>
                <w:lang w:val="en-US" w:eastAsia="zh-CN"/>
              </w:rPr>
              <w:t>全矿规划设计一个废石堆放场，原始地形坡度3°，占地面积20000m</w:t>
            </w:r>
            <w:r>
              <w:rPr>
                <w:rFonts w:hint="default" w:ascii="Times New Roman" w:hAnsi="Times New Roman" w:eastAsia="仿宋" w:cs="Times New Roman"/>
                <w:color w:val="auto"/>
                <w:vertAlign w:val="superscript"/>
                <w:lang w:val="en-US" w:eastAsia="zh-CN"/>
              </w:rPr>
              <w:t>2</w:t>
            </w:r>
            <w:r>
              <w:rPr>
                <w:rFonts w:hint="default" w:ascii="Times New Roman" w:hAnsi="Times New Roman" w:eastAsia="仿宋" w:cs="Times New Roman"/>
                <w:color w:val="auto"/>
                <w:lang w:val="en-US" w:eastAsia="zh-CN"/>
              </w:rPr>
              <w:t>。</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5）拟建矿山道路</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矿山道路围绕矿山地面布局范围，连接各个地面设施。道路满足生产需要，全长约1000m，路面宽6m，路基宽8m，最小转弯半径15m，矿山道路为简易</w:t>
            </w:r>
            <w:r>
              <w:rPr>
                <w:rFonts w:hint="eastAsia" w:ascii="Times New Roman" w:eastAsia="仿宋" w:cs="Times New Roman"/>
                <w:color w:val="auto"/>
                <w:lang w:val="en-US" w:eastAsia="zh-CN"/>
              </w:rPr>
              <w:t>砂石</w:t>
            </w:r>
            <w:r>
              <w:rPr>
                <w:rFonts w:hint="default" w:ascii="Times New Roman" w:hAnsi="Times New Roman" w:eastAsia="仿宋" w:cs="Times New Roman"/>
                <w:color w:val="auto"/>
                <w:lang w:val="en-US" w:eastAsia="zh-CN"/>
              </w:rPr>
              <w:t>道路，占地面积约8000㎡，地形坡度0～3°。</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本项目区平面布置功能分区明确，集中紧凑，满足生产工艺流程要求，</w:t>
            </w:r>
            <w:r>
              <w:rPr>
                <w:rFonts w:hint="default" w:ascii="Times New Roman" w:hAnsi="Times New Roman" w:eastAsia="仿宋" w:cs="Times New Roman"/>
                <w:color w:val="auto"/>
                <w:lang w:val="en-US" w:eastAsia="zh-CN"/>
              </w:rPr>
              <w:t>矿区道路及出入口位于厂区南侧与场外道路相通</w:t>
            </w:r>
            <w:r>
              <w:rPr>
                <w:rFonts w:hint="default" w:ascii="Times New Roman" w:hAnsi="Times New Roman" w:eastAsia="仿宋" w:cs="Times New Roman"/>
                <w:color w:val="auto"/>
              </w:rPr>
              <w:t>，便于本项目的运输及生产管理，从环境保护角度考虑，本项目</w:t>
            </w:r>
            <w:r>
              <w:rPr>
                <w:rFonts w:hint="eastAsia" w:ascii="Times New Roman" w:eastAsia="仿宋" w:cs="Times New Roman"/>
                <w:color w:val="auto"/>
                <w:lang w:eastAsia="zh-CN"/>
              </w:rPr>
              <w:t>总体</w:t>
            </w:r>
            <w:r>
              <w:rPr>
                <w:rFonts w:hint="default" w:ascii="Times New Roman" w:hAnsi="Times New Roman" w:eastAsia="仿宋" w:cs="Times New Roman"/>
                <w:color w:val="auto"/>
              </w:rPr>
              <w:t>布置基本合理。本项目</w:t>
            </w:r>
            <w:r>
              <w:rPr>
                <w:rFonts w:hint="default" w:ascii="Times New Roman" w:hAnsi="Times New Roman" w:eastAsia="仿宋" w:cs="Times New Roman"/>
                <w:color w:val="auto"/>
                <w:lang w:val="en-US" w:eastAsia="zh-CN"/>
              </w:rPr>
              <w:t>平面</w:t>
            </w:r>
            <w:r>
              <w:rPr>
                <w:rFonts w:hint="default" w:ascii="Times New Roman" w:hAnsi="Times New Roman" w:eastAsia="仿宋" w:cs="Times New Roman"/>
                <w:color w:val="auto"/>
              </w:rPr>
              <w:t>布置示意图见图2-</w:t>
            </w:r>
            <w:r>
              <w:rPr>
                <w:rFonts w:hint="eastAsia" w:ascii="Times New Roman" w:eastAsia="仿宋" w:cs="Times New Roman"/>
                <w:color w:val="auto"/>
                <w:lang w:val="en-US" w:eastAsia="zh-CN"/>
              </w:rPr>
              <w:t>5</w:t>
            </w:r>
            <w:r>
              <w:rPr>
                <w:rFonts w:hint="default" w:ascii="Times New Roman" w:hAnsi="Times New Roman" w:eastAsia="仿宋"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施工方案</w:t>
            </w:r>
          </w:p>
        </w:tc>
        <w:tc>
          <w:tcPr>
            <w:tcW w:w="9070" w:type="dxa"/>
            <w:vAlign w:val="center"/>
          </w:tcPr>
          <w:p>
            <w:pPr>
              <w:pStyle w:val="36"/>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2" w:firstLineChars="200"/>
              <w:textAlignment w:val="auto"/>
              <w:rPr>
                <w:rFonts w:hint="default" w:ascii="Times New Roman" w:hAnsi="Times New Roman" w:eastAsia="仿宋" w:cs="Times New Roman"/>
                <w:b/>
                <w:bCs/>
                <w:color w:val="auto"/>
                <w:lang w:val="en-US" w:eastAsia="zh-CN"/>
              </w:rPr>
            </w:pPr>
            <w:r>
              <w:rPr>
                <w:rFonts w:hint="default" w:ascii="Times New Roman" w:hAnsi="Times New Roman" w:eastAsia="仿宋" w:cs="Times New Roman"/>
                <w:b/>
                <w:bCs/>
                <w:color w:val="auto"/>
              </w:rPr>
              <w:t>1、施工工艺</w:t>
            </w:r>
            <w:r>
              <w:rPr>
                <w:rFonts w:hint="default" w:ascii="Times New Roman" w:hAnsi="Times New Roman" w:eastAsia="仿宋" w:cs="Times New Roman"/>
                <w:b/>
                <w:bCs/>
                <w:color w:val="auto"/>
                <w:lang w:val="en-US" w:eastAsia="zh-CN"/>
              </w:rPr>
              <w:t>流程</w:t>
            </w:r>
          </w:p>
          <w:p>
            <w:pPr>
              <w:adjustRightInd w:val="0"/>
              <w:snapToGrid w:val="0"/>
              <w:ind w:firstLine="420"/>
              <w:rPr>
                <w:rFonts w:hint="default" w:ascii="Times New Roman" w:hAnsi="Times New Roman" w:eastAsia="仿宋" w:cs="Times New Roman"/>
                <w:color w:val="auto"/>
              </w:rPr>
            </w:pPr>
            <w:r>
              <w:rPr>
                <w:rFonts w:hint="default" w:ascii="Times New Roman" w:hAnsi="Times New Roman" w:eastAsia="仿宋" w:cs="Times New Roman"/>
                <w:color w:val="auto"/>
              </w:rPr>
              <w:t>本项目工程施工期主要对</w:t>
            </w:r>
            <w:r>
              <w:rPr>
                <w:rFonts w:hint="default" w:ascii="Times New Roman" w:hAnsi="Times New Roman" w:eastAsia="仿宋" w:cs="Times New Roman"/>
                <w:color w:val="auto"/>
                <w:lang w:val="en-US" w:eastAsia="zh-CN"/>
              </w:rPr>
              <w:t>厂区平整、设备安装</w:t>
            </w:r>
            <w:r>
              <w:rPr>
                <w:rFonts w:hint="default" w:ascii="Times New Roman" w:hAnsi="Times New Roman" w:eastAsia="仿宋" w:cs="Times New Roman"/>
                <w:color w:val="auto"/>
              </w:rPr>
              <w:t>等。</w:t>
            </w:r>
          </w:p>
          <w:p>
            <w:pPr>
              <w:adjustRightInd w:val="0"/>
              <w:snapToGrid w:val="0"/>
              <w:ind w:firstLine="420"/>
              <w:jc w:val="center"/>
              <w:rPr>
                <w:rFonts w:hint="default" w:ascii="Times New Roman" w:hAnsi="Times New Roman" w:eastAsia="仿宋" w:cs="Times New Roman"/>
                <w:color w:val="auto"/>
              </w:rPr>
            </w:pPr>
            <w:r>
              <w:rPr>
                <w:rFonts w:hint="default" w:ascii="Times New Roman" w:hAnsi="Times New Roman" w:eastAsia="仿宋" w:cs="Times New Roman"/>
                <w:color w:val="auto"/>
              </w:rPr>
              <w:drawing>
                <wp:inline distT="0" distB="0" distL="0" distR="0">
                  <wp:extent cx="5398135" cy="850900"/>
                  <wp:effectExtent l="0" t="0" r="1206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398135" cy="850900"/>
                          </a:xfrm>
                          <a:prstGeom prst="rect">
                            <a:avLst/>
                          </a:prstGeom>
                          <a:noFill/>
                          <a:ln>
                            <a:noFill/>
                          </a:ln>
                        </pic:spPr>
                      </pic:pic>
                    </a:graphicData>
                  </a:graphic>
                </wp:inline>
              </w:drawing>
            </w:r>
          </w:p>
          <w:p>
            <w:pPr>
              <w:pStyle w:val="36"/>
              <w:spacing w:line="360" w:lineRule="auto"/>
              <w:ind w:firstLine="482" w:firstLineChars="20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rPr>
              <w:t>图2-</w:t>
            </w:r>
            <w:r>
              <w:rPr>
                <w:rFonts w:hint="eastAsia" w:ascii="Times New Roman" w:eastAsia="仿宋" w:cs="Times New Roman"/>
                <w:b/>
                <w:bCs/>
                <w:color w:val="auto"/>
                <w:lang w:val="en-US" w:eastAsia="zh-CN"/>
              </w:rPr>
              <w:t>6</w:t>
            </w:r>
            <w:r>
              <w:rPr>
                <w:rFonts w:hint="default" w:ascii="Times New Roman" w:hAnsi="Times New Roman" w:eastAsia="仿宋" w:cs="Times New Roman"/>
                <w:b/>
                <w:bCs/>
                <w:color w:val="auto"/>
              </w:rPr>
              <w:t>施工期工艺流程图</w:t>
            </w:r>
          </w:p>
          <w:p>
            <w:pPr>
              <w:pStyle w:val="36"/>
              <w:numPr>
                <w:ilvl w:val="0"/>
                <w:numId w:val="0"/>
              </w:numPr>
              <w:spacing w:line="360" w:lineRule="auto"/>
              <w:ind w:firstLine="482" w:firstLineChars="200"/>
              <w:rPr>
                <w:rFonts w:hint="default" w:ascii="Times New Roman" w:hAnsi="Times New Roman" w:eastAsia="仿宋" w:cs="Times New Roman"/>
                <w:b/>
                <w:bCs/>
                <w:color w:val="auto"/>
              </w:rPr>
            </w:pPr>
            <w:r>
              <w:rPr>
                <w:rFonts w:hint="eastAsia" w:ascii="Times New Roman" w:eastAsia="仿宋" w:cs="Times New Roman"/>
                <w:b/>
                <w:bCs/>
                <w:color w:val="auto"/>
                <w:lang w:val="en-US" w:eastAsia="zh-CN"/>
              </w:rPr>
              <w:t>2、</w:t>
            </w:r>
            <w:r>
              <w:rPr>
                <w:rFonts w:hint="default" w:ascii="Times New Roman" w:hAnsi="Times New Roman" w:eastAsia="仿宋" w:cs="Times New Roman"/>
                <w:b/>
                <w:bCs/>
                <w:color w:val="auto"/>
              </w:rPr>
              <w:t>运营期工艺流程图</w:t>
            </w:r>
          </w:p>
          <w:p>
            <w:pPr>
              <w:pStyle w:val="36"/>
              <w:numPr>
                <w:ilvl w:val="0"/>
                <w:numId w:val="0"/>
              </w:num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drawing>
                <wp:inline distT="0" distB="0" distL="114300" distR="114300">
                  <wp:extent cx="5986780" cy="4274820"/>
                  <wp:effectExtent l="0" t="0" r="13970" b="1143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0"/>
                          <a:stretch>
                            <a:fillRect/>
                          </a:stretch>
                        </pic:blipFill>
                        <pic:spPr>
                          <a:xfrm>
                            <a:off x="0" y="0"/>
                            <a:ext cx="5986780" cy="4274820"/>
                          </a:xfrm>
                          <a:prstGeom prst="rect">
                            <a:avLst/>
                          </a:prstGeom>
                          <a:noFill/>
                          <a:ln>
                            <a:noFill/>
                          </a:ln>
                        </pic:spPr>
                      </pic:pic>
                    </a:graphicData>
                  </a:graphic>
                </wp:inline>
              </w:drawing>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r>
              <w:rPr>
                <w:rFonts w:hint="default" w:ascii="Times New Roman" w:hAnsi="Times New Roman" w:eastAsia="仿宋" w:cs="Times New Roman"/>
                <w:b/>
                <w:bCs/>
                <w:color w:val="auto"/>
                <w:sz w:val="24"/>
                <w:szCs w:val="32"/>
                <w:highlight w:val="none"/>
              </w:rPr>
              <w:t>图2-</w:t>
            </w:r>
            <w:r>
              <w:rPr>
                <w:rFonts w:hint="eastAsia" w:eastAsia="仿宋" w:cs="Times New Roman"/>
                <w:b/>
                <w:bCs/>
                <w:color w:val="auto"/>
                <w:sz w:val="24"/>
                <w:szCs w:val="32"/>
                <w:highlight w:val="none"/>
                <w:lang w:val="en-US" w:eastAsia="zh-CN"/>
              </w:rPr>
              <w:t>7</w:t>
            </w:r>
            <w:r>
              <w:rPr>
                <w:rFonts w:hint="default" w:ascii="Times New Roman" w:hAnsi="Times New Roman" w:eastAsia="仿宋" w:cs="Times New Roman"/>
                <w:b/>
                <w:bCs/>
                <w:color w:val="auto"/>
                <w:sz w:val="24"/>
                <w:szCs w:val="32"/>
                <w:highlight w:val="none"/>
              </w:rPr>
              <w:t>工艺流程图</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根据矿体赋存及矿区地形地貌条件、开采深度、矿山开采技术条件以及所选用的</w:t>
            </w:r>
            <w:r>
              <w:rPr>
                <w:rFonts w:hint="default" w:ascii="Times New Roman" w:hAnsi="Times New Roman" w:eastAsia="仿宋" w:cs="Times New Roman"/>
                <w:color w:val="auto"/>
                <w:spacing w:val="3"/>
                <w:lang w:eastAsia="zh-CN"/>
              </w:rPr>
              <w:t>采矿</w:t>
            </w:r>
            <w:r>
              <w:rPr>
                <w:rFonts w:hint="default" w:ascii="Times New Roman" w:hAnsi="Times New Roman" w:eastAsia="仿宋" w:cs="Times New Roman"/>
                <w:color w:val="auto"/>
                <w:spacing w:val="3"/>
              </w:rPr>
              <w:t>设备等，项目采用露天开采，采用自上而下开采方法。矿山岩土疏松，可采用挖掘机采掘</w:t>
            </w:r>
            <w:r>
              <w:rPr>
                <w:rFonts w:hint="eastAsia"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1"/>
              </w:rPr>
              <w:t>采下砂石料由胶带输送机将砂石料送入筛分区。</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（1）开采方法</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1"/>
              </w:rPr>
              <w:t>设计采用挖掘机和汽车运输采矿方法，不涉及炸药。</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（2）开拓运输系统</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1"/>
              </w:rPr>
              <w:t>该矿系露天矿，砂石料内部运输采用挖掘机和胶带输送机。</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（3）砂石料加工系统</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79"/>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color w:val="auto"/>
                <w:spacing w:val="3"/>
              </w:rPr>
              <w:t>采场采出的砂卵石用汽车运至矿石堆放场经胶带输送机输入筛分机内由</w:t>
            </w:r>
            <w:r>
              <w:rPr>
                <w:rFonts w:hint="default" w:ascii="Times New Roman" w:hAnsi="Times New Roman" w:eastAsia="仿宋" w:cs="Times New Roman"/>
                <w:color w:val="auto"/>
                <w:spacing w:val="3"/>
                <w:lang w:eastAsia="zh-CN"/>
              </w:rPr>
              <w:t>滚筒</w:t>
            </w:r>
            <w:r>
              <w:rPr>
                <w:rFonts w:hint="default" w:ascii="Times New Roman" w:hAnsi="Times New Roman" w:eastAsia="仿宋" w:cs="Times New Roman"/>
                <w:color w:val="auto"/>
                <w:spacing w:val="3"/>
              </w:rPr>
              <w:t>筛分。滚筒筛呈圆柱状，</w:t>
            </w:r>
            <w:r>
              <w:rPr>
                <w:rFonts w:hint="default" w:ascii="Times New Roman" w:hAnsi="Times New Roman" w:eastAsia="仿宋" w:cs="Times New Roman"/>
                <w:color w:val="auto"/>
                <w:spacing w:val="3"/>
                <w:lang w:eastAsia="zh-CN"/>
              </w:rPr>
              <w:t>倾斜</w:t>
            </w:r>
            <w:r>
              <w:rPr>
                <w:rFonts w:hint="default" w:ascii="Times New Roman" w:hAnsi="Times New Roman" w:eastAsia="仿宋" w:cs="Times New Roman"/>
                <w:color w:val="auto"/>
                <w:spacing w:val="3"/>
              </w:rPr>
              <w:t>安装，砂卵从位置较高的一侧输入。当滚筒转动时，砂卵石借助重力的作用，往位置较低的一侧移动，同时不同孔径的砂卵石从筛网露出。通过滚筒筛工作，将</w:t>
            </w:r>
            <w:r>
              <w:rPr>
                <w:rFonts w:hint="default" w:ascii="Times New Roman" w:hAnsi="Times New Roman" w:eastAsia="仿宋" w:cs="Times New Roman"/>
                <w:color w:val="auto"/>
                <w:spacing w:val="3"/>
                <w:lang w:eastAsia="zh-CN"/>
              </w:rPr>
              <w:t>粒径</w:t>
            </w:r>
            <w:r>
              <w:rPr>
                <w:rFonts w:hint="default" w:ascii="Times New Roman" w:hAnsi="Times New Roman" w:eastAsia="仿宋" w:cs="Times New Roman"/>
                <w:color w:val="auto"/>
                <w:spacing w:val="3"/>
              </w:rPr>
              <w:t>不同的砂卵石分级后由3条输送带将粒径为0.15-5.0mm、5.0-20.0mm、20-40mm的砂卵石分别输送至临时</w:t>
            </w:r>
            <w:r>
              <w:rPr>
                <w:rFonts w:hint="default" w:ascii="Times New Roman" w:hAnsi="Times New Roman" w:eastAsia="仿宋" w:cs="Times New Roman"/>
                <w:color w:val="auto"/>
                <w:spacing w:val="3"/>
                <w:lang w:eastAsia="zh-CN"/>
              </w:rPr>
              <w:t>堆放</w:t>
            </w:r>
            <w:r>
              <w:rPr>
                <w:rFonts w:hint="default" w:ascii="Times New Roman" w:hAnsi="Times New Roman" w:eastAsia="仿宋" w:cs="Times New Roman"/>
                <w:color w:val="auto"/>
                <w:spacing w:val="3"/>
              </w:rPr>
              <w:t>点，由挖掘机装载至自卸汽车将砂卵石</w:t>
            </w:r>
            <w:r>
              <w:rPr>
                <w:rFonts w:hint="default" w:ascii="Times New Roman" w:hAnsi="Times New Roman" w:eastAsia="仿宋" w:cs="Times New Roman"/>
                <w:color w:val="auto"/>
                <w:spacing w:val="3"/>
                <w:lang w:val="en-US" w:eastAsia="zh-CN"/>
              </w:rPr>
              <w:t>装车外运</w:t>
            </w:r>
            <w:r>
              <w:rPr>
                <w:rFonts w:hint="default" w:ascii="Times New Roman" w:hAnsi="Times New Roman" w:eastAsia="仿宋" w:cs="Times New Roman"/>
                <w:color w:val="auto"/>
                <w:spacing w:val="3"/>
              </w:rPr>
              <w:t>。</w:t>
            </w:r>
            <w:r>
              <w:rPr>
                <w:rFonts w:hint="default" w:ascii="Times New Roman" w:hAnsi="Times New Roman" w:eastAsia="仿宋" w:cs="Times New Roman"/>
                <w:color w:val="auto"/>
                <w:spacing w:val="3"/>
                <w:lang w:val="en-US" w:eastAsia="zh-CN"/>
              </w:rPr>
              <w:t>大于40mm及粒</w:t>
            </w:r>
            <w:r>
              <w:rPr>
                <w:rFonts w:hint="default" w:ascii="Times New Roman" w:hAnsi="Times New Roman" w:eastAsia="仿宋" w:cs="Times New Roman"/>
                <w:color w:val="auto"/>
                <w:spacing w:val="3"/>
              </w:rPr>
              <w:t>径小于0.15mm的泥沙，运至废料堆场，</w:t>
            </w:r>
            <w:r>
              <w:rPr>
                <w:rFonts w:hint="default" w:ascii="Times New Roman" w:hAnsi="Times New Roman" w:eastAsia="仿宋" w:cs="Times New Roman"/>
                <w:color w:val="auto"/>
                <w:spacing w:val="3"/>
                <w:lang w:val="en-US" w:eastAsia="zh-CN"/>
              </w:rPr>
              <w:t>后期用于采坑回填</w:t>
            </w:r>
            <w:r>
              <w:rPr>
                <w:rFonts w:hint="default" w:ascii="Times New Roman" w:hAnsi="Times New Roman" w:eastAsia="仿宋" w:cs="Times New Roman"/>
                <w:color w:val="auto"/>
                <w:spacing w:val="3"/>
              </w:rPr>
              <w:t>。</w:t>
            </w:r>
          </w:p>
          <w:p>
            <w:pPr>
              <w:pStyle w:val="8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3、施工时序及建设周期</w:t>
            </w:r>
          </w:p>
          <w:p>
            <w:pPr>
              <w:spacing w:line="360" w:lineRule="auto"/>
              <w:ind w:firstLine="482" w:firstLineChars="200"/>
              <w:rPr>
                <w:rFonts w:hint="default" w:ascii="Times New Roman" w:hAnsi="Times New Roman" w:eastAsia="仿宋" w:cs="Times New Roman"/>
                <w:b/>
                <w:bCs w:val="0"/>
                <w:color w:val="auto"/>
                <w:sz w:val="24"/>
                <w:lang w:val="en-US" w:eastAsia="zh-CN"/>
              </w:rPr>
            </w:pPr>
            <w:r>
              <w:rPr>
                <w:rFonts w:hint="default" w:ascii="Times New Roman" w:hAnsi="Times New Roman" w:eastAsia="仿宋" w:cs="Times New Roman"/>
                <w:b/>
                <w:bCs w:val="0"/>
                <w:color w:val="auto"/>
                <w:sz w:val="24"/>
                <w:lang w:val="en-US" w:eastAsia="zh-CN"/>
              </w:rPr>
              <w:t>3.1施工时序</w:t>
            </w:r>
          </w:p>
          <w:p>
            <w:pPr>
              <w:spacing w:line="360" w:lineRule="auto"/>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根据工程特性及自然环境、社会环境特征，合理制定有效项目施工时序，各施工区主要工程时序为：基础施工---主体恢复建设---辅助设施建设。建设单位在施工期间须按照</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六必须</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六不准</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要求进行施工，即：必须湿法作业、必须打围作业、必须硬化道路，必须设置冲洗设施、设备，必须配齐保洁人员，必须定时清扫施工现场；不准车辆带泥出门，不准运渣车辆超载，不准高空抛撒建渣，不准现场搅拌混凝土，不准场地积水，不准现场焚烧废弃物。</w:t>
            </w:r>
          </w:p>
          <w:p>
            <w:pPr>
              <w:pStyle w:val="83"/>
              <w:spacing w:line="360" w:lineRule="auto"/>
              <w:rPr>
                <w:rFonts w:hint="default" w:ascii="Times New Roman" w:hAnsi="Times New Roman" w:eastAsia="仿宋" w:cs="Times New Roman"/>
                <w:b/>
                <w:bCs w:val="0"/>
                <w:color w:val="auto"/>
                <w:sz w:val="24"/>
                <w:lang w:val="en-US" w:eastAsia="zh-CN"/>
              </w:rPr>
            </w:pPr>
            <w:r>
              <w:rPr>
                <w:rFonts w:hint="default" w:ascii="Times New Roman" w:hAnsi="Times New Roman" w:eastAsia="仿宋" w:cs="Times New Roman"/>
                <w:b/>
                <w:bCs w:val="0"/>
                <w:color w:val="auto"/>
                <w:sz w:val="24"/>
                <w:lang w:val="en-US" w:eastAsia="zh-CN"/>
              </w:rPr>
              <w:t>3.2建设周期</w:t>
            </w:r>
          </w:p>
          <w:p>
            <w:pPr>
              <w:pStyle w:val="8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kern w:val="0"/>
                <w:sz w:val="24"/>
                <w:szCs w:val="24"/>
                <w:lang w:val="en-US" w:eastAsia="zh-CN" w:bidi="ar-SA"/>
              </w:rPr>
              <w:t>根据计划及结合工程实际情况，本工程初拟施工总工期</w:t>
            </w:r>
            <w:r>
              <w:rPr>
                <w:rFonts w:hint="eastAsia" w:ascii="Times New Roman" w:hAnsi="Times New Roman" w:eastAsia="仿宋" w:cs="Times New Roman"/>
                <w:b w:val="0"/>
                <w:bCs w:val="0"/>
                <w:color w:val="auto"/>
                <w:kern w:val="0"/>
                <w:sz w:val="24"/>
                <w:szCs w:val="24"/>
                <w:lang w:val="en-US" w:eastAsia="zh-CN" w:bidi="ar-SA"/>
              </w:rPr>
              <w:t>3</w:t>
            </w:r>
            <w:r>
              <w:rPr>
                <w:rFonts w:hint="default" w:ascii="Times New Roman" w:hAnsi="Times New Roman" w:eastAsia="仿宋" w:cs="Times New Roman"/>
                <w:b w:val="0"/>
                <w:bCs w:val="0"/>
                <w:color w:val="auto"/>
                <w:kern w:val="0"/>
                <w:sz w:val="24"/>
                <w:szCs w:val="24"/>
                <w:lang w:val="en-US" w:eastAsia="zh-CN" w:bidi="ar-SA"/>
              </w:rPr>
              <w:t>个月（202</w:t>
            </w:r>
            <w:r>
              <w:rPr>
                <w:rFonts w:hint="eastAsia" w:ascii="Times New Roman" w:hAnsi="Times New Roman" w:eastAsia="仿宋" w:cs="Times New Roman"/>
                <w:b w:val="0"/>
                <w:bCs w:val="0"/>
                <w:color w:val="auto"/>
                <w:kern w:val="0"/>
                <w:sz w:val="24"/>
                <w:szCs w:val="24"/>
                <w:lang w:val="en-US" w:eastAsia="zh-CN" w:bidi="ar-SA"/>
              </w:rPr>
              <w:t>4</w:t>
            </w:r>
            <w:r>
              <w:rPr>
                <w:rFonts w:hint="default" w:ascii="Times New Roman" w:hAnsi="Times New Roman" w:eastAsia="仿宋" w:cs="Times New Roman"/>
                <w:b w:val="0"/>
                <w:bCs w:val="0"/>
                <w:color w:val="auto"/>
                <w:kern w:val="0"/>
                <w:sz w:val="24"/>
                <w:szCs w:val="24"/>
                <w:lang w:val="en-US" w:eastAsia="zh-CN" w:bidi="ar-SA"/>
              </w:rPr>
              <w:t>年</w:t>
            </w:r>
            <w:r>
              <w:rPr>
                <w:rFonts w:hint="eastAsia" w:ascii="Times New Roman" w:hAnsi="Times New Roman" w:eastAsia="仿宋" w:cs="Times New Roman"/>
                <w:b w:val="0"/>
                <w:bCs w:val="0"/>
                <w:color w:val="auto"/>
                <w:kern w:val="0"/>
                <w:sz w:val="24"/>
                <w:szCs w:val="24"/>
                <w:lang w:val="en-US" w:eastAsia="zh-CN" w:bidi="ar-SA"/>
              </w:rPr>
              <w:t>5</w:t>
            </w:r>
            <w:r>
              <w:rPr>
                <w:rFonts w:hint="default" w:ascii="Times New Roman" w:hAnsi="Times New Roman" w:eastAsia="仿宋" w:cs="Times New Roman"/>
                <w:b w:val="0"/>
                <w:bCs w:val="0"/>
                <w:color w:val="auto"/>
                <w:kern w:val="0"/>
                <w:sz w:val="24"/>
                <w:szCs w:val="24"/>
                <w:lang w:val="en-US" w:eastAsia="zh-CN" w:bidi="ar-SA"/>
              </w:rPr>
              <w:t>-</w:t>
            </w:r>
            <w:r>
              <w:rPr>
                <w:rFonts w:hint="eastAsia" w:ascii="Times New Roman" w:hAnsi="Times New Roman" w:eastAsia="仿宋" w:cs="Times New Roman"/>
                <w:b w:val="0"/>
                <w:bCs w:val="0"/>
                <w:color w:val="auto"/>
                <w:kern w:val="0"/>
                <w:sz w:val="24"/>
                <w:szCs w:val="24"/>
                <w:lang w:val="en-US" w:eastAsia="zh-CN" w:bidi="ar-SA"/>
              </w:rPr>
              <w:t>7</w:t>
            </w:r>
            <w:r>
              <w:rPr>
                <w:rFonts w:hint="default" w:ascii="Times New Roman" w:hAnsi="Times New Roman" w:eastAsia="仿宋" w:cs="Times New Roman"/>
                <w:b w:val="0"/>
                <w:bCs w:val="0"/>
                <w:color w:val="auto"/>
                <w:kern w:val="0"/>
                <w:sz w:val="24"/>
                <w:szCs w:val="24"/>
                <w:lang w:val="en-US" w:eastAsia="zh-CN" w:bidi="ar-S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其他</w:t>
            </w:r>
          </w:p>
        </w:tc>
        <w:tc>
          <w:tcPr>
            <w:tcW w:w="9070" w:type="dxa"/>
            <w:vAlign w:val="center"/>
          </w:tcPr>
          <w:p>
            <w:pPr>
              <w:widowControl/>
              <w:spacing w:line="560" w:lineRule="exact"/>
              <w:ind w:firstLine="420"/>
              <w:jc w:val="center"/>
              <w:rPr>
                <w:rFonts w:hint="default" w:ascii="Times New Roman" w:hAnsi="Times New Roman" w:eastAsia="仿宋" w:cs="Times New Roman"/>
                <w:color w:val="auto"/>
                <w:kern w:val="0"/>
                <w:szCs w:val="21"/>
              </w:rPr>
            </w:pPr>
          </w:p>
          <w:p>
            <w:pPr>
              <w:widowControl/>
              <w:spacing w:line="560" w:lineRule="exact"/>
              <w:ind w:firstLine="42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无</w:t>
            </w:r>
          </w:p>
          <w:p>
            <w:pPr>
              <w:pStyle w:val="2"/>
              <w:rPr>
                <w:rFonts w:hint="default" w:ascii="Times New Roman" w:hAnsi="Times New Roman" w:eastAsia="仿宋" w:cs="Times New Roman"/>
                <w:color w:val="auto"/>
                <w:kern w:val="0"/>
                <w:szCs w:val="21"/>
              </w:rPr>
            </w:pPr>
          </w:p>
          <w:p>
            <w:pPr>
              <w:pStyle w:val="3"/>
              <w:rPr>
                <w:rFonts w:hint="default" w:ascii="Times New Roman" w:hAnsi="Times New Roman" w:eastAsia="仿宋" w:cs="Times New Roman"/>
                <w:color w:val="auto"/>
                <w:kern w:val="0"/>
                <w:szCs w:val="21"/>
              </w:rPr>
            </w:pPr>
          </w:p>
          <w:p>
            <w:pPr>
              <w:widowControl/>
              <w:spacing w:line="560" w:lineRule="exact"/>
              <w:ind w:left="0" w:leftChars="0" w:firstLine="0" w:firstLineChars="0"/>
              <w:jc w:val="both"/>
              <w:rPr>
                <w:rFonts w:hint="default" w:ascii="Times New Roman" w:hAnsi="Times New Roman" w:eastAsia="仿宋" w:cs="Times New Roman"/>
                <w:color w:val="auto"/>
                <w:kern w:val="0"/>
                <w:szCs w:val="21"/>
              </w:rPr>
            </w:pPr>
          </w:p>
        </w:tc>
      </w:tr>
    </w:tbl>
    <w:p>
      <w:pPr>
        <w:pStyle w:val="20"/>
        <w:spacing w:line="240" w:lineRule="auto"/>
        <w:ind w:firstLine="0" w:firstLineChars="0"/>
        <w:jc w:val="center"/>
        <w:outlineLvl w:val="0"/>
        <w:rPr>
          <w:rFonts w:hint="default" w:ascii="Times New Roman" w:hAnsi="Times New Roman" w:eastAsia="仿宋" w:cs="Times New Roman"/>
          <w:b/>
          <w:bCs/>
          <w:color w:val="auto"/>
        </w:rPr>
        <w:sectPr>
          <w:footerReference r:id="rId10" w:type="default"/>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三、生态环境现状、保护目标及评价标准</w:t>
      </w:r>
    </w:p>
    <w:tbl>
      <w:tblPr>
        <w:tblStyle w:val="25"/>
        <w:tblW w:w="92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生态环境现状</w:t>
            </w:r>
          </w:p>
        </w:tc>
        <w:tc>
          <w:tcPr>
            <w:tcW w:w="8329" w:type="dxa"/>
            <w:vAlign w:val="center"/>
          </w:tcPr>
          <w:p>
            <w:pPr>
              <w:pStyle w:val="2"/>
              <w:widowControl w:val="0"/>
              <w:adjustRightInd w:val="0"/>
              <w:spacing w:before="0" w:after="0" w:line="360" w:lineRule="auto"/>
              <w:ind w:right="0"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1、生态环境现状</w:t>
            </w:r>
            <w:r>
              <w:rPr>
                <w:rFonts w:hint="default" w:ascii="Times New Roman" w:hAnsi="Times New Roman" w:eastAsia="仿宋" w:cs="Times New Roman"/>
                <w:b/>
                <w:bCs/>
                <w:color w:val="auto"/>
                <w:sz w:val="24"/>
                <w:szCs w:val="24"/>
                <w:lang w:val="en-US" w:eastAsia="zh-CN"/>
              </w:rPr>
              <w:t>调查</w:t>
            </w:r>
          </w:p>
          <w:p>
            <w:pPr>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w:t>
            </w:r>
            <w:r>
              <w:rPr>
                <w:rFonts w:hint="default" w:ascii="Times New Roman" w:hAnsi="Times New Roman" w:eastAsia="仿宋" w:cs="Times New Roman"/>
                <w:color w:val="auto"/>
                <w:sz w:val="24"/>
                <w:szCs w:val="24"/>
              </w:rPr>
              <w:t>《新疆维吾尔自治区主体功能区规划》</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疆维吾尔自治区主体功能区规划》中指出，“一些能源和矿产资源富集区域往往同时是生态脆弱或生态重要区域，被划分为限制进行大规模高强度工业化城镇化开发的重点生态功能区或农产品主产区，并不是限制能源和矿产资源的开发，这类区域中能源和矿产资源仍可依法开发，资源开采地点仍可定义为能源或矿产资源的重点开发基地，但应按该区域主体功能定位实行“点上开发、面上保护”，形成资源点状开发、生态面上保护的空间结构。对阿尔泰山、塔里木盆地、准噶尔盆地等矿产资源富集区域的开发要在科学规划的基础上以点状开发方式有序进行，开发强度控制在规划目标内，尽量减少对生态扰动和破坏，同时加强对矿产开发区迹地的生态修复”。</w:t>
            </w:r>
          </w:p>
          <w:p>
            <w:pPr>
              <w:ind w:firstLine="42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color w:val="auto"/>
                <w:sz w:val="24"/>
                <w:szCs w:val="24"/>
                <w:highlight w:val="none"/>
              </w:rPr>
              <w:t>本项目位于</w:t>
            </w:r>
            <w:r>
              <w:rPr>
                <w:rFonts w:hint="default" w:ascii="Times New Roman" w:hAnsi="Times New Roman" w:eastAsia="仿宋" w:cs="Times New Roman"/>
                <w:color w:val="auto"/>
                <w:sz w:val="24"/>
                <w:szCs w:val="24"/>
                <w:highlight w:val="none"/>
                <w:lang w:val="en-US" w:eastAsia="zh-CN"/>
              </w:rPr>
              <w:t>新疆维吾尔自治区吐鲁番地区</w:t>
            </w:r>
            <w:r>
              <w:rPr>
                <w:rFonts w:hint="eastAsia" w:eastAsia="仿宋" w:cs="Times New Roman"/>
                <w:color w:val="auto"/>
                <w:sz w:val="24"/>
                <w:szCs w:val="24"/>
                <w:highlight w:val="none"/>
                <w:lang w:val="en-US" w:eastAsia="zh-CN"/>
              </w:rPr>
              <w:t>鄯善县</w:t>
            </w:r>
            <w:r>
              <w:rPr>
                <w:rFonts w:hint="default" w:ascii="Times New Roman" w:hAnsi="Times New Roman" w:eastAsia="仿宋" w:cs="Times New Roman"/>
                <w:color w:val="auto"/>
                <w:sz w:val="24"/>
                <w:szCs w:val="24"/>
                <w:highlight w:val="none"/>
                <w:lang w:val="en-US" w:eastAsia="zh-CN"/>
              </w:rPr>
              <w:t>七克台镇北东56°方向直线距离36.5千米处</w:t>
            </w:r>
            <w:r>
              <w:rPr>
                <w:rFonts w:hint="default" w:ascii="Times New Roman" w:hAnsi="Times New Roman" w:eastAsia="仿宋" w:cs="Times New Roman"/>
                <w:color w:val="auto"/>
                <w:sz w:val="24"/>
                <w:szCs w:val="24"/>
                <w:highlight w:val="none"/>
              </w:rPr>
              <w:t>，项目所在区域不属于限制开发区和禁止开发区，属于允许开发区。</w:t>
            </w:r>
          </w:p>
          <w:p>
            <w:pPr>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（2）生态功能区划</w:t>
            </w:r>
          </w:p>
          <w:p>
            <w:pPr>
              <w:adjustRightInd w:val="0"/>
              <w:snapToGrid w:val="0"/>
              <w:ind w:firstLine="42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本项目位于</w:t>
            </w:r>
            <w:r>
              <w:rPr>
                <w:rFonts w:hint="default" w:ascii="Times New Roman" w:hAnsi="Times New Roman" w:eastAsia="仿宋" w:cs="Times New Roman"/>
                <w:color w:val="auto"/>
                <w:sz w:val="24"/>
                <w:szCs w:val="24"/>
                <w:highlight w:val="none"/>
                <w:lang w:val="en-US" w:eastAsia="zh-CN"/>
              </w:rPr>
              <w:t>吐鲁番地区</w:t>
            </w:r>
            <w:r>
              <w:rPr>
                <w:rFonts w:hint="default" w:ascii="Times New Roman" w:hAnsi="Times New Roman" w:eastAsia="仿宋" w:cs="Times New Roman"/>
                <w:color w:val="auto"/>
                <w:sz w:val="24"/>
                <w:szCs w:val="24"/>
                <w:highlight w:val="none"/>
                <w:lang w:eastAsia="zh-CN"/>
              </w:rPr>
              <w:t>鄯善县</w:t>
            </w:r>
            <w:r>
              <w:rPr>
                <w:rFonts w:hint="default" w:ascii="Times New Roman" w:hAnsi="Times New Roman" w:eastAsia="仿宋" w:cs="Times New Roman"/>
                <w:color w:val="auto"/>
                <w:sz w:val="24"/>
                <w:szCs w:val="24"/>
                <w:highlight w:val="none"/>
                <w:lang w:val="en-US" w:eastAsia="zh-CN"/>
              </w:rPr>
              <w:t>七克台镇北东56°方向直线距离36.5千米处</w:t>
            </w:r>
            <w:r>
              <w:rPr>
                <w:rFonts w:hint="default" w:ascii="Times New Roman" w:hAnsi="Times New Roman" w:eastAsia="仿宋" w:cs="Times New Roman"/>
                <w:color w:val="auto"/>
                <w:sz w:val="24"/>
                <w:szCs w:val="24"/>
                <w:lang w:val="en-US" w:eastAsia="zh-CN"/>
              </w:rPr>
              <w:t>，根据《新疆生态功能区划》，项目区属于天山南坡吐鲁番—哈密盆地戈壁荒漠、绿洲农业生态亚区，主要生态服务功能为特色农产品生产、人居环境、旅游。项目区的生态功能区划见表3-1</w:t>
            </w:r>
            <w:r>
              <w:rPr>
                <w:rFonts w:hint="eastAsia" w:ascii="Times New Roman" w:hAnsi="Times New Roman" w:eastAsia="仿宋" w:cs="Times New Roman"/>
                <w:color w:val="auto"/>
                <w:sz w:val="24"/>
                <w:szCs w:val="24"/>
                <w:lang w:val="en-US" w:eastAsia="zh-CN"/>
              </w:rPr>
              <w:t>，详见图3-1：项目区生态功能区划图。</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表3-1项目所在区域生态功能区划</w:t>
            </w:r>
          </w:p>
          <w:tbl>
            <w:tblPr>
              <w:tblStyle w:val="86"/>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03"/>
              <w:gridCol w:w="1219"/>
              <w:gridCol w:w="5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restart"/>
                  <w:tcBorders>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生态功能分区单元</w:t>
                  </w: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Ⅲ天山山地温性草原、森林生态区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生态亚区</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Ⅲ4天山南坡吐鲁番—哈密盆地戈壁荒漠、绿洲农业生态亚区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生态功能区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50．吐鲁番盆地绿洲特色农业与旅游生态功能区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主要生态服务功能</w:t>
                  </w:r>
                </w:p>
              </w:tc>
              <w:tc>
                <w:tcPr>
                  <w:tcW w:w="3505" w:type="pct"/>
                  <w:tcBorders>
                    <w:right w:val="single" w:color="000000" w:sz="4" w:space="0"/>
                  </w:tcBorders>
                  <w:vAlign w:val="top"/>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特色农产品生产、旅游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主要生态环境问题</w:t>
                  </w:r>
                </w:p>
              </w:tc>
              <w:tc>
                <w:tcPr>
                  <w:tcW w:w="3505" w:type="pct"/>
                  <w:tcBorders>
                    <w:right w:val="single" w:color="000000" w:sz="4" w:space="0"/>
                  </w:tcBorders>
                  <w:vAlign w:val="top"/>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水资源短缺、地下水超采、风沙灾害严重、干热风多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主要生态敏感因子、敏感</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程度</w:t>
                  </w:r>
                </w:p>
              </w:tc>
              <w:tc>
                <w:tcPr>
                  <w:tcW w:w="3505" w:type="pct"/>
                  <w:tcBorders>
                    <w:right w:val="single" w:color="000000" w:sz="4" w:space="0"/>
                  </w:tcBorders>
                  <w:vAlign w:val="top"/>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土壤侵蚀极度敏感，土地沙漠化轻度敏感，土壤盐渍化局部地段高度敏感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主要保护目标</w:t>
                  </w:r>
                </w:p>
              </w:tc>
              <w:tc>
                <w:tcPr>
                  <w:tcW w:w="3505" w:type="pct"/>
                  <w:tcBorders>
                    <w:right w:val="single" w:color="000000" w:sz="4" w:space="0"/>
                  </w:tcBorders>
                  <w:vAlign w:val="top"/>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保护文物古迹、保护坎儿井、保护农田、保护荒漠植被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adjustRightInd w:val="0"/>
                    <w:snapToGrid w:val="0"/>
                    <w:spacing w:line="240" w:lineRule="auto"/>
                    <w:ind w:firstLine="420"/>
                    <w:jc w:val="center"/>
                    <w:rPr>
                      <w:rFonts w:hint="default" w:ascii="Times New Roman" w:hAnsi="Times New Roman" w:eastAsia="仿宋" w:cs="Times New Roman"/>
                      <w:color w:val="auto"/>
                      <w:kern w:val="2"/>
                      <w:sz w:val="21"/>
                      <w:szCs w:val="21"/>
                      <w:highlight w:val="none"/>
                      <w:lang w:val="en-US" w:eastAsia="zh-CN" w:bidi="ar-SA"/>
                    </w:rPr>
                  </w:pPr>
                </w:p>
                <w:p>
                  <w:pPr>
                    <w:adjustRightInd w:val="0"/>
                    <w:snapToGrid w:val="0"/>
                    <w:spacing w:line="240" w:lineRule="auto"/>
                    <w:ind w:firstLine="42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主要保护措施</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地表水和地下水调控开发、节水灌溉、建设防护林、加强文物保护</w:t>
                  </w:r>
                </w:p>
              </w:tc>
            </w:tr>
          </w:tbl>
          <w:p>
            <w:pPr>
              <w:adjustRightInd w:val="0"/>
              <w:snapToGrid w:val="0"/>
              <w:ind w:left="0" w:leftChars="0"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经调查项目所在区域植物群落单一，植被稀疏发育。经现场调查项目区内无珍稀动植物，无国家和地方各级人民政府批准设立的“自然保护区、森林公园、风景名胜区文物古迹、地质遗址”等特殊的环境保护目标，无重点保护野生动植物分布。根据《新疆维吾尔自治区主体功能区规划》，将新疆国土空间划分为重点开发、限制开发和禁止开发三类主体功能区。本项目不属于上述三类功能区，为允许开发区域。</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（3）土地利用现状调查</w:t>
            </w:r>
          </w:p>
          <w:p>
            <w:pPr>
              <w:adjustRightInd w:val="0"/>
              <w:snapToGrid w:val="0"/>
              <w:ind w:firstLine="420"/>
              <w:rPr>
                <w:rFonts w:hint="default" w:ascii="Times New Roman" w:hAnsi="Times New Roman" w:eastAsia="仿宋" w:cs="Times New Roman"/>
                <w:color w:val="auto"/>
                <w:kern w:val="0"/>
                <w:szCs w:val="21"/>
                <w:highlight w:val="none"/>
              </w:rPr>
            </w:pPr>
            <w:r>
              <w:rPr>
                <w:rFonts w:hint="default" w:ascii="Times New Roman" w:hAnsi="Times New Roman" w:eastAsia="仿宋" w:cs="Times New Roman"/>
                <w:color w:val="auto"/>
                <w:sz w:val="24"/>
                <w:szCs w:val="24"/>
                <w:highlight w:val="none"/>
              </w:rPr>
              <w:t>依据</w:t>
            </w:r>
            <w:r>
              <w:rPr>
                <w:rFonts w:hint="default" w:ascii="Times New Roman" w:hAnsi="Times New Roman" w:eastAsia="仿宋" w:cs="Times New Roman"/>
                <w:color w:val="auto"/>
                <w:sz w:val="24"/>
                <w:szCs w:val="24"/>
                <w:highlight w:val="none"/>
                <w:lang w:eastAsia="zh-CN"/>
              </w:rPr>
              <w:t>鄯善县自然资源局</w:t>
            </w:r>
            <w:r>
              <w:rPr>
                <w:rFonts w:hint="default" w:ascii="Times New Roman" w:hAnsi="Times New Roman" w:eastAsia="仿宋" w:cs="Times New Roman"/>
                <w:color w:val="auto"/>
                <w:sz w:val="24"/>
                <w:szCs w:val="24"/>
                <w:highlight w:val="none"/>
              </w:rPr>
              <w:t>出具的《</w:t>
            </w:r>
            <w:r>
              <w:rPr>
                <w:rFonts w:hint="default" w:ascii="Times New Roman" w:hAnsi="Times New Roman" w:eastAsia="仿宋" w:cs="Times New Roman"/>
                <w:color w:val="auto"/>
                <w:sz w:val="24"/>
                <w:szCs w:val="24"/>
                <w:highlight w:val="none"/>
                <w:lang w:eastAsia="zh-CN"/>
              </w:rPr>
              <w:t>关于</w:t>
            </w:r>
            <w:r>
              <w:rPr>
                <w:rFonts w:hint="eastAsia" w:eastAsia="仿宋" w:cs="Times New Roman"/>
                <w:color w:val="auto"/>
                <w:sz w:val="24"/>
                <w:szCs w:val="24"/>
                <w:highlight w:val="none"/>
                <w:lang w:eastAsia="zh-CN"/>
              </w:rPr>
              <w:t>新疆鄯善县红台西建筑用砂矿</w:t>
            </w:r>
            <w:r>
              <w:rPr>
                <w:rFonts w:hint="default" w:ascii="Times New Roman" w:hAnsi="Times New Roman" w:eastAsia="仿宋" w:cs="Times New Roman"/>
                <w:color w:val="auto"/>
                <w:sz w:val="24"/>
                <w:szCs w:val="24"/>
                <w:highlight w:val="none"/>
                <w:lang w:eastAsia="zh-CN"/>
              </w:rPr>
              <w:t>土地属性的情况说明</w:t>
            </w:r>
            <w:r>
              <w:rPr>
                <w:rFonts w:hint="default" w:ascii="Times New Roman" w:hAnsi="Times New Roman" w:eastAsia="仿宋" w:cs="Times New Roman"/>
                <w:color w:val="auto"/>
                <w:sz w:val="24"/>
                <w:szCs w:val="24"/>
                <w:highlight w:val="none"/>
              </w:rPr>
              <w:t>》（资料来源于第三次全国土地调查数据库），结合《国土空间调查、规划、用途管制用地用海分类指南（试行）》（自然资源部2020年11月），矿区土地类型为</w:t>
            </w:r>
            <w:r>
              <w:rPr>
                <w:rFonts w:hint="default" w:ascii="Times New Roman" w:hAnsi="Times New Roman" w:eastAsia="仿宋" w:cs="Times New Roman"/>
                <w:color w:val="auto"/>
                <w:sz w:val="24"/>
                <w:szCs w:val="24"/>
                <w:highlight w:val="none"/>
                <w:lang w:val="en-US" w:eastAsia="zh-CN"/>
              </w:rPr>
              <w:t>其他土地类</w:t>
            </w:r>
            <w:r>
              <w:rPr>
                <w:rFonts w:hint="default" w:ascii="Times New Roman" w:hAnsi="Times New Roman" w:eastAsia="仿宋" w:cs="Times New Roman"/>
                <w:color w:val="auto"/>
                <w:sz w:val="24"/>
                <w:szCs w:val="24"/>
                <w:highlight w:val="none"/>
              </w:rPr>
              <w:t>的</w:t>
            </w:r>
            <w:r>
              <w:rPr>
                <w:rFonts w:hint="default" w:ascii="Times New Roman" w:hAnsi="Times New Roman" w:eastAsia="仿宋" w:cs="Times New Roman"/>
                <w:color w:val="auto"/>
                <w:sz w:val="24"/>
                <w:szCs w:val="24"/>
                <w:highlight w:val="none"/>
                <w:lang w:val="en-US" w:eastAsia="zh-CN"/>
              </w:rPr>
              <w:t>裸岩石砾地</w:t>
            </w:r>
            <w:r>
              <w:rPr>
                <w:rFonts w:hint="default" w:ascii="Times New Roman" w:hAnsi="Times New Roman" w:eastAsia="仿宋" w:cs="Times New Roman"/>
                <w:color w:val="auto"/>
                <w:sz w:val="24"/>
                <w:szCs w:val="24"/>
                <w:highlight w:val="none"/>
              </w:rPr>
              <w:t>，土地权属为国有土地</w:t>
            </w:r>
            <w:r>
              <w:rPr>
                <w:rFonts w:hint="eastAsia" w:eastAsia="仿宋" w:cs="Times New Roman"/>
                <w:color w:val="auto"/>
                <w:sz w:val="24"/>
                <w:szCs w:val="24"/>
                <w:highlight w:val="none"/>
                <w:lang w:val="en-US" w:eastAsia="zh-CN"/>
              </w:rPr>
              <w:t>，详见图3-2：项目区土地利用现状图。</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（4）植被现状调查及评价</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矿区内由于干旱缺水，矿区内几无植被，仅个别沟谷见零星红柳、芦苇、骆驼刺等植物生长，大部分地区砂砾裸露，物理风化较强。群落结构简单，植被覆盖率小于1%</w:t>
            </w:r>
            <w:r>
              <w:rPr>
                <w:rFonts w:hint="eastAsia" w:eastAsia="仿宋" w:cs="Times New Roman"/>
                <w:color w:val="auto"/>
                <w:sz w:val="24"/>
                <w:szCs w:val="24"/>
                <w:highlight w:val="none"/>
                <w:lang w:val="en-US" w:eastAsia="zh-CN"/>
              </w:rPr>
              <w:t>，详见图3-3：项目区土壤植被类型图。</w:t>
            </w:r>
          </w:p>
          <w:p>
            <w:pPr>
              <w:adjustRightInd w:val="0"/>
              <w:snapToGrid w:val="0"/>
              <w:ind w:firstLine="420"/>
              <w:rPr>
                <w:rFonts w:hint="default" w:ascii="Times New Roman" w:hAnsi="Times New Roman" w:eastAsia="宋体" w:cs="Times New Roman"/>
                <w:color w:val="auto"/>
                <w:w w:val="110"/>
                <w:kern w:val="0"/>
                <w:sz w:val="24"/>
                <w:szCs w:val="20"/>
              </w:rPr>
            </w:pPr>
            <w:r>
              <w:rPr>
                <w:rFonts w:hint="default" w:ascii="Times New Roman" w:hAnsi="Times New Roman" w:eastAsia="仿宋" w:cs="Times New Roman"/>
                <w:color w:val="auto"/>
                <w:sz w:val="24"/>
                <w:szCs w:val="24"/>
                <w:highlight w:val="none"/>
                <w:lang w:val="en-US" w:eastAsia="zh-CN"/>
              </w:rPr>
              <w:t>根据现场踏勘，矿区范围内未发现国家及自治区重点野生植物，也未发现需要特殊保护的野生植物分布区。根据实地调查结果统计，评价区内主要物种及分布环境见表</w:t>
            </w:r>
            <w:r>
              <w:rPr>
                <w:rFonts w:hint="eastAsia" w:ascii="Times New Roman" w:hAnsi="Times New Roman" w:eastAsia="仿宋" w:cs="Times New Roman"/>
                <w:color w:val="auto"/>
                <w:sz w:val="24"/>
                <w:szCs w:val="24"/>
                <w:highlight w:val="none"/>
                <w:lang w:val="en-US" w:eastAsia="zh-CN"/>
              </w:rPr>
              <w:t>3-</w:t>
            </w: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eastAsia="zh-CN"/>
              </w:rPr>
              <w:t>。</w:t>
            </w:r>
          </w:p>
          <w:p>
            <w:pPr>
              <w:adjustRightInd w:val="0"/>
              <w:snapToGrid w:val="0"/>
              <w:ind w:firstLine="420"/>
              <w:jc w:val="center"/>
              <w:rPr>
                <w:rFonts w:hint="default" w:ascii="Times New Roman" w:hAnsi="Times New Roman" w:eastAsia="仿宋" w:cs="Times New Roman"/>
                <w:b/>
                <w:bCs/>
                <w:color w:val="auto"/>
                <w:sz w:val="21"/>
                <w:szCs w:val="21"/>
                <w:highlight w:val="none"/>
                <w:lang w:val="en-US" w:eastAsia="zh-CN"/>
              </w:rPr>
            </w:pPr>
            <w:r>
              <w:rPr>
                <w:rFonts w:hint="eastAsia" w:ascii="Times New Roman" w:hAnsi="Times New Roman" w:eastAsia="仿宋" w:cs="Times New Roman"/>
                <w:b/>
                <w:bCs/>
                <w:color w:val="auto"/>
                <w:sz w:val="21"/>
                <w:szCs w:val="21"/>
                <w:highlight w:val="none"/>
                <w:lang w:val="en-US" w:eastAsia="zh-CN"/>
              </w:rPr>
              <w:t>表3-</w:t>
            </w:r>
            <w:r>
              <w:rPr>
                <w:rFonts w:hint="eastAsia" w:eastAsia="仿宋" w:cs="Times New Roman"/>
                <w:b/>
                <w:bCs/>
                <w:color w:val="auto"/>
                <w:sz w:val="21"/>
                <w:szCs w:val="21"/>
                <w:highlight w:val="none"/>
                <w:lang w:val="en-US" w:eastAsia="zh-CN"/>
              </w:rPr>
              <w:t>2</w:t>
            </w:r>
            <w:r>
              <w:rPr>
                <w:rFonts w:hint="eastAsia" w:ascii="Times New Roman" w:hAnsi="Times New Roman" w:eastAsia="仿宋" w:cs="Times New Roman"/>
                <w:b/>
                <w:bCs/>
                <w:color w:val="auto"/>
                <w:sz w:val="21"/>
                <w:szCs w:val="21"/>
                <w:highlight w:val="none"/>
                <w:lang w:val="en-US" w:eastAsia="zh-CN"/>
              </w:rPr>
              <w:t xml:space="preserve">   评价区常见高等植物种类</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2"/>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中文名</w:t>
                  </w:r>
                </w:p>
              </w:tc>
              <w:tc>
                <w:tcPr>
                  <w:tcW w:w="2535" w:type="pct"/>
                </w:tcPr>
                <w:p>
                  <w:pPr>
                    <w:adjustRightInd w:val="0"/>
                    <w:snapToGrid w:val="0"/>
                    <w:spacing w:line="240" w:lineRule="auto"/>
                    <w:ind w:firstLine="420"/>
                    <w:jc w:val="center"/>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梭梭</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Haloxylon ammodendron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盐生假木贼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Anabasis salsa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展枝假木贼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Anabasis truncata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高枝假木贼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Anabais elatior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琵琶柴</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Reaumuria soongorica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柽柳</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Tamarix spp.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骆驼刺</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Karelinia caspia</w:t>
                  </w:r>
                </w:p>
              </w:tc>
            </w:tr>
          </w:tbl>
          <w:p>
            <w:pPr>
              <w:numPr>
                <w:ilvl w:val="0"/>
                <w:numId w:val="2"/>
              </w:num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土壤现状调查及评价</w:t>
            </w:r>
          </w:p>
          <w:p>
            <w:pPr>
              <w:numPr>
                <w:ilvl w:val="0"/>
                <w:numId w:val="0"/>
              </w:numPr>
              <w:adjustRightInd w:val="0"/>
              <w:snapToGrid w:val="0"/>
              <w:ind w:firstLine="480" w:firstLineChars="200"/>
              <w:rPr>
                <w:rFonts w:hint="default" w:ascii="Times New Roman" w:hAnsi="Times New Roman" w:eastAsia="仿宋" w:cs="Times New Roman"/>
                <w:color w:val="auto"/>
                <w:sz w:val="24"/>
                <w:szCs w:val="24"/>
                <w:highlight w:val="yellow"/>
                <w:lang w:val="en-US" w:eastAsia="zh-CN"/>
              </w:rPr>
            </w:pPr>
            <w:r>
              <w:rPr>
                <w:rFonts w:hint="default" w:ascii="Times New Roman" w:hAnsi="Times New Roman" w:eastAsia="仿宋" w:cs="Times New Roman"/>
                <w:color w:val="auto"/>
                <w:sz w:val="24"/>
              </w:rPr>
              <w:t>矿区土壤类型为砂质棕</w:t>
            </w:r>
            <w:r>
              <w:rPr>
                <w:rFonts w:hint="default" w:ascii="Times New Roman" w:hAnsi="Times New Roman" w:eastAsia="仿宋" w:cs="Times New Roman"/>
                <w:color w:val="auto"/>
                <w:sz w:val="24"/>
                <w:lang w:val="en-US" w:eastAsia="zh-CN"/>
              </w:rPr>
              <w:t>漠</w:t>
            </w:r>
            <w:r>
              <w:rPr>
                <w:rFonts w:hint="default" w:ascii="Times New Roman" w:hAnsi="Times New Roman" w:eastAsia="仿宋" w:cs="Times New Roman"/>
                <w:color w:val="auto"/>
                <w:sz w:val="24"/>
              </w:rPr>
              <w:t>土，</w:t>
            </w:r>
            <w:r>
              <w:rPr>
                <w:rFonts w:hint="default" w:ascii="Times New Roman" w:hAnsi="Times New Roman" w:eastAsia="仿宋" w:cs="Times New Roman"/>
                <w:color w:val="auto"/>
                <w:sz w:val="24"/>
                <w:lang w:val="en-US" w:eastAsia="zh-CN"/>
              </w:rPr>
              <w:t>成土母质多为沙砾质沉积物，根据普查地质报告浅井数据，未见覆盖层，根据本次土壤分析结果，</w:t>
            </w:r>
            <w:r>
              <w:rPr>
                <w:rFonts w:hint="eastAsia" w:eastAsia="仿宋" w:cs="Times New Roman"/>
                <w:color w:val="auto"/>
                <w:sz w:val="24"/>
                <w:lang w:val="en-US" w:eastAsia="zh-CN"/>
              </w:rPr>
              <w:t>p</w:t>
            </w:r>
            <w:r>
              <w:rPr>
                <w:rFonts w:hint="default" w:ascii="Times New Roman" w:hAnsi="Times New Roman" w:eastAsia="仿宋" w:cs="Times New Roman"/>
                <w:color w:val="auto"/>
                <w:sz w:val="24"/>
                <w:lang w:val="en-US" w:eastAsia="zh-CN"/>
              </w:rPr>
              <w:t>H值为8.</w:t>
            </w:r>
            <w:r>
              <w:rPr>
                <w:rFonts w:hint="eastAsia" w:eastAsia="仿宋" w:cs="Times New Roman"/>
                <w:color w:val="auto"/>
                <w:sz w:val="24"/>
                <w:lang w:val="en-US" w:eastAsia="zh-CN"/>
              </w:rPr>
              <w:t>3</w:t>
            </w:r>
            <w:r>
              <w:rPr>
                <w:rFonts w:hint="default" w:ascii="Times New Roman" w:hAnsi="Times New Roman" w:eastAsia="仿宋" w:cs="Times New Roman"/>
                <w:color w:val="auto"/>
                <w:sz w:val="24"/>
                <w:lang w:val="en-US" w:eastAsia="zh-CN"/>
              </w:rPr>
              <w:t>4，有机质含量一般为3.50g/kg。土壤肥力偏低，有机质及氮等</w:t>
            </w:r>
            <w:r>
              <w:rPr>
                <w:rFonts w:hint="eastAsia" w:eastAsia="仿宋" w:cs="Times New Roman"/>
                <w:color w:val="auto"/>
                <w:sz w:val="24"/>
                <w:lang w:val="en-US" w:eastAsia="zh-CN"/>
              </w:rPr>
              <w:t>土壤养分</w:t>
            </w:r>
            <w:r>
              <w:rPr>
                <w:rFonts w:hint="default" w:ascii="Times New Roman" w:hAnsi="Times New Roman" w:eastAsia="仿宋" w:cs="Times New Roman"/>
                <w:color w:val="auto"/>
                <w:sz w:val="24"/>
                <w:lang w:val="en-US" w:eastAsia="zh-CN"/>
              </w:rPr>
              <w:t>较低，农业利用价值不大</w:t>
            </w:r>
            <w:r>
              <w:rPr>
                <w:rFonts w:hint="default" w:ascii="Times New Roman" w:hAnsi="Times New Roman" w:eastAsia="仿宋" w:cs="Times New Roman"/>
                <w:color w:val="auto"/>
                <w:sz w:val="24"/>
                <w:szCs w:val="24"/>
                <w:lang w:val="en-US" w:eastAsia="zh-CN"/>
              </w:rPr>
              <w:t>。</w:t>
            </w:r>
          </w:p>
          <w:p>
            <w:pPr>
              <w:numPr>
                <w:ilvl w:val="0"/>
                <w:numId w:val="2"/>
              </w:num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野生动物现状调查及评价</w:t>
            </w:r>
          </w:p>
          <w:p>
            <w:pPr>
              <w:pStyle w:val="2"/>
              <w:keepNext w:val="0"/>
              <w:keepLines w:val="0"/>
              <w:pageBreakBefore w:val="0"/>
              <w:widowControl w:val="0"/>
              <w:kinsoku/>
              <w:wordWrap/>
              <w:overflowPunct/>
              <w:topLinePunct w:val="0"/>
              <w:autoSpaceDE/>
              <w:autoSpaceDN/>
              <w:bidi w:val="0"/>
              <w:adjustRightInd w:val="0"/>
              <w:spacing w:before="0" w:after="0" w:line="360" w:lineRule="auto"/>
              <w:ind w:left="0" w:right="0" w:firstLine="480" w:firstLineChars="200"/>
              <w:textAlignment w:val="auto"/>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color w:val="auto"/>
                <w:sz w:val="24"/>
                <w:szCs w:val="24"/>
                <w:highlight w:val="none"/>
                <w:lang w:val="en-US" w:eastAsia="zh-CN"/>
              </w:rPr>
              <w:t>根据现场踏勘，</w:t>
            </w:r>
            <w:r>
              <w:rPr>
                <w:rFonts w:hint="default" w:ascii="Times New Roman" w:hAnsi="Times New Roman" w:eastAsia="仿宋" w:cs="Times New Roman"/>
                <w:b w:val="0"/>
                <w:bCs w:val="0"/>
                <w:color w:val="auto"/>
                <w:sz w:val="24"/>
                <w:szCs w:val="24"/>
                <w:highlight w:val="none"/>
                <w:lang w:val="en-US" w:eastAsia="zh-CN"/>
              </w:rPr>
              <w:t>本项目所在地不涉及国家保护动物，项目区主要分布动物有少量爬行类、鸟类及兽类等小型野生动物，如灰仓鼠、麻蜥等。</w:t>
            </w:r>
          </w:p>
          <w:p>
            <w:pPr>
              <w:adjustRightInd w:val="0"/>
              <w:snapToGrid w:val="0"/>
              <w:ind w:firstLine="420"/>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zh-CN" w:eastAsia="zh-CN" w:bidi="ar-SA"/>
              </w:rPr>
              <w:t>各种野生脊椎动物分布状况见表</w:t>
            </w:r>
            <w:r>
              <w:rPr>
                <w:rFonts w:hint="eastAsia" w:ascii="Times New Roman" w:hAnsi="Times New Roman" w:eastAsia="仿宋" w:cs="Times New Roman"/>
                <w:color w:val="auto"/>
                <w:kern w:val="0"/>
                <w:sz w:val="24"/>
                <w:szCs w:val="24"/>
                <w:highlight w:val="none"/>
                <w:lang w:val="en-US" w:eastAsia="zh-CN" w:bidi="ar-SA"/>
              </w:rPr>
              <w:t>3-</w:t>
            </w:r>
            <w:r>
              <w:rPr>
                <w:rFonts w:hint="eastAsia" w:eastAsia="仿宋" w:cs="Times New Roman"/>
                <w:color w:val="auto"/>
                <w:kern w:val="0"/>
                <w:sz w:val="24"/>
                <w:szCs w:val="24"/>
                <w:highlight w:val="none"/>
                <w:lang w:val="en-US" w:eastAsia="zh-CN" w:bidi="ar-SA"/>
              </w:rPr>
              <w:t>3</w:t>
            </w:r>
            <w:r>
              <w:rPr>
                <w:rFonts w:hint="eastAsia" w:ascii="Times New Roman" w:hAnsi="Times New Roman" w:eastAsia="仿宋" w:cs="Times New Roman"/>
                <w:color w:val="auto"/>
                <w:kern w:val="0"/>
                <w:sz w:val="24"/>
                <w:szCs w:val="24"/>
                <w:highlight w:val="none"/>
                <w:lang w:val="en-US" w:eastAsia="zh-CN" w:bidi="ar-SA"/>
              </w:rPr>
              <w:t>。</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kern w:val="0"/>
                <w:sz w:val="21"/>
                <w:szCs w:val="21"/>
                <w:highlight w:val="none"/>
                <w:lang w:val="en-US" w:eastAsia="zh-CN" w:bidi="ar-SA"/>
              </w:rPr>
            </w:pPr>
            <w:r>
              <w:rPr>
                <w:rFonts w:hint="eastAsia" w:ascii="Times New Roman" w:hAnsi="Times New Roman" w:eastAsia="仿宋" w:cs="Times New Roman"/>
                <w:b/>
                <w:bCs/>
                <w:color w:val="auto"/>
                <w:kern w:val="0"/>
                <w:sz w:val="21"/>
                <w:szCs w:val="21"/>
                <w:highlight w:val="none"/>
                <w:lang w:val="en-US" w:eastAsia="zh-CN" w:bidi="ar-SA"/>
              </w:rPr>
              <w:t>表3-</w:t>
            </w:r>
            <w:r>
              <w:rPr>
                <w:rFonts w:hint="eastAsia" w:eastAsia="仿宋" w:cs="Times New Roman"/>
                <w:b/>
                <w:bCs/>
                <w:color w:val="auto"/>
                <w:kern w:val="0"/>
                <w:sz w:val="21"/>
                <w:szCs w:val="21"/>
                <w:highlight w:val="none"/>
                <w:lang w:val="en-US" w:eastAsia="zh-CN" w:bidi="ar-SA"/>
              </w:rPr>
              <w:t>3</w:t>
            </w:r>
            <w:r>
              <w:rPr>
                <w:rFonts w:hint="eastAsia" w:ascii="Times New Roman" w:hAnsi="Times New Roman" w:eastAsia="仿宋" w:cs="Times New Roman"/>
                <w:b/>
                <w:bCs/>
                <w:color w:val="auto"/>
                <w:kern w:val="0"/>
                <w:sz w:val="21"/>
                <w:szCs w:val="21"/>
                <w:highlight w:val="none"/>
                <w:lang w:val="en-US" w:eastAsia="zh-CN" w:bidi="ar-SA"/>
              </w:rPr>
              <w:t xml:space="preserve">   评价区主要动物名录</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118"/>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序号</w:t>
                  </w:r>
                </w:p>
              </w:tc>
              <w:tc>
                <w:tcPr>
                  <w:tcW w:w="1307"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中名</w:t>
                  </w:r>
                </w:p>
              </w:tc>
              <w:tc>
                <w:tcPr>
                  <w:tcW w:w="2654"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1</w:t>
                  </w:r>
                </w:p>
              </w:tc>
              <w:tc>
                <w:tcPr>
                  <w:tcW w:w="1307"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快步麻蜥</w:t>
                  </w:r>
                </w:p>
              </w:tc>
              <w:tc>
                <w:tcPr>
                  <w:tcW w:w="2654"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Eremias velox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2</w:t>
                  </w:r>
                </w:p>
              </w:tc>
              <w:tc>
                <w:tcPr>
                  <w:tcW w:w="1307"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黄脊游蛇</w:t>
                  </w:r>
                </w:p>
              </w:tc>
              <w:tc>
                <w:tcPr>
                  <w:tcW w:w="2654"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Coluber spinalis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3</w:t>
                  </w:r>
                </w:p>
              </w:tc>
              <w:tc>
                <w:tcPr>
                  <w:tcW w:w="1307"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旱地沙蜥 </w:t>
                  </w:r>
                </w:p>
              </w:tc>
              <w:tc>
                <w:tcPr>
                  <w:tcW w:w="2654"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Phrynocephalus helioseopus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4</w:t>
                  </w:r>
                </w:p>
              </w:tc>
              <w:tc>
                <w:tcPr>
                  <w:tcW w:w="1307"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毛脚燕</w:t>
                  </w:r>
                </w:p>
              </w:tc>
              <w:tc>
                <w:tcPr>
                  <w:tcW w:w="2654"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Delichon urbica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5</w:t>
                  </w:r>
                </w:p>
              </w:tc>
              <w:tc>
                <w:tcPr>
                  <w:tcW w:w="1307"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云 雀 </w:t>
                  </w:r>
                </w:p>
              </w:tc>
              <w:tc>
                <w:tcPr>
                  <w:tcW w:w="2654"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Alauda arvensis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6</w:t>
                  </w:r>
                </w:p>
              </w:tc>
              <w:tc>
                <w:tcPr>
                  <w:tcW w:w="1307"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小五趾跳鼠 </w:t>
                  </w:r>
                </w:p>
              </w:tc>
              <w:tc>
                <w:tcPr>
                  <w:tcW w:w="2654"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Allactage elater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7</w:t>
                  </w:r>
                </w:p>
              </w:tc>
              <w:tc>
                <w:tcPr>
                  <w:tcW w:w="1307"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子午沙鼠</w:t>
                  </w:r>
                </w:p>
              </w:tc>
              <w:tc>
                <w:tcPr>
                  <w:tcW w:w="2654"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Meriones meridianus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8</w:t>
                  </w:r>
                </w:p>
              </w:tc>
              <w:tc>
                <w:tcPr>
                  <w:tcW w:w="1307"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大沙鼠 </w:t>
                  </w:r>
                </w:p>
              </w:tc>
              <w:tc>
                <w:tcPr>
                  <w:tcW w:w="2654" w:type="pc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Rhombomys opimus  </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仿宋" w:cs="Times New Roman"/>
                <w:color w:val="auto"/>
                <w:kern w:val="0"/>
                <w:sz w:val="24"/>
                <w:szCs w:val="24"/>
                <w:highlight w:val="none"/>
                <w:lang w:val="zh-CN" w:eastAsia="zh-CN" w:bidi="ar-SA"/>
              </w:rPr>
            </w:pPr>
            <w:r>
              <w:rPr>
                <w:rFonts w:hint="default" w:ascii="Times New Roman" w:hAnsi="Times New Roman" w:eastAsia="仿宋" w:cs="Times New Roman"/>
                <w:color w:val="auto"/>
                <w:kern w:val="0"/>
                <w:sz w:val="24"/>
                <w:szCs w:val="24"/>
                <w:highlight w:val="none"/>
                <w:lang w:val="zh-CN" w:eastAsia="zh-CN" w:bidi="ar-SA"/>
              </w:rPr>
              <w:t>由于</w:t>
            </w:r>
            <w:r>
              <w:rPr>
                <w:rFonts w:hint="eastAsia" w:ascii="Times New Roman" w:hAnsi="Times New Roman" w:eastAsia="仿宋" w:cs="Times New Roman"/>
                <w:color w:val="auto"/>
                <w:kern w:val="0"/>
                <w:sz w:val="24"/>
                <w:szCs w:val="24"/>
                <w:highlight w:val="none"/>
                <w:lang w:val="en-US" w:eastAsia="zh-CN" w:bidi="ar-SA"/>
              </w:rPr>
              <w:t>项目区</w:t>
            </w:r>
            <w:r>
              <w:rPr>
                <w:rFonts w:hint="default" w:ascii="Times New Roman" w:hAnsi="Times New Roman" w:eastAsia="仿宋" w:cs="Times New Roman"/>
                <w:color w:val="auto"/>
                <w:kern w:val="0"/>
                <w:sz w:val="24"/>
                <w:szCs w:val="24"/>
                <w:highlight w:val="none"/>
                <w:lang w:val="zh-CN" w:eastAsia="zh-CN" w:bidi="ar-SA"/>
              </w:rPr>
              <w:t>地</w:t>
            </w:r>
            <w:r>
              <w:rPr>
                <w:rFonts w:hint="eastAsia" w:ascii="Times New Roman" w:hAnsi="Times New Roman" w:eastAsia="仿宋" w:cs="Times New Roman"/>
                <w:color w:val="auto"/>
                <w:kern w:val="0"/>
                <w:sz w:val="24"/>
                <w:szCs w:val="24"/>
                <w:highlight w:val="none"/>
                <w:lang w:val="en-US" w:eastAsia="zh-CN" w:bidi="ar-SA"/>
              </w:rPr>
              <w:t>处</w:t>
            </w:r>
            <w:r>
              <w:rPr>
                <w:rFonts w:hint="default" w:ascii="Times New Roman" w:hAnsi="Times New Roman" w:eastAsia="仿宋" w:cs="Times New Roman"/>
                <w:color w:val="auto"/>
                <w:kern w:val="0"/>
                <w:sz w:val="24"/>
                <w:szCs w:val="24"/>
                <w:highlight w:val="none"/>
                <w:lang w:val="zh-CN" w:eastAsia="zh-CN" w:bidi="ar-SA"/>
              </w:rPr>
              <w:t>严酷的气候条件，野生动物分布种类少，没有区域特有种，也无保护动物。</w:t>
            </w:r>
          </w:p>
          <w:p>
            <w:pPr>
              <w:pStyle w:val="2"/>
              <w:keepNext w:val="0"/>
              <w:keepLines w:val="0"/>
              <w:pageBreakBefore w:val="0"/>
              <w:widowControl w:val="0"/>
              <w:kinsoku/>
              <w:wordWrap/>
              <w:overflowPunct/>
              <w:topLinePunct w:val="0"/>
              <w:autoSpaceDE/>
              <w:autoSpaceDN/>
              <w:bidi w:val="0"/>
              <w:adjustRightInd w:val="0"/>
              <w:spacing w:before="0" w:after="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rPr>
              <w:t>2、环境空气现状</w:t>
            </w:r>
            <w:r>
              <w:rPr>
                <w:rFonts w:hint="default" w:ascii="Times New Roman" w:hAnsi="Times New Roman" w:eastAsia="仿宋" w:cs="Times New Roman"/>
                <w:b/>
                <w:bCs/>
                <w:color w:val="auto"/>
                <w:sz w:val="24"/>
                <w:szCs w:val="24"/>
                <w:lang w:val="en-US" w:eastAsia="zh-CN"/>
              </w:rPr>
              <w:t>调查</w:t>
            </w:r>
          </w:p>
          <w:p>
            <w:pPr>
              <w:pStyle w:val="85"/>
              <w:keepNext w:val="0"/>
              <w:keepLines w:val="0"/>
              <w:pageBreakBefore w:val="0"/>
              <w:widowControl w:val="0"/>
              <w:kinsoku/>
              <w:wordWrap/>
              <w:overflowPunct/>
              <w:topLinePunct w:val="0"/>
              <w:autoSpaceDE/>
              <w:autoSpaceDN/>
              <w:bidi w:val="0"/>
              <w:spacing w:line="360" w:lineRule="auto"/>
              <w:ind w:left="0" w:right="0" w:firstLine="482" w:firstLineChars="20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2.1基本污染物环境质量现状评价</w:t>
            </w:r>
          </w:p>
          <w:p>
            <w:pPr>
              <w:pStyle w:val="85"/>
              <w:keepNext w:val="0"/>
              <w:keepLines w:val="0"/>
              <w:pageBreakBefore w:val="0"/>
              <w:widowControl w:val="0"/>
              <w:kinsoku/>
              <w:wordWrap/>
              <w:overflowPunct/>
              <w:topLinePunct w:val="0"/>
              <w:autoSpaceDE/>
              <w:autoSpaceDN/>
              <w:bidi w:val="0"/>
              <w:spacing w:line="360" w:lineRule="auto"/>
              <w:ind w:left="0" w:right="0" w:firstLine="468" w:firstLineChars="200"/>
              <w:textAlignment w:val="auto"/>
              <w:rPr>
                <w:rFonts w:hint="default" w:ascii="Times New Roman" w:hAnsi="Times New Roman" w:eastAsia="仿宋" w:cs="Times New Roman"/>
                <w:b w:val="0"/>
                <w:bCs w:val="0"/>
                <w:color w:val="auto"/>
              </w:rPr>
            </w:pPr>
            <w:r>
              <w:rPr>
                <w:rFonts w:hint="eastAsia" w:ascii="Times New Roman" w:hAnsi="Times New Roman" w:eastAsia="仿宋" w:cs="Times New Roman"/>
                <w:b w:val="0"/>
                <w:bCs w:val="0"/>
                <w:color w:val="auto"/>
                <w:spacing w:val="-3"/>
                <w:lang w:val="en-US" w:eastAsia="zh-CN"/>
              </w:rPr>
              <w:t>（1）</w:t>
            </w:r>
            <w:r>
              <w:rPr>
                <w:rFonts w:hint="default" w:ascii="Times New Roman" w:hAnsi="Times New Roman" w:eastAsia="仿宋" w:cs="Times New Roman"/>
                <w:b w:val="0"/>
                <w:bCs w:val="0"/>
                <w:color w:val="auto"/>
                <w:spacing w:val="-3"/>
              </w:rPr>
              <w:t>数据来源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项目所在区域执行空气质量二类功能区标准，大气基本污染物环境质量现状达标判定采用环境空气质量模型技术支持服务系统（</w:t>
            </w:r>
            <w:r>
              <w:rPr>
                <w:rFonts w:hint="default" w:ascii="Times New Roman" w:hAnsi="Times New Roman" w:eastAsia="仿宋" w:cs="Times New Roman"/>
                <w:color w:val="auto"/>
                <w:sz w:val="24"/>
                <w:szCs w:val="24"/>
                <w:lang w:val="zh-CN" w:eastAsia="zh-CN"/>
              </w:rPr>
              <w:fldChar w:fldCharType="begin"/>
            </w:r>
            <w:r>
              <w:rPr>
                <w:rFonts w:hint="default" w:ascii="Times New Roman" w:hAnsi="Times New Roman" w:eastAsia="仿宋" w:cs="Times New Roman"/>
                <w:color w:val="auto"/>
                <w:sz w:val="24"/>
                <w:szCs w:val="24"/>
                <w:lang w:val="zh-CN" w:eastAsia="zh-CN"/>
              </w:rPr>
              <w:instrText xml:space="preserve"> HYPERLINK "http://data.lem.org.cn/eamds/apply/tostepone.html" </w:instrText>
            </w:r>
            <w:r>
              <w:rPr>
                <w:rFonts w:hint="default" w:ascii="Times New Roman" w:hAnsi="Times New Roman" w:eastAsia="仿宋" w:cs="Times New Roman"/>
                <w:color w:val="auto"/>
                <w:sz w:val="24"/>
                <w:szCs w:val="24"/>
                <w:lang w:val="zh-CN" w:eastAsia="zh-CN"/>
              </w:rPr>
              <w:fldChar w:fldCharType="separate"/>
            </w:r>
            <w:r>
              <w:rPr>
                <w:rFonts w:hint="default" w:ascii="Times New Roman" w:hAnsi="Times New Roman" w:eastAsia="仿宋" w:cs="Times New Roman"/>
                <w:color w:val="auto"/>
                <w:sz w:val="24"/>
                <w:szCs w:val="24"/>
                <w:lang w:val="zh-CN" w:eastAsia="zh-CN"/>
              </w:rPr>
              <w:t>http://data.lem.org.cn/eamds/apply/tostepone.html</w:t>
            </w:r>
            <w:r>
              <w:rPr>
                <w:rFonts w:hint="default" w:ascii="Times New Roman" w:hAnsi="Times New Roman" w:eastAsia="仿宋" w:cs="Times New Roman"/>
                <w:color w:val="auto"/>
                <w:sz w:val="24"/>
                <w:szCs w:val="24"/>
                <w:lang w:val="zh-CN" w:eastAsia="zh-CN"/>
              </w:rPr>
              <w:fldChar w:fldCharType="end"/>
            </w:r>
            <w:r>
              <w:rPr>
                <w:rFonts w:hint="default" w:ascii="Times New Roman" w:hAnsi="Times New Roman" w:eastAsia="仿宋" w:cs="Times New Roman"/>
                <w:color w:val="auto"/>
                <w:sz w:val="24"/>
                <w:szCs w:val="24"/>
                <w:lang w:val="zh-CN" w:eastAsia="zh-CN"/>
              </w:rPr>
              <w:t>）提供的吐鲁番市生态环境局站点2022年监测数据。</w:t>
            </w:r>
          </w:p>
          <w:p>
            <w:pPr>
              <w:pStyle w:val="85"/>
              <w:keepNext w:val="0"/>
              <w:keepLines w:val="0"/>
              <w:pageBreakBefore w:val="0"/>
              <w:widowControl w:val="0"/>
              <w:kinsoku/>
              <w:wordWrap/>
              <w:overflowPunct/>
              <w:topLinePunct w:val="0"/>
              <w:autoSpaceDE/>
              <w:autoSpaceDN/>
              <w:bidi w:val="0"/>
              <w:spacing w:line="360" w:lineRule="auto"/>
              <w:ind w:left="0" w:right="0" w:firstLine="468" w:firstLineChars="200"/>
              <w:textAlignment w:val="auto"/>
              <w:rPr>
                <w:rFonts w:hint="default" w:ascii="Times New Roman" w:hAnsi="Times New Roman" w:eastAsia="仿宋" w:cs="Times New Roman"/>
                <w:b w:val="0"/>
                <w:bCs w:val="0"/>
                <w:color w:val="auto"/>
              </w:rPr>
            </w:pPr>
            <w:r>
              <w:rPr>
                <w:rFonts w:hint="eastAsia" w:ascii="Times New Roman" w:hAnsi="Times New Roman" w:eastAsia="仿宋" w:cs="Times New Roman"/>
                <w:b w:val="0"/>
                <w:bCs w:val="0"/>
                <w:color w:val="auto"/>
                <w:spacing w:val="-3"/>
                <w:lang w:val="en-US" w:eastAsia="zh-CN"/>
              </w:rPr>
              <w:t>（2）</w:t>
            </w:r>
            <w:r>
              <w:rPr>
                <w:rFonts w:hint="default" w:ascii="Times New Roman" w:hAnsi="Times New Roman" w:eastAsia="仿宋" w:cs="Times New Roman"/>
                <w:b w:val="0"/>
                <w:bCs w:val="0"/>
                <w:color w:val="auto"/>
                <w:spacing w:val="-3"/>
              </w:rPr>
              <w:t>评价内容</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城市环境空气质量达标情况评价指标为SO</w:t>
            </w:r>
            <w:r>
              <w:rPr>
                <w:rFonts w:hint="default" w:ascii="Times New Roman" w:hAnsi="Times New Roman" w:eastAsia="仿宋" w:cs="Times New Roman"/>
                <w:color w:val="auto"/>
                <w:sz w:val="24"/>
                <w:szCs w:val="24"/>
                <w:vertAlign w:val="subscript"/>
                <w:lang w:val="zh-CN" w:eastAsia="zh-CN"/>
              </w:rPr>
              <w:t>2</w:t>
            </w:r>
            <w:r>
              <w:rPr>
                <w:rFonts w:hint="default" w:ascii="Times New Roman" w:hAnsi="Times New Roman" w:eastAsia="仿宋" w:cs="Times New Roman"/>
                <w:color w:val="auto"/>
                <w:sz w:val="24"/>
                <w:szCs w:val="24"/>
                <w:lang w:val="zh-CN" w:eastAsia="zh-CN"/>
              </w:rPr>
              <w:t>、NO</w:t>
            </w:r>
            <w:r>
              <w:rPr>
                <w:rFonts w:hint="default" w:ascii="Times New Roman" w:hAnsi="Times New Roman" w:eastAsia="仿宋" w:cs="Times New Roman"/>
                <w:color w:val="auto"/>
                <w:sz w:val="24"/>
                <w:szCs w:val="24"/>
                <w:vertAlign w:val="subscript"/>
                <w:lang w:val="zh-CN" w:eastAsia="zh-CN"/>
              </w:rPr>
              <w:t>2</w:t>
            </w:r>
            <w:r>
              <w:rPr>
                <w:rFonts w:hint="default" w:ascii="Times New Roman" w:hAnsi="Times New Roman" w:eastAsia="仿宋" w:cs="Times New Roman"/>
                <w:color w:val="auto"/>
                <w:sz w:val="24"/>
                <w:szCs w:val="24"/>
                <w:lang w:val="zh-CN" w:eastAsia="zh-CN"/>
              </w:rPr>
              <w:t>、PM</w:t>
            </w:r>
            <w:r>
              <w:rPr>
                <w:rFonts w:hint="default" w:ascii="Times New Roman" w:hAnsi="Times New Roman" w:eastAsia="仿宋" w:cs="Times New Roman"/>
                <w:color w:val="auto"/>
                <w:sz w:val="24"/>
                <w:szCs w:val="24"/>
                <w:vertAlign w:val="subscript"/>
                <w:lang w:val="zh-CN" w:eastAsia="zh-CN"/>
              </w:rPr>
              <w:t>10</w:t>
            </w:r>
            <w:r>
              <w:rPr>
                <w:rFonts w:hint="default" w:ascii="Times New Roman" w:hAnsi="Times New Roman" w:eastAsia="仿宋" w:cs="Times New Roman"/>
                <w:color w:val="auto"/>
                <w:sz w:val="24"/>
                <w:szCs w:val="24"/>
                <w:lang w:val="zh-CN" w:eastAsia="zh-CN"/>
              </w:rPr>
              <w:t>、PM</w:t>
            </w:r>
            <w:r>
              <w:rPr>
                <w:rFonts w:hint="default" w:ascii="Times New Roman" w:hAnsi="Times New Roman" w:eastAsia="仿宋" w:cs="Times New Roman"/>
                <w:color w:val="auto"/>
                <w:sz w:val="24"/>
                <w:szCs w:val="24"/>
                <w:vertAlign w:val="subscript"/>
                <w:lang w:val="zh-CN" w:eastAsia="zh-CN"/>
              </w:rPr>
              <w:t>2.5</w:t>
            </w:r>
            <w:r>
              <w:rPr>
                <w:rFonts w:hint="default" w:ascii="Times New Roman" w:hAnsi="Times New Roman" w:eastAsia="仿宋" w:cs="Times New Roman"/>
                <w:color w:val="auto"/>
                <w:sz w:val="24"/>
                <w:szCs w:val="24"/>
                <w:lang w:val="zh-CN" w:eastAsia="zh-CN"/>
              </w:rPr>
              <w:t>、CO、O</w:t>
            </w:r>
            <w:r>
              <w:rPr>
                <w:rFonts w:hint="default" w:ascii="Times New Roman" w:hAnsi="Times New Roman" w:eastAsia="仿宋" w:cs="Times New Roman"/>
                <w:color w:val="auto"/>
                <w:sz w:val="24"/>
                <w:szCs w:val="24"/>
                <w:vertAlign w:val="subscript"/>
                <w:lang w:val="zh-CN" w:eastAsia="zh-CN"/>
              </w:rPr>
              <w:t>3</w:t>
            </w:r>
            <w:r>
              <w:rPr>
                <w:rFonts w:hint="default" w:ascii="Times New Roman" w:hAnsi="Times New Roman" w:eastAsia="仿宋" w:cs="Times New Roman"/>
                <w:color w:val="auto"/>
                <w:sz w:val="24"/>
                <w:szCs w:val="24"/>
                <w:lang w:val="zh-CN" w:eastAsia="zh-CN"/>
              </w:rPr>
              <w:t>，六项污染物全部达标即为城市环境空气质量达标。</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b w:val="0"/>
                <w:bCs w:val="0"/>
                <w:color w:val="auto"/>
                <w:sz w:val="24"/>
                <w:szCs w:val="24"/>
                <w:lang w:val="zh-CN" w:eastAsia="zh-CN"/>
              </w:rPr>
            </w:pPr>
            <w:r>
              <w:rPr>
                <w:rFonts w:hint="eastAsia" w:eastAsia="仿宋" w:cs="Times New Roman"/>
                <w:b w:val="0"/>
                <w:bCs w:val="0"/>
                <w:color w:val="auto"/>
                <w:sz w:val="24"/>
                <w:szCs w:val="24"/>
                <w:lang w:val="en-US" w:eastAsia="zh-CN"/>
              </w:rPr>
              <w:t>（3）</w:t>
            </w:r>
            <w:r>
              <w:rPr>
                <w:rFonts w:hint="default" w:ascii="Times New Roman" w:hAnsi="Times New Roman" w:eastAsia="仿宋" w:cs="Times New Roman"/>
                <w:b w:val="0"/>
                <w:bCs w:val="0"/>
                <w:color w:val="auto"/>
                <w:sz w:val="24"/>
                <w:szCs w:val="24"/>
                <w:lang w:val="zh-CN" w:eastAsia="zh-CN"/>
              </w:rPr>
              <w:t>监测结果及现状评价</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本项目所在区域环境空气质量现状评价结果见下表：</w:t>
            </w:r>
          </w:p>
          <w:p>
            <w:pPr>
              <w:pStyle w:val="85"/>
              <w:keepNext w:val="0"/>
              <w:keepLines w:val="0"/>
              <w:pageBreakBefore w:val="0"/>
              <w:widowControl w:val="0"/>
              <w:kinsoku/>
              <w:wordWrap/>
              <w:overflowPunct/>
              <w:topLinePunct w:val="0"/>
              <w:autoSpaceDE/>
              <w:autoSpaceDN/>
              <w:bidi w:val="0"/>
              <w:spacing w:line="360" w:lineRule="auto"/>
              <w:ind w:left="0" w:right="0" w:firstLine="422" w:firstLineChars="200"/>
              <w:jc w:val="center"/>
              <w:textAlignment w:val="auto"/>
              <w:rPr>
                <w:rFonts w:hint="default" w:ascii="Times New Roman" w:hAnsi="Times New Roman" w:eastAsia="仿宋" w:cs="Times New Roman"/>
                <w:b/>
                <w:color w:val="auto"/>
                <w:kern w:val="0"/>
                <w:sz w:val="21"/>
                <w:szCs w:val="21"/>
                <w:lang w:val="en-US" w:eastAsia="zh-CN" w:bidi="ar-SA"/>
              </w:rPr>
            </w:pPr>
            <w:r>
              <w:rPr>
                <w:rFonts w:hint="default" w:ascii="Times New Roman" w:hAnsi="Times New Roman" w:eastAsia="仿宋" w:cs="Times New Roman"/>
                <w:b/>
                <w:color w:val="auto"/>
                <w:kern w:val="0"/>
                <w:sz w:val="21"/>
                <w:szCs w:val="21"/>
                <w:lang w:val="en-US" w:eastAsia="zh-CN" w:bidi="ar-SA"/>
              </w:rPr>
              <w:t>表3-</w:t>
            </w:r>
            <w:r>
              <w:rPr>
                <w:rFonts w:hint="eastAsia" w:ascii="Times New Roman" w:hAnsi="Times New Roman" w:eastAsia="仿宋" w:cs="Times New Roman"/>
                <w:b/>
                <w:color w:val="auto"/>
                <w:kern w:val="0"/>
                <w:sz w:val="21"/>
                <w:szCs w:val="21"/>
                <w:lang w:val="en-US" w:eastAsia="zh-CN" w:bidi="ar-SA"/>
              </w:rPr>
              <w:t>4</w:t>
            </w:r>
            <w:r>
              <w:rPr>
                <w:rFonts w:hint="default" w:ascii="Times New Roman" w:hAnsi="Times New Roman" w:eastAsia="仿宋" w:cs="Times New Roman"/>
                <w:b/>
                <w:color w:val="auto"/>
                <w:kern w:val="0"/>
                <w:sz w:val="21"/>
                <w:szCs w:val="21"/>
                <w:lang w:val="en-US" w:eastAsia="zh-CN" w:bidi="ar-SA"/>
              </w:rPr>
              <w:t>区域空气质量现状评价表</w:t>
            </w:r>
          </w:p>
          <w:p>
            <w:pPr>
              <w:spacing w:line="43" w:lineRule="exact"/>
              <w:rPr>
                <w:rFonts w:hint="default" w:ascii="Times New Roman" w:hAnsi="Times New Roman" w:eastAsia="仿宋" w:cs="Times New Roman"/>
                <w:color w:val="auto"/>
              </w:rPr>
            </w:pPr>
          </w:p>
          <w:tbl>
            <w:tblPr>
              <w:tblStyle w:val="86"/>
              <w:tblW w:w="499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5"/>
              <w:gridCol w:w="1916"/>
              <w:gridCol w:w="1145"/>
              <w:gridCol w:w="1485"/>
              <w:gridCol w:w="1404"/>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评价因子</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平均时段</w:t>
                  </w:r>
                </w:p>
              </w:tc>
              <w:tc>
                <w:tcPr>
                  <w:tcW w:w="706"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评价标准（μg/m</w:t>
                  </w:r>
                  <w:r>
                    <w:rPr>
                      <w:rFonts w:hint="default" w:ascii="Times New Roman" w:hAnsi="Times New Roman" w:eastAsia="仿宋" w:cs="Times New Roman"/>
                      <w:color w:val="auto"/>
                      <w:kern w:val="2"/>
                      <w:sz w:val="21"/>
                      <w:szCs w:val="21"/>
                      <w:vertAlign w:val="superscript"/>
                      <w:lang w:val="en-US" w:eastAsia="zh-CN" w:bidi="ar-SA"/>
                    </w:rPr>
                    <w:t>3</w:t>
                  </w:r>
                  <w:r>
                    <w:rPr>
                      <w:rFonts w:hint="default" w:ascii="Times New Roman" w:hAnsi="Times New Roman" w:eastAsia="仿宋" w:cs="Times New Roman"/>
                      <w:color w:val="auto"/>
                      <w:kern w:val="2"/>
                      <w:sz w:val="21"/>
                      <w:szCs w:val="21"/>
                      <w:lang w:val="en-US" w:eastAsia="zh-CN" w:bidi="ar-SA"/>
                    </w:rPr>
                    <w:t>）</w:t>
                  </w:r>
                </w:p>
              </w:tc>
              <w:tc>
                <w:tcPr>
                  <w:tcW w:w="916"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现状浓度（μg/m</w:t>
                  </w:r>
                  <w:r>
                    <w:rPr>
                      <w:rFonts w:hint="default" w:ascii="Times New Roman" w:hAnsi="Times New Roman" w:eastAsia="仿宋" w:cs="Times New Roman"/>
                      <w:color w:val="auto"/>
                      <w:kern w:val="2"/>
                      <w:sz w:val="21"/>
                      <w:szCs w:val="21"/>
                      <w:vertAlign w:val="superscript"/>
                      <w:lang w:val="en-US" w:eastAsia="zh-CN" w:bidi="ar-SA"/>
                    </w:rPr>
                    <w:t>3</w:t>
                  </w:r>
                  <w:r>
                    <w:rPr>
                      <w:rFonts w:hint="default" w:ascii="Times New Roman" w:hAnsi="Times New Roman" w:eastAsia="仿宋" w:cs="Times New Roman"/>
                      <w:color w:val="auto"/>
                      <w:kern w:val="2"/>
                      <w:sz w:val="21"/>
                      <w:szCs w:val="21"/>
                      <w:lang w:val="en-US" w:eastAsia="zh-CN" w:bidi="ar-SA"/>
                    </w:rPr>
                    <w:t>）</w:t>
                  </w:r>
                </w:p>
              </w:tc>
              <w:tc>
                <w:tcPr>
                  <w:tcW w:w="866"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占标率（%）</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达标</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SO</w:t>
                  </w:r>
                  <w:r>
                    <w:rPr>
                      <w:rFonts w:hint="default" w:ascii="Times New Roman" w:hAnsi="Times New Roman" w:eastAsia="仿宋" w:cs="Times New Roman"/>
                      <w:color w:val="auto"/>
                      <w:spacing w:val="3"/>
                      <w:position w:val="-1"/>
                      <w:sz w:val="13"/>
                      <w:szCs w:val="13"/>
                    </w:rPr>
                    <w:t>2</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60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7</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11.67</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6"/>
                      <w:sz w:val="20"/>
                      <w:szCs w:val="20"/>
                    </w:rPr>
                    <w:t>NO</w:t>
                  </w:r>
                  <w:r>
                    <w:rPr>
                      <w:rFonts w:hint="default" w:ascii="Times New Roman" w:hAnsi="Times New Roman" w:eastAsia="仿宋" w:cs="Times New Roman"/>
                      <w:color w:val="auto"/>
                      <w:spacing w:val="6"/>
                      <w:position w:val="-1"/>
                      <w:sz w:val="13"/>
                      <w:szCs w:val="13"/>
                    </w:rPr>
                    <w:t>2</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40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29</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72.50</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PM</w:t>
                  </w:r>
                  <w:r>
                    <w:rPr>
                      <w:rFonts w:hint="default" w:ascii="Times New Roman" w:hAnsi="Times New Roman" w:eastAsia="仿宋" w:cs="Times New Roman"/>
                      <w:color w:val="auto"/>
                      <w:spacing w:val="10"/>
                      <w:position w:val="-1"/>
                      <w:sz w:val="13"/>
                      <w:szCs w:val="13"/>
                    </w:rPr>
                    <w:t>10</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1"/>
                      <w:sz w:val="20"/>
                      <w:szCs w:val="20"/>
                    </w:rPr>
                    <w:t>70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101</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144.29</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PM</w:t>
                  </w:r>
                  <w:r>
                    <w:rPr>
                      <w:rFonts w:hint="default" w:ascii="Times New Roman" w:hAnsi="Times New Roman" w:eastAsia="仿宋" w:cs="Times New Roman"/>
                      <w:color w:val="auto"/>
                      <w:spacing w:val="6"/>
                      <w:position w:val="-1"/>
                      <w:sz w:val="13"/>
                      <w:szCs w:val="13"/>
                    </w:rPr>
                    <w:t>2.5</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35</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41</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1"/>
                      <w:sz w:val="20"/>
                      <w:szCs w:val="20"/>
                    </w:rPr>
                    <w:t>117.14</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CO</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24h平均浓度第95百分位数</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7"/>
                      <w:sz w:val="20"/>
                      <w:szCs w:val="20"/>
                    </w:rPr>
                    <w:t>4</w:t>
                  </w:r>
                  <w:r>
                    <w:rPr>
                      <w:rFonts w:hint="default" w:ascii="Times New Roman" w:hAnsi="Times New Roman" w:eastAsia="仿宋" w:cs="Times New Roman"/>
                      <w:color w:val="auto"/>
                      <w:sz w:val="20"/>
                      <w:szCs w:val="20"/>
                    </w:rPr>
                    <w:t>mg</w:t>
                  </w:r>
                  <w:r>
                    <w:rPr>
                      <w:rFonts w:hint="default" w:ascii="Times New Roman" w:hAnsi="Times New Roman" w:eastAsia="仿宋" w:cs="Times New Roman"/>
                      <w:color w:val="auto"/>
                      <w:spacing w:val="7"/>
                      <w:sz w:val="20"/>
                      <w:szCs w:val="20"/>
                    </w:rPr>
                    <w:t>/m</w:t>
                  </w:r>
                  <w:r>
                    <w:rPr>
                      <w:rFonts w:hint="default" w:ascii="Times New Roman" w:hAnsi="Times New Roman" w:eastAsia="仿宋" w:cs="Times New Roman"/>
                      <w:color w:val="auto"/>
                      <w:spacing w:val="7"/>
                      <w:position w:val="6"/>
                      <w:sz w:val="13"/>
                      <w:szCs w:val="13"/>
                    </w:rPr>
                    <w:t>3</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5"/>
                      <w:sz w:val="20"/>
                      <w:szCs w:val="20"/>
                    </w:rPr>
                    <w:t>2.7</w:t>
                  </w:r>
                  <w:r>
                    <w:rPr>
                      <w:rFonts w:hint="default" w:ascii="Times New Roman" w:hAnsi="Times New Roman" w:eastAsia="仿宋" w:cs="Times New Roman"/>
                      <w:color w:val="auto"/>
                      <w:sz w:val="20"/>
                      <w:szCs w:val="20"/>
                    </w:rPr>
                    <w:t>mg</w:t>
                  </w:r>
                  <w:r>
                    <w:rPr>
                      <w:rFonts w:hint="default" w:ascii="Times New Roman" w:hAnsi="Times New Roman" w:eastAsia="仿宋" w:cs="Times New Roman"/>
                      <w:color w:val="auto"/>
                      <w:spacing w:val="5"/>
                      <w:sz w:val="20"/>
                      <w:szCs w:val="20"/>
                    </w:rPr>
                    <w:t>/m</w:t>
                  </w:r>
                  <w:r>
                    <w:rPr>
                      <w:rFonts w:hint="default" w:ascii="Times New Roman" w:hAnsi="Times New Roman" w:eastAsia="仿宋" w:cs="Times New Roman"/>
                      <w:color w:val="auto"/>
                      <w:spacing w:val="5"/>
                      <w:position w:val="6"/>
                      <w:sz w:val="13"/>
                      <w:szCs w:val="13"/>
                    </w:rPr>
                    <w:t>3</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6</w:t>
                  </w:r>
                  <w:r>
                    <w:rPr>
                      <w:rFonts w:hint="eastAsia" w:eastAsia="仿宋" w:cs="Times New Roman"/>
                      <w:color w:val="auto"/>
                      <w:spacing w:val="3"/>
                      <w:sz w:val="20"/>
                      <w:szCs w:val="20"/>
                      <w:lang w:eastAsia="zh-CN"/>
                    </w:rPr>
                    <w:t>37.5</w:t>
                  </w:r>
                  <w:r>
                    <w:rPr>
                      <w:rFonts w:hint="default" w:ascii="Times New Roman" w:hAnsi="Times New Roman" w:eastAsia="仿宋" w:cs="Times New Roman"/>
                      <w:color w:val="auto"/>
                      <w:spacing w:val="3"/>
                      <w:sz w:val="20"/>
                      <w:szCs w:val="20"/>
                    </w:rPr>
                    <w:t>0</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1"/>
                      <w:sz w:val="20"/>
                      <w:szCs w:val="20"/>
                    </w:rPr>
                    <w:t>O</w:t>
                  </w:r>
                  <w:r>
                    <w:rPr>
                      <w:rFonts w:hint="default" w:ascii="Times New Roman" w:hAnsi="Times New Roman" w:eastAsia="仿宋" w:cs="Times New Roman"/>
                      <w:color w:val="auto"/>
                      <w:spacing w:val="1"/>
                      <w:position w:val="-1"/>
                      <w:sz w:val="13"/>
                      <w:szCs w:val="13"/>
                    </w:rPr>
                    <w:t>3</w:t>
                  </w:r>
                </w:p>
              </w:tc>
              <w:tc>
                <w:tcPr>
                  <w:tcW w:w="118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日最大8h滑动平均</w:t>
                  </w:r>
                  <w:r>
                    <w:rPr>
                      <w:rFonts w:hint="default" w:ascii="Times New Roman" w:hAnsi="Times New Roman" w:eastAsia="仿宋" w:cs="Times New Roman"/>
                      <w:color w:val="auto"/>
                      <w:spacing w:val="4"/>
                      <w:sz w:val="20"/>
                      <w:szCs w:val="20"/>
                    </w:rPr>
                    <w:t>值的第90百分位数</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160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134</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83.75</w:t>
                  </w:r>
                </w:p>
              </w:tc>
              <w:tc>
                <w:tcPr>
                  <w:tcW w:w="67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bl>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rPr>
              <w:t>由上表可知，本项目所在区域SO</w:t>
            </w:r>
            <w:r>
              <w:rPr>
                <w:rFonts w:hint="default" w:ascii="Times New Roman" w:hAnsi="Times New Roman" w:eastAsia="仿宋" w:cs="Times New Roman"/>
                <w:color w:val="auto"/>
                <w:position w:val="-1"/>
                <w:sz w:val="15"/>
                <w:szCs w:val="15"/>
              </w:rPr>
              <w:t>2</w:t>
            </w:r>
            <w:r>
              <w:rPr>
                <w:rFonts w:hint="default" w:ascii="Times New Roman" w:hAnsi="Times New Roman" w:eastAsia="仿宋" w:cs="Times New Roman"/>
                <w:color w:val="auto"/>
              </w:rPr>
              <w:t>、NO</w:t>
            </w:r>
            <w:r>
              <w:rPr>
                <w:rFonts w:hint="default" w:ascii="Times New Roman" w:hAnsi="Times New Roman" w:eastAsia="仿宋" w:cs="Times New Roman"/>
                <w:color w:val="auto"/>
                <w:position w:val="-1"/>
                <w:sz w:val="15"/>
                <w:szCs w:val="15"/>
              </w:rPr>
              <w:t>2</w:t>
            </w:r>
            <w:r>
              <w:rPr>
                <w:rFonts w:hint="default" w:ascii="Times New Roman" w:hAnsi="Times New Roman" w:eastAsia="仿宋" w:cs="Times New Roman"/>
                <w:color w:val="auto"/>
              </w:rPr>
              <w:t>、PM</w:t>
            </w:r>
            <w:r>
              <w:rPr>
                <w:rFonts w:hint="default" w:ascii="Times New Roman" w:hAnsi="Times New Roman" w:eastAsia="仿宋" w:cs="Times New Roman"/>
                <w:color w:val="auto"/>
                <w:position w:val="-1"/>
                <w:sz w:val="15"/>
                <w:szCs w:val="15"/>
              </w:rPr>
              <w:t>10</w:t>
            </w:r>
            <w:r>
              <w:rPr>
                <w:rFonts w:hint="default" w:ascii="Times New Roman" w:hAnsi="Times New Roman" w:eastAsia="仿宋" w:cs="Times New Roman"/>
                <w:color w:val="auto"/>
              </w:rPr>
              <w:t>、PM</w:t>
            </w:r>
            <w:r>
              <w:rPr>
                <w:rFonts w:hint="default" w:ascii="Times New Roman" w:hAnsi="Times New Roman" w:eastAsia="仿宋" w:cs="Times New Roman"/>
                <w:color w:val="auto"/>
                <w:position w:val="-1"/>
                <w:sz w:val="15"/>
                <w:szCs w:val="15"/>
              </w:rPr>
              <w:t>2.5</w:t>
            </w:r>
            <w:r>
              <w:rPr>
                <w:rFonts w:hint="default" w:ascii="Times New Roman" w:hAnsi="Times New Roman" w:eastAsia="仿宋" w:cs="Times New Roman"/>
                <w:color w:val="auto"/>
              </w:rPr>
              <w:t>年均浓度分别为</w:t>
            </w:r>
            <w:r>
              <w:rPr>
                <w:rFonts w:hint="default" w:ascii="Times New Roman" w:hAnsi="Times New Roman" w:eastAsia="仿宋" w:cs="Times New Roman"/>
                <w:color w:val="auto"/>
                <w:spacing w:val="6"/>
              </w:rPr>
              <w:t>7</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、29</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、101</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、41</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w:t>
            </w:r>
            <w:r>
              <w:rPr>
                <w:rFonts w:hint="default" w:ascii="Times New Roman" w:hAnsi="Times New Roman" w:eastAsia="仿宋" w:cs="Times New Roman"/>
                <w:color w:val="auto"/>
              </w:rPr>
              <w:t>CO</w:t>
            </w:r>
            <w:r>
              <w:rPr>
                <w:rFonts w:hint="default" w:ascii="Times New Roman" w:hAnsi="Times New Roman" w:eastAsia="仿宋" w:cs="Times New Roman"/>
                <w:color w:val="auto"/>
                <w:spacing w:val="6"/>
              </w:rPr>
              <w:t>24小时平</w:t>
            </w:r>
            <w:r>
              <w:rPr>
                <w:rFonts w:hint="default" w:ascii="Times New Roman" w:hAnsi="Times New Roman" w:eastAsia="仿宋" w:cs="Times New Roman"/>
                <w:color w:val="auto"/>
                <w:spacing w:val="5"/>
              </w:rPr>
              <w:t>均第95百分位数为</w:t>
            </w:r>
            <w:r>
              <w:rPr>
                <w:rFonts w:hint="default" w:ascii="Times New Roman" w:hAnsi="Times New Roman" w:eastAsia="仿宋" w:cs="Times New Roman"/>
                <w:color w:val="auto"/>
                <w:spacing w:val="-3"/>
              </w:rPr>
              <w:t>2.7mg/m</w:t>
            </w:r>
            <w:r>
              <w:rPr>
                <w:rFonts w:hint="default" w:ascii="Times New Roman" w:hAnsi="Times New Roman" w:eastAsia="仿宋" w:cs="Times New Roman"/>
                <w:color w:val="auto"/>
                <w:spacing w:val="-3"/>
                <w:position w:val="8"/>
                <w:sz w:val="15"/>
                <w:szCs w:val="15"/>
              </w:rPr>
              <w:t>3</w:t>
            </w:r>
            <w:r>
              <w:rPr>
                <w:rFonts w:hint="default" w:ascii="Times New Roman" w:hAnsi="Times New Roman" w:eastAsia="仿宋" w:cs="Times New Roman"/>
                <w:color w:val="auto"/>
                <w:spacing w:val="-3"/>
              </w:rPr>
              <w:t>，O</w:t>
            </w:r>
            <w:r>
              <w:rPr>
                <w:rFonts w:hint="default" w:ascii="Times New Roman" w:hAnsi="Times New Roman" w:eastAsia="仿宋" w:cs="Times New Roman"/>
                <w:color w:val="auto"/>
                <w:spacing w:val="-3"/>
                <w:position w:val="-1"/>
                <w:sz w:val="15"/>
                <w:szCs w:val="15"/>
              </w:rPr>
              <w:t>3</w:t>
            </w:r>
            <w:r>
              <w:rPr>
                <w:rFonts w:hint="default" w:ascii="Times New Roman" w:hAnsi="Times New Roman" w:eastAsia="仿宋" w:cs="Times New Roman"/>
                <w:color w:val="auto"/>
                <w:spacing w:val="-3"/>
              </w:rPr>
              <w:t>日最大8小时平均第90百分位数为134ug/m</w:t>
            </w:r>
            <w:r>
              <w:rPr>
                <w:rFonts w:hint="default" w:ascii="Times New Roman" w:hAnsi="Times New Roman" w:eastAsia="仿宋" w:cs="Times New Roman"/>
                <w:color w:val="auto"/>
                <w:spacing w:val="-3"/>
                <w:position w:val="8"/>
                <w:sz w:val="15"/>
                <w:szCs w:val="15"/>
              </w:rPr>
              <w:t>3</w:t>
            </w:r>
            <w:r>
              <w:rPr>
                <w:rFonts w:hint="default" w:ascii="Times New Roman" w:hAnsi="Times New Roman" w:eastAsia="仿宋" w:cs="Times New Roman"/>
                <w:color w:val="auto"/>
                <w:spacing w:val="-3"/>
              </w:rPr>
              <w:t>；超过《环境空气质</w:t>
            </w:r>
            <w:r>
              <w:rPr>
                <w:rFonts w:hint="default" w:ascii="Times New Roman" w:hAnsi="Times New Roman" w:eastAsia="仿宋" w:cs="Times New Roman"/>
                <w:color w:val="auto"/>
              </w:rPr>
              <w:t>量标准》（GB3095-2012）中二级标</w:t>
            </w:r>
            <w:r>
              <w:rPr>
                <w:rFonts w:hint="default" w:ascii="Times New Roman" w:hAnsi="Times New Roman" w:eastAsia="仿宋" w:cs="Times New Roman"/>
                <w:color w:val="auto"/>
                <w:spacing w:val="-1"/>
              </w:rPr>
              <w:t>准限值的污染物为PM</w:t>
            </w:r>
            <w:r>
              <w:rPr>
                <w:rFonts w:hint="default" w:ascii="Times New Roman" w:hAnsi="Times New Roman" w:eastAsia="仿宋" w:cs="Times New Roman"/>
                <w:color w:val="auto"/>
                <w:spacing w:val="-1"/>
                <w:position w:val="-1"/>
                <w:sz w:val="15"/>
                <w:szCs w:val="15"/>
              </w:rPr>
              <w:t>10</w:t>
            </w:r>
            <w:r>
              <w:rPr>
                <w:rFonts w:hint="default" w:ascii="Times New Roman" w:hAnsi="Times New Roman" w:eastAsia="仿宋" w:cs="Times New Roman"/>
                <w:color w:val="auto"/>
                <w:spacing w:val="-1"/>
              </w:rPr>
              <w:t>、PM</w:t>
            </w:r>
            <w:r>
              <w:rPr>
                <w:rFonts w:hint="default" w:ascii="Times New Roman" w:hAnsi="Times New Roman" w:eastAsia="仿宋" w:cs="Times New Roman"/>
                <w:color w:val="auto"/>
                <w:spacing w:val="-1"/>
                <w:position w:val="-1"/>
                <w:sz w:val="15"/>
                <w:szCs w:val="15"/>
              </w:rPr>
              <w:t>2.5</w:t>
            </w:r>
            <w:r>
              <w:rPr>
                <w:rFonts w:hint="default" w:ascii="Times New Roman" w:hAnsi="Times New Roman" w:eastAsia="仿宋" w:cs="Times New Roman"/>
                <w:color w:val="auto"/>
                <w:spacing w:val="-1"/>
              </w:rPr>
              <w:t>。因此本项目所在区域为非达标区域</w:t>
            </w:r>
            <w:r>
              <w:rPr>
                <w:rFonts w:hint="eastAsia"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rPr>
              <w:t>超标原因为：主要与风沙季节有一定关系</w:t>
            </w:r>
            <w:r>
              <w:rPr>
                <w:rFonts w:hint="eastAsia" w:ascii="Times New Roman" w:hAnsi="Times New Roman" w:eastAsia="仿宋" w:cs="Times New Roman"/>
                <w:color w:val="auto"/>
                <w:spacing w:val="-1"/>
                <w:lang w:eastAsia="zh-CN"/>
              </w:rPr>
              <w:t>，</w:t>
            </w:r>
            <w:r>
              <w:rPr>
                <w:rFonts w:hint="default" w:ascii="Times New Roman" w:hAnsi="Times New Roman" w:eastAsia="仿宋" w:cs="Times New Roman"/>
                <w:color w:val="auto"/>
              </w:rPr>
              <w:t>按照《关于将巴音郭楞蒙古自治州吐鲁番市哈密市纳入执行&lt;环境影响评价技术导则大气环境（HJ2.2-2018）&gt;差别化政策范围的复函》</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环办环评函〔2020〕341号</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，本项目可不提供区域颗粒物削减方案</w:t>
            </w:r>
            <w:r>
              <w:rPr>
                <w:rFonts w:hint="default" w:ascii="Times New Roman" w:hAnsi="Times New Roman" w:eastAsia="仿宋" w:cs="Times New Roman"/>
                <w:color w:val="auto"/>
                <w:spacing w:val="-1"/>
              </w:rPr>
              <w:t>。</w:t>
            </w:r>
          </w:p>
          <w:p>
            <w:pPr>
              <w:keepNext/>
              <w:keepLines/>
              <w:numPr>
                <w:ilvl w:val="0"/>
                <w:numId w:val="0"/>
              </w:numPr>
              <w:suppressLineNumbers w:val="0"/>
              <w:spacing w:before="0" w:beforeAutospacing="0" w:after="0" w:afterAutospacing="0" w:line="360" w:lineRule="auto"/>
              <w:ind w:left="0" w:right="0" w:rightChars="0" w:firstLine="482" w:firstLineChars="200"/>
              <w:outlineLvl w:val="2"/>
              <w:rPr>
                <w:rFonts w:hint="default" w:ascii="Times New Roman" w:hAnsi="Times New Roman" w:eastAsia="仿宋" w:cs="Times New Roman"/>
                <w:b/>
                <w:bCs/>
                <w:color w:val="auto"/>
                <w:kern w:val="2"/>
                <w:sz w:val="24"/>
                <w:szCs w:val="24"/>
                <w:lang w:val="en-US" w:eastAsia="en-US" w:bidi="ar-SA"/>
              </w:rPr>
            </w:pPr>
            <w:r>
              <w:rPr>
                <w:rFonts w:hint="default" w:ascii="Times New Roman" w:hAnsi="Times New Roman" w:eastAsia="仿宋" w:cs="Times New Roman"/>
                <w:b/>
                <w:bCs/>
                <w:color w:val="auto"/>
                <w:kern w:val="2"/>
                <w:sz w:val="24"/>
                <w:szCs w:val="24"/>
                <w:lang w:val="en-US" w:eastAsia="zh-CN" w:bidi="ar-SA"/>
              </w:rPr>
              <w:t>2.2其他污染物环境质量现状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为了解项目所在地区环境空气中特征因子现状，本次</w:t>
            </w:r>
            <w:r>
              <w:rPr>
                <w:rFonts w:hint="eastAsia" w:eastAsia="仿宋" w:cs="Times New Roman"/>
                <w:color w:val="auto"/>
                <w:kern w:val="2"/>
                <w:sz w:val="24"/>
                <w:szCs w:val="24"/>
                <w:lang w:val="en-US" w:eastAsia="zh-CN" w:bidi="ar-SA"/>
              </w:rPr>
              <w:t>检测引用</w:t>
            </w:r>
            <w:r>
              <w:rPr>
                <w:rFonts w:hint="default" w:ascii="Times New Roman" w:hAnsi="Times New Roman" w:eastAsia="仿宋" w:cs="Times New Roman"/>
                <w:color w:val="auto"/>
                <w:kern w:val="2"/>
                <w:sz w:val="24"/>
                <w:szCs w:val="24"/>
                <w:lang w:val="en-US" w:eastAsia="zh-CN" w:bidi="ar-SA"/>
              </w:rPr>
              <w:t>新疆国科检测有限公司对</w:t>
            </w:r>
            <w:r>
              <w:rPr>
                <w:rFonts w:hint="eastAsia" w:eastAsia="仿宋" w:cs="Times New Roman"/>
                <w:color w:val="auto"/>
                <w:kern w:val="2"/>
                <w:sz w:val="24"/>
                <w:szCs w:val="24"/>
                <w:lang w:val="en-US" w:eastAsia="zh-CN" w:bidi="ar-SA"/>
              </w:rPr>
              <w:t>《新疆鄯善县红台北砂石料矿》</w:t>
            </w:r>
            <w:r>
              <w:rPr>
                <w:rFonts w:hint="eastAsia" w:eastAsia="仿宋" w:cs="Times New Roman"/>
                <w:color w:val="auto"/>
                <w:kern w:val="2"/>
                <w:sz w:val="24"/>
                <w:szCs w:val="24"/>
                <w:highlight w:val="none"/>
                <w:lang w:val="en-US" w:eastAsia="zh-CN" w:bidi="ar-SA"/>
              </w:rPr>
              <w:t>项目区</w:t>
            </w:r>
            <w:r>
              <w:rPr>
                <w:rFonts w:hint="default" w:ascii="Times New Roman" w:hAnsi="Times New Roman" w:eastAsia="仿宋" w:cs="Times New Roman"/>
                <w:color w:val="auto"/>
                <w:kern w:val="2"/>
                <w:sz w:val="24"/>
                <w:szCs w:val="24"/>
                <w:highlight w:val="none"/>
                <w:lang w:val="en-US" w:eastAsia="zh-CN" w:bidi="ar-SA"/>
              </w:rPr>
              <w:t>约30m处的下风向</w:t>
            </w:r>
            <w:r>
              <w:rPr>
                <w:rFonts w:hint="eastAsia" w:eastAsia="仿宋" w:cs="Times New Roman"/>
                <w:color w:val="auto"/>
                <w:kern w:val="2"/>
                <w:sz w:val="24"/>
                <w:szCs w:val="24"/>
                <w:highlight w:val="none"/>
                <w:lang w:val="en-US" w:eastAsia="zh-CN" w:bidi="ar-SA"/>
              </w:rPr>
              <w:t>进行的</w:t>
            </w:r>
            <w:r>
              <w:rPr>
                <w:rFonts w:hint="default" w:ascii="Times New Roman" w:hAnsi="Times New Roman" w:eastAsia="仿宋" w:cs="Times New Roman"/>
                <w:color w:val="auto"/>
                <w:kern w:val="2"/>
                <w:sz w:val="24"/>
                <w:szCs w:val="24"/>
                <w:lang w:val="en-US" w:eastAsia="zh-CN" w:bidi="ar-SA"/>
              </w:rPr>
              <w:t>大气监测，</w:t>
            </w:r>
            <w:r>
              <w:rPr>
                <w:rFonts w:hint="default" w:ascii="Times New Roman" w:hAnsi="Times New Roman" w:eastAsia="仿宋" w:cs="Times New Roman"/>
                <w:color w:val="auto"/>
                <w:kern w:val="2"/>
                <w:sz w:val="24"/>
                <w:szCs w:val="24"/>
                <w:highlight w:val="none"/>
                <w:lang w:val="en-US" w:eastAsia="zh-CN" w:bidi="ar-SA"/>
              </w:rPr>
              <w:t>监测时间为2024年</w:t>
            </w:r>
            <w:r>
              <w:rPr>
                <w:rFonts w:hint="eastAsia" w:eastAsia="仿宋" w:cs="Times New Roman"/>
                <w:color w:val="auto"/>
                <w:kern w:val="2"/>
                <w:sz w:val="24"/>
                <w:szCs w:val="24"/>
                <w:highlight w:val="none"/>
                <w:lang w:val="en-US" w:eastAsia="zh-CN" w:bidi="ar-SA"/>
              </w:rPr>
              <w:t>4</w:t>
            </w:r>
            <w:r>
              <w:rPr>
                <w:rFonts w:hint="default" w:ascii="Times New Roman" w:hAnsi="Times New Roman" w:eastAsia="仿宋" w:cs="Times New Roman"/>
                <w:color w:val="auto"/>
                <w:kern w:val="2"/>
                <w:sz w:val="24"/>
                <w:szCs w:val="24"/>
                <w:highlight w:val="none"/>
                <w:lang w:val="en-US" w:eastAsia="zh-CN" w:bidi="ar-SA"/>
              </w:rPr>
              <w:t>月</w:t>
            </w:r>
            <w:r>
              <w:rPr>
                <w:rFonts w:hint="eastAsia" w:eastAsia="仿宋" w:cs="Times New Roman"/>
                <w:color w:val="auto"/>
                <w:kern w:val="2"/>
                <w:sz w:val="24"/>
                <w:szCs w:val="24"/>
                <w:highlight w:val="none"/>
                <w:lang w:val="en-US" w:eastAsia="zh-CN" w:bidi="ar-SA"/>
              </w:rPr>
              <w:t>12</w:t>
            </w:r>
            <w:r>
              <w:rPr>
                <w:rFonts w:hint="default" w:ascii="Times New Roman" w:hAnsi="Times New Roman" w:eastAsia="仿宋" w:cs="Times New Roman"/>
                <w:color w:val="auto"/>
                <w:kern w:val="2"/>
                <w:sz w:val="24"/>
                <w:szCs w:val="24"/>
                <w:highlight w:val="none"/>
                <w:lang w:val="en-US" w:eastAsia="zh-CN" w:bidi="ar-SA"/>
              </w:rPr>
              <w:t>-1</w:t>
            </w:r>
            <w:r>
              <w:rPr>
                <w:rFonts w:hint="eastAsia" w:eastAsia="仿宋" w:cs="Times New Roman"/>
                <w:color w:val="auto"/>
                <w:kern w:val="2"/>
                <w:sz w:val="24"/>
                <w:szCs w:val="24"/>
                <w:highlight w:val="none"/>
                <w:lang w:val="en-US" w:eastAsia="zh-CN" w:bidi="ar-SA"/>
              </w:rPr>
              <w:t>5</w:t>
            </w:r>
            <w:r>
              <w:rPr>
                <w:rFonts w:hint="default" w:ascii="Times New Roman" w:hAnsi="Times New Roman" w:eastAsia="仿宋" w:cs="Times New Roman"/>
                <w:color w:val="auto"/>
                <w:kern w:val="2"/>
                <w:sz w:val="24"/>
                <w:szCs w:val="24"/>
                <w:highlight w:val="none"/>
                <w:lang w:val="en-US" w:eastAsia="zh-CN" w:bidi="ar-SA"/>
              </w:rPr>
              <w:t>日，</w:t>
            </w:r>
            <w:r>
              <w:rPr>
                <w:rFonts w:hint="eastAsia" w:eastAsia="仿宋" w:cs="Times New Roman"/>
                <w:color w:val="auto"/>
                <w:kern w:val="2"/>
                <w:sz w:val="24"/>
                <w:szCs w:val="24"/>
                <w:highlight w:val="none"/>
                <w:lang w:val="en-US" w:eastAsia="zh-CN" w:bidi="ar-SA"/>
              </w:rPr>
              <w:t>监测点位于本项目东北侧，监测时间、距离均在有限范围内</w:t>
            </w:r>
            <w:r>
              <w:rPr>
                <w:rFonts w:hint="default" w:ascii="Times New Roman" w:hAnsi="Times New Roman" w:eastAsia="仿宋" w:cs="Times New Roman"/>
                <w:color w:val="auto"/>
                <w:kern w:val="2"/>
                <w:sz w:val="24"/>
                <w:szCs w:val="24"/>
                <w:highlight w:val="none"/>
                <w:lang w:val="en-US" w:eastAsia="zh-CN" w:bidi="ar-SA"/>
              </w:rPr>
              <w:t>，</w:t>
            </w:r>
            <w:r>
              <w:rPr>
                <w:rFonts w:hint="default" w:ascii="Times New Roman" w:hAnsi="Times New Roman" w:eastAsia="仿宋" w:cs="Times New Roman"/>
                <w:color w:val="auto"/>
                <w:kern w:val="2"/>
                <w:sz w:val="24"/>
                <w:szCs w:val="24"/>
                <w:lang w:val="en-US" w:eastAsia="zh-CN" w:bidi="ar-SA"/>
              </w:rPr>
              <w:t>监测统计结果见下表</w:t>
            </w:r>
            <w:r>
              <w:rPr>
                <w:rFonts w:hint="eastAsia" w:eastAsia="仿宋" w:cs="Times New Roman"/>
                <w:color w:val="auto"/>
                <w:kern w:val="2"/>
                <w:sz w:val="24"/>
                <w:szCs w:val="24"/>
                <w:lang w:val="en-US" w:eastAsia="zh-CN" w:bidi="ar-SA"/>
              </w:rPr>
              <w:t>，详见图3-4：监测位置关系图。</w:t>
            </w:r>
          </w:p>
          <w:p>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仿宋" w:cs="Times New Roman"/>
                <w:b/>
                <w:color w:val="auto"/>
                <w:kern w:val="2"/>
                <w:sz w:val="21"/>
                <w:szCs w:val="21"/>
                <w:lang w:val="en-US" w:eastAsia="zh-CN" w:bidi="ar-SA"/>
              </w:rPr>
            </w:pPr>
            <w:r>
              <w:rPr>
                <w:rFonts w:hint="default" w:ascii="Times New Roman" w:hAnsi="Times New Roman" w:eastAsia="仿宋" w:cs="Times New Roman"/>
                <w:b/>
                <w:color w:val="auto"/>
                <w:kern w:val="2"/>
                <w:sz w:val="21"/>
                <w:szCs w:val="21"/>
                <w:lang w:val="en-US" w:eastAsia="zh-CN" w:bidi="ar-SA"/>
              </w:rPr>
              <w:t>表3-</w:t>
            </w:r>
            <w:r>
              <w:rPr>
                <w:rFonts w:hint="eastAsia" w:eastAsia="仿宋" w:cs="Times New Roman"/>
                <w:b/>
                <w:color w:val="auto"/>
                <w:kern w:val="2"/>
                <w:sz w:val="21"/>
                <w:szCs w:val="21"/>
                <w:lang w:val="en-US" w:eastAsia="zh-CN" w:bidi="ar-SA"/>
              </w:rPr>
              <w:t>5</w:t>
            </w:r>
            <w:r>
              <w:rPr>
                <w:rFonts w:hint="default" w:ascii="Times New Roman" w:hAnsi="Times New Roman" w:eastAsia="仿宋" w:cs="Times New Roman"/>
                <w:b/>
                <w:color w:val="auto"/>
                <w:kern w:val="2"/>
                <w:sz w:val="21"/>
                <w:szCs w:val="21"/>
                <w:lang w:val="en-US" w:eastAsia="zh-CN" w:bidi="ar-SA"/>
              </w:rPr>
              <w:t>环境空气监测数据</w:t>
            </w:r>
          </w:p>
          <w:tbl>
            <w:tblPr>
              <w:tblStyle w:val="26"/>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664"/>
              <w:gridCol w:w="1467"/>
              <w:gridCol w:w="102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采样点位</w:t>
                  </w: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采样日期</w:t>
                  </w:r>
                </w:p>
              </w:tc>
              <w:tc>
                <w:tcPr>
                  <w:tcW w:w="9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检测项目</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单位</w:t>
                  </w: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下</w:t>
                  </w:r>
                  <w:r>
                    <w:rPr>
                      <w:rFonts w:hint="default" w:ascii="Times New Roman" w:hAnsi="Times New Roman" w:eastAsia="仿宋" w:cs="Times New Roman"/>
                      <w:b w:val="0"/>
                      <w:color w:val="auto"/>
                      <w:kern w:val="0"/>
                      <w:sz w:val="21"/>
                      <w:szCs w:val="21"/>
                      <w:highlight w:val="none"/>
                      <w:lang w:val="zh-TW" w:eastAsia="zh-TW" w:bidi="ar-SA"/>
                    </w:rPr>
                    <w:t>风向</w:t>
                  </w:r>
                  <w:r>
                    <w:rPr>
                      <w:rFonts w:hint="default" w:ascii="Times New Roman" w:hAnsi="Times New Roman" w:eastAsia="仿宋" w:cs="Times New Roman"/>
                      <w:b w:val="0"/>
                      <w:color w:val="auto"/>
                      <w:kern w:val="0"/>
                      <w:sz w:val="21"/>
                      <w:szCs w:val="21"/>
                      <w:highlight w:val="none"/>
                      <w:lang w:val="en-US" w:eastAsia="zh-CN" w:bidi="ar-SA"/>
                    </w:rPr>
                    <w:t>1#</w:t>
                  </w:r>
                </w:p>
              </w:tc>
              <w:tc>
                <w:tcPr>
                  <w:tcW w:w="26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en-US"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2</w:t>
                  </w: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3</w:t>
                  </w:r>
                </w:p>
              </w:tc>
              <w:tc>
                <w:tcPr>
                  <w:tcW w:w="90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TSP</w:t>
                  </w:r>
                </w:p>
              </w:tc>
              <w:tc>
                <w:tcPr>
                  <w:tcW w:w="63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mg/m</w:t>
                  </w:r>
                  <w:r>
                    <w:rPr>
                      <w:rFonts w:hint="default" w:ascii="Times New Roman" w:hAnsi="Times New Roman" w:eastAsia="仿宋" w:cs="Times New Roman"/>
                      <w:b w:val="0"/>
                      <w:color w:val="auto"/>
                      <w:kern w:val="0"/>
                      <w:sz w:val="21"/>
                      <w:szCs w:val="21"/>
                      <w:highlight w:val="none"/>
                      <w:vertAlign w:val="superscript"/>
                      <w:lang w:val="en-US" w:eastAsia="zh-CN" w:bidi="ar-SA"/>
                    </w:rPr>
                    <w:t>3</w:t>
                  </w: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eastAsia" w:eastAsia="仿宋" w:cs="Times New Roman"/>
                      <w:b w:val="0"/>
                      <w:color w:val="auto"/>
                      <w:kern w:val="0"/>
                      <w:sz w:val="21"/>
                      <w:szCs w:val="21"/>
                      <w:highlight w:val="none"/>
                      <w:lang w:val="en-US" w:eastAsia="zh-CN" w:bidi="ar-SA"/>
                    </w:rPr>
                    <w:t>0.298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26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en-US"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3</w:t>
                  </w: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4</w:t>
                  </w:r>
                </w:p>
              </w:tc>
              <w:tc>
                <w:tcPr>
                  <w:tcW w:w="9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6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eastAsia" w:eastAsia="仿宋" w:cs="Times New Roman"/>
                      <w:b w:val="0"/>
                      <w:color w:val="auto"/>
                      <w:kern w:val="0"/>
                      <w:sz w:val="21"/>
                      <w:szCs w:val="21"/>
                      <w:highlight w:val="none"/>
                      <w:lang w:val="en-US" w:eastAsia="zh-CN" w:bidi="ar-SA"/>
                    </w:rPr>
                    <w:t>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26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5</w:t>
                  </w:r>
                </w:p>
              </w:tc>
              <w:tc>
                <w:tcPr>
                  <w:tcW w:w="9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6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eastAsia" w:eastAsia="仿宋" w:cs="Times New Roman"/>
                      <w:b w:val="0"/>
                      <w:color w:val="auto"/>
                      <w:kern w:val="0"/>
                      <w:sz w:val="21"/>
                      <w:szCs w:val="21"/>
                      <w:highlight w:val="none"/>
                      <w:lang w:val="en-US" w:eastAsia="zh-CN" w:bidi="ar-SA"/>
                    </w:rPr>
                    <w:t>0.289</w:t>
                  </w:r>
                </w:p>
              </w:tc>
            </w:tr>
          </w:tbl>
          <w:p>
            <w:pPr>
              <w:overflowPunct w:val="0"/>
              <w:ind w:firstLine="422"/>
              <w:jc w:val="left"/>
              <w:rPr>
                <w:rFonts w:hint="default" w:ascii="Times New Roman" w:hAnsi="Times New Roman" w:eastAsia="仿宋" w:cs="Times New Roman"/>
                <w:b/>
                <w:color w:val="auto"/>
                <w:sz w:val="24"/>
                <w:szCs w:val="24"/>
              </w:rPr>
            </w:pPr>
            <w:r>
              <w:rPr>
                <w:rFonts w:hint="default" w:ascii="Times New Roman" w:hAnsi="Times New Roman" w:eastAsia="仿宋" w:cs="Times New Roman"/>
                <w:b w:val="0"/>
                <w:bCs/>
                <w:color w:val="auto"/>
                <w:sz w:val="24"/>
                <w:szCs w:val="24"/>
              </w:rPr>
              <w:t>由上述监测结果可知，项目区域现状</w:t>
            </w:r>
            <w:r>
              <w:rPr>
                <w:rFonts w:hint="default" w:ascii="Times New Roman" w:hAnsi="Times New Roman" w:eastAsia="仿宋" w:cs="Times New Roman"/>
                <w:b w:val="0"/>
                <w:bCs/>
                <w:color w:val="auto"/>
                <w:sz w:val="24"/>
                <w:szCs w:val="24"/>
                <w:lang w:val="en-US" w:eastAsia="zh-CN"/>
              </w:rPr>
              <w:t>大气各污染物浓度</w:t>
            </w:r>
            <w:r>
              <w:rPr>
                <w:rFonts w:hint="default" w:ascii="Times New Roman" w:hAnsi="Times New Roman" w:eastAsia="仿宋" w:cs="Times New Roman"/>
                <w:b w:val="0"/>
                <w:bCs/>
                <w:color w:val="auto"/>
                <w:sz w:val="24"/>
                <w:szCs w:val="24"/>
              </w:rPr>
              <w:t>可以满足《</w:t>
            </w:r>
            <w:r>
              <w:rPr>
                <w:rFonts w:hint="default" w:ascii="Times New Roman" w:hAnsi="Times New Roman" w:eastAsia="仿宋" w:cs="Times New Roman"/>
                <w:b w:val="0"/>
                <w:bCs/>
                <w:color w:val="auto"/>
                <w:sz w:val="24"/>
                <w:szCs w:val="24"/>
                <w:lang w:val="en-US" w:eastAsia="zh-CN"/>
              </w:rPr>
              <w:t>环境空气质量标准</w:t>
            </w:r>
            <w:r>
              <w:rPr>
                <w:rFonts w:hint="default" w:ascii="Times New Roman" w:hAnsi="Times New Roman" w:eastAsia="仿宋" w:cs="Times New Roman"/>
                <w:b w:val="0"/>
                <w:bCs/>
                <w:color w:val="auto"/>
                <w:sz w:val="24"/>
                <w:szCs w:val="24"/>
              </w:rPr>
              <w:t>》</w:t>
            </w: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GB3095-2012</w:t>
            </w: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的二级标准。</w:t>
            </w:r>
          </w:p>
          <w:p>
            <w:pPr>
              <w:overflowPunct w:val="0"/>
              <w:ind w:firstLine="422"/>
              <w:jc w:val="left"/>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3、地表水环境质量现状</w:t>
            </w:r>
            <w:r>
              <w:rPr>
                <w:rFonts w:hint="default" w:ascii="Times New Roman" w:hAnsi="Times New Roman" w:eastAsia="仿宋" w:cs="Times New Roman"/>
                <w:b/>
                <w:color w:val="auto"/>
                <w:sz w:val="24"/>
                <w:szCs w:val="24"/>
                <w:lang w:val="en-US" w:eastAsia="zh-CN"/>
              </w:rPr>
              <w:t>调查</w:t>
            </w:r>
          </w:p>
          <w:p>
            <w:pPr>
              <w:overflowPunct w:val="0"/>
              <w:ind w:firstLine="422"/>
              <w:jc w:val="left"/>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本项目无生产废水外排，</w:t>
            </w: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default" w:ascii="Times New Roman" w:hAnsi="Times New Roman" w:eastAsia="仿宋" w:cs="Times New Roman"/>
                <w:b w:val="0"/>
                <w:bCs/>
                <w:color w:val="auto"/>
                <w:sz w:val="24"/>
                <w:szCs w:val="24"/>
              </w:rPr>
              <w:t>，厂址1km范围内没有天然地表水体分布，工程不向天然地表水体排水，项目地表水按三级B评价，三级评价项目可不进行地表水环境影响评价，因此未开展地表水现状调查及评价。</w:t>
            </w:r>
          </w:p>
          <w:p>
            <w:pPr>
              <w:overflowPunct w:val="0"/>
              <w:ind w:firstLine="422"/>
              <w:jc w:val="left"/>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4、</w:t>
            </w:r>
            <w:r>
              <w:rPr>
                <w:rFonts w:hint="default" w:ascii="Times New Roman" w:hAnsi="Times New Roman" w:eastAsia="仿宋" w:cs="Times New Roman"/>
                <w:b/>
                <w:color w:val="auto"/>
                <w:sz w:val="24"/>
                <w:szCs w:val="24"/>
              </w:rPr>
              <w:t>地下水环境质量现状</w:t>
            </w:r>
            <w:r>
              <w:rPr>
                <w:rFonts w:hint="default" w:ascii="Times New Roman" w:hAnsi="Times New Roman" w:eastAsia="仿宋" w:cs="Times New Roman"/>
                <w:b/>
                <w:color w:val="auto"/>
                <w:sz w:val="24"/>
                <w:szCs w:val="24"/>
                <w:lang w:val="en-US" w:eastAsia="zh-CN"/>
              </w:rPr>
              <w:t>调查</w:t>
            </w:r>
          </w:p>
          <w:p>
            <w:pPr>
              <w:overflowPunct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环境影响评价技术导则地下水环境》（HJ610-2016）中附录A地下水环境影响评价行业分类表，本项目属J非金属矿采选及制品制造-54、土砂石开采-其他，属于Ⅳ类建设项目，Ⅳ类建设项目不开展地下水环境影响评价。</w:t>
            </w:r>
          </w:p>
          <w:p>
            <w:pPr>
              <w:overflowPunct w:val="0"/>
              <w:ind w:firstLine="422"/>
              <w:rPr>
                <w:rFonts w:hint="default" w:ascii="Times New Roman" w:hAnsi="Times New Roman" w:eastAsia="仿宋" w:cs="Times New Roman"/>
                <w:b/>
                <w:color w:val="auto"/>
                <w:sz w:val="24"/>
                <w:szCs w:val="24"/>
                <w:lang w:val="en-US" w:eastAsia="zh-CN"/>
              </w:rPr>
            </w:pPr>
          </w:p>
          <w:p>
            <w:pPr>
              <w:overflowPunct w:val="0"/>
              <w:ind w:firstLine="422"/>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5</w:t>
            </w:r>
            <w:r>
              <w:rPr>
                <w:rFonts w:hint="default" w:ascii="Times New Roman" w:hAnsi="Times New Roman" w:eastAsia="仿宋" w:cs="Times New Roman"/>
                <w:b/>
                <w:color w:val="auto"/>
                <w:sz w:val="24"/>
                <w:szCs w:val="24"/>
              </w:rPr>
              <w:t>、声环境质量现状</w:t>
            </w:r>
            <w:r>
              <w:rPr>
                <w:rFonts w:hint="default" w:ascii="Times New Roman" w:hAnsi="Times New Roman" w:eastAsia="仿宋" w:cs="Times New Roman"/>
                <w:b/>
                <w:color w:val="auto"/>
                <w:sz w:val="24"/>
                <w:szCs w:val="24"/>
                <w:lang w:val="en-US" w:eastAsia="zh-CN"/>
              </w:rPr>
              <w:t>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本项目为砂石料建设项目，属于生态影响类项目，根据《建设项目环境影响报告表编制技术指南（生态影响类）（试行）》：“项目涉及的水、大气、声、土壤等其他环境要素，应明确项目所在区域的环境质量现状。”大气、固定声源环境质量现状监测参照《建设项目环境影响报告表编制技术指南（污染影响类）》（试行）相关规定开展补充监测，污染影响类编制指南中要求厂界外周边50米范围内存在声环境保护目标的建设项目，应监测保护目标声环境质量现状并评价达标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本项目建设地点位于</w:t>
            </w:r>
            <w:r>
              <w:rPr>
                <w:rFonts w:hint="eastAsia" w:eastAsia="仿宋" w:cs="Times New Roman"/>
                <w:color w:val="auto"/>
                <w:spacing w:val="0"/>
                <w:sz w:val="24"/>
                <w:szCs w:val="24"/>
                <w:lang w:val="en-US" w:eastAsia="zh-CN"/>
              </w:rPr>
              <w:t>吐鲁番地区鄯善县</w:t>
            </w:r>
            <w:r>
              <w:rPr>
                <w:rFonts w:hint="default" w:ascii="Times New Roman" w:hAnsi="Times New Roman" w:eastAsia="仿宋" w:cs="Times New Roman"/>
                <w:color w:val="auto"/>
                <w:spacing w:val="0"/>
                <w:sz w:val="24"/>
                <w:szCs w:val="24"/>
                <w:lang w:val="en-US" w:eastAsia="zh-CN"/>
              </w:rPr>
              <w:t>七克台镇北东56°方向直线距离36.5千米处，项目所在区域声环境质量现状为《声环境质量标准》（GB3096-2008）中2类标准，项目周边50m范围内均为荒漠，无声环境保护目标，因此本项目可不开展声环境现状调查及分析</w:t>
            </w:r>
            <w:r>
              <w:rPr>
                <w:rFonts w:hint="eastAsia" w:eastAsia="仿宋" w:cs="Times New Roman"/>
                <w:color w:val="auto"/>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Times New Roman" w:hAnsi="Times New Roman" w:eastAsia="仿宋" w:cs="Times New Roman"/>
                <w:b/>
                <w:bCs/>
                <w:color w:val="auto"/>
                <w:spacing w:val="0"/>
                <w:sz w:val="24"/>
                <w:szCs w:val="24"/>
                <w:lang w:val="en-US" w:eastAsia="zh-CN"/>
              </w:rPr>
            </w:pPr>
            <w:r>
              <w:rPr>
                <w:rFonts w:hint="default" w:ascii="Times New Roman" w:hAnsi="Times New Roman" w:eastAsia="仿宋" w:cs="Times New Roman"/>
                <w:b/>
                <w:bCs/>
                <w:color w:val="auto"/>
                <w:spacing w:val="0"/>
                <w:sz w:val="24"/>
                <w:szCs w:val="24"/>
                <w:lang w:val="en-US" w:eastAsia="zh-CN"/>
              </w:rPr>
              <w:t>6、土壤环境质量现状调查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根据《环境影响评价技术导则土壤环境（试行）》（HJ964-2018）中4.2.2“根据行业特征、工艺特点或规模大小等将建设项目类别分为Ⅰ类、Ⅱ类、Ⅲ类、Ⅳ类，见附件A，其中Ⅳ类建设项目可不开展土壤环境影响评价；自身为敏感目标的建设项目，可根据需要仅对土壤现状进行调查”，本项目属于附录A中的采矿业Ⅲ类项目，</w:t>
            </w:r>
            <w:r>
              <w:rPr>
                <w:rFonts w:hint="default" w:ascii="Times New Roman" w:hAnsi="Times New Roman" w:eastAsia="仿宋" w:cs="Times New Roman"/>
                <w:color w:val="auto"/>
                <w:sz w:val="24"/>
                <w:szCs w:val="24"/>
                <w:lang w:val="en-US" w:eastAsia="zh-CN"/>
              </w:rPr>
              <w:t>根据普查地质报告浅井数据，土壤</w:t>
            </w:r>
            <w:r>
              <w:rPr>
                <w:rFonts w:hint="eastAsia" w:eastAsia="仿宋" w:cs="Times New Roman"/>
                <w:color w:val="auto"/>
                <w:sz w:val="24"/>
                <w:szCs w:val="24"/>
                <w:lang w:val="en-US" w:eastAsia="zh-CN"/>
              </w:rPr>
              <w:t>pH值</w:t>
            </w:r>
            <w:r>
              <w:rPr>
                <w:rFonts w:hint="default" w:ascii="Times New Roman" w:hAnsi="Times New Roman" w:eastAsia="仿宋" w:cs="Times New Roman"/>
                <w:color w:val="auto"/>
                <w:sz w:val="24"/>
                <w:szCs w:val="24"/>
                <w:lang w:val="en-US" w:eastAsia="zh-CN"/>
              </w:rPr>
              <w:t>为</w:t>
            </w:r>
            <w:r>
              <w:rPr>
                <w:rFonts w:hint="eastAsia" w:ascii="Times New Roman" w:hAnsi="Times New Roman" w:eastAsia="仿宋" w:cs="Times New Roman"/>
                <w:color w:val="auto"/>
                <w:sz w:val="24"/>
                <w:szCs w:val="24"/>
                <w:lang w:val="en-US" w:eastAsia="zh-CN"/>
              </w:rPr>
              <w:t>8.34</w:t>
            </w: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z w:val="24"/>
                <w:szCs w:val="24"/>
                <w:lang w:val="en-US" w:eastAsia="zh-CN"/>
              </w:rPr>
              <w:t>为不敏感。</w:t>
            </w:r>
            <w:r>
              <w:rPr>
                <w:rFonts w:hint="default" w:ascii="Times New Roman" w:hAnsi="Times New Roman" w:eastAsia="仿宋" w:cs="Times New Roman"/>
                <w:color w:val="auto"/>
                <w:spacing w:val="0"/>
                <w:sz w:val="24"/>
                <w:szCs w:val="24"/>
                <w:lang w:val="en-US" w:eastAsia="zh-CN"/>
              </w:rPr>
              <w:t>根据《环境影响评价技术导则土壤环境（试行）》（HJ964-2018）中表1生态影响型敏感程度分级表，本项目为不敏感，根据表2生态影响型评价工作等级划分表，本项目可不开展土壤环境影响评价工作，且本项目用地未建设过对土壤环境造成影响的建设项目，土壤环境状况良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仿宋"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2"/>
                <w:sz w:val="24"/>
                <w:szCs w:val="24"/>
                <w:lang w:val="en-US" w:eastAsia="zh-CN" w:bidi="ar-SA"/>
              </w:rPr>
              <w:t>与项目有关的原有环境污染和生态问题</w:t>
            </w:r>
          </w:p>
        </w:tc>
        <w:tc>
          <w:tcPr>
            <w:tcW w:w="8329" w:type="dxa"/>
            <w:vAlign w:val="center"/>
          </w:tcPr>
          <w:p>
            <w:pPr>
              <w:pStyle w:val="36"/>
              <w:tabs>
                <w:tab w:val="left" w:pos="959"/>
                <w:tab w:val="center" w:pos="4356"/>
              </w:tabs>
              <w:jc w:val="left"/>
              <w:rPr>
                <w:rFonts w:hint="default" w:ascii="Times New Roman" w:hAnsi="Times New Roman" w:eastAsia="仿宋" w:cs="Times New Roman"/>
                <w:color w:val="auto"/>
              </w:rPr>
            </w:pPr>
            <w:r>
              <w:rPr>
                <w:rFonts w:hint="eastAsia" w:eastAsia="仿宋" w:cs="Times New Roman"/>
                <w:color w:val="auto"/>
                <w:sz w:val="24"/>
                <w:szCs w:val="24"/>
                <w:lang w:val="en-US" w:eastAsia="zh-CN"/>
              </w:rPr>
              <w:t>本项目为新建矿山，</w:t>
            </w:r>
            <w:r>
              <w:rPr>
                <w:rFonts w:hint="default" w:ascii="Times New Roman" w:hAnsi="Times New Roman" w:eastAsia="仿宋" w:cs="Times New Roman"/>
                <w:color w:val="auto"/>
                <w:kern w:val="0"/>
                <w:sz w:val="24"/>
                <w:szCs w:val="24"/>
                <w:lang w:val="en-US" w:eastAsia="zh-CN" w:bidi="ar"/>
              </w:rPr>
              <w:t>探矿期</w:t>
            </w:r>
            <w:r>
              <w:rPr>
                <w:rFonts w:hint="eastAsia" w:ascii="Times New Roman" w:eastAsia="仿宋" w:cs="Times New Roman"/>
                <w:color w:val="auto"/>
                <w:kern w:val="0"/>
                <w:sz w:val="24"/>
                <w:szCs w:val="24"/>
                <w:lang w:val="en-US" w:eastAsia="zh-CN" w:bidi="ar"/>
              </w:rPr>
              <w:t>不</w:t>
            </w:r>
            <w:r>
              <w:rPr>
                <w:rFonts w:hint="default" w:ascii="Times New Roman" w:hAnsi="Times New Roman" w:eastAsia="仿宋" w:cs="Times New Roman"/>
                <w:color w:val="auto"/>
                <w:kern w:val="0"/>
                <w:sz w:val="24"/>
                <w:szCs w:val="24"/>
                <w:lang w:val="en-US" w:eastAsia="zh-CN" w:bidi="ar"/>
              </w:rPr>
              <w:t>存在生态破坏等环境问题</w:t>
            </w:r>
            <w:r>
              <w:rPr>
                <w:rFonts w:hint="eastAsia" w:ascii="Times New Roman" w:eastAsia="仿宋" w:cs="Times New Roman"/>
                <w:color w:val="auto"/>
                <w:kern w:val="0"/>
                <w:sz w:val="24"/>
                <w:szCs w:val="24"/>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生态环境保护目标</w:t>
            </w:r>
          </w:p>
        </w:tc>
        <w:tc>
          <w:tcPr>
            <w:tcW w:w="8329" w:type="dxa"/>
            <w:vAlign w:val="center"/>
          </w:tcPr>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1"/>
              </w:rPr>
              <w:t>根据对项目区周边现场踏勘、资料收集</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rPr>
              <w:t>项目区不涉及自然保护区、风景名胜区、居住区、文化和农村地区中人群集中的区域等保护目标；项目区</w:t>
            </w:r>
            <w:r>
              <w:rPr>
                <w:rFonts w:hint="default" w:ascii="Times New Roman" w:hAnsi="Times New Roman" w:eastAsia="仿宋" w:cs="Times New Roman"/>
                <w:color w:val="auto"/>
                <w:spacing w:val="-2"/>
              </w:rPr>
              <w:t>厂界外50米范围内无声环境保护目标；本项目不涉及地质公园、重要湿地、</w:t>
            </w:r>
            <w:r>
              <w:rPr>
                <w:rFonts w:hint="default" w:ascii="Times New Roman" w:hAnsi="Times New Roman" w:eastAsia="仿宋" w:cs="Times New Roman"/>
                <w:color w:val="auto"/>
                <w:spacing w:val="-1"/>
              </w:rPr>
              <w:t>饮用水水源保护区等，无地表水保护目标。</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根据项目特点，环境保护对象及其保护要求见表3-</w:t>
            </w:r>
            <w:r>
              <w:rPr>
                <w:rFonts w:hint="eastAsia" w:ascii="Times New Roman" w:hAnsi="Times New Roman" w:eastAsia="仿宋" w:cs="Times New Roman"/>
                <w:color w:val="auto"/>
                <w:spacing w:val="3"/>
                <w:lang w:val="en-US" w:eastAsia="zh-CN"/>
              </w:rPr>
              <w:t>6</w:t>
            </w:r>
            <w:r>
              <w:rPr>
                <w:rFonts w:hint="default" w:ascii="Times New Roman" w:hAnsi="Times New Roman" w:eastAsia="仿宋" w:cs="Times New Roman"/>
                <w:color w:val="auto"/>
                <w:spacing w:val="3"/>
              </w:rPr>
              <w:t>。</w:t>
            </w:r>
          </w:p>
          <w:p>
            <w:pPr>
              <w:pStyle w:val="85"/>
              <w:spacing w:before="36" w:line="359" w:lineRule="auto"/>
              <w:ind w:right="22"/>
              <w:jc w:val="center"/>
              <w:rPr>
                <w:rFonts w:hint="default" w:ascii="Times New Roman" w:hAnsi="Times New Roman" w:eastAsia="仿宋" w:cs="Times New Roman"/>
                <w:b/>
                <w:bCs/>
                <w:color w:val="auto"/>
                <w:spacing w:val="-1"/>
                <w:sz w:val="21"/>
                <w:szCs w:val="21"/>
                <w:highlight w:val="none"/>
                <w:lang w:val="en-US" w:eastAsia="zh-CN"/>
              </w:rPr>
            </w:pPr>
            <w:r>
              <w:rPr>
                <w:rFonts w:hint="default" w:ascii="Times New Roman" w:hAnsi="Times New Roman" w:eastAsia="仿宋" w:cs="Times New Roman"/>
                <w:b/>
                <w:bCs/>
                <w:color w:val="auto"/>
                <w:spacing w:val="-1"/>
                <w:sz w:val="21"/>
                <w:szCs w:val="21"/>
                <w:highlight w:val="none"/>
                <w:lang w:val="en-US" w:eastAsia="zh-CN"/>
              </w:rPr>
              <w:t>表3-</w:t>
            </w:r>
            <w:r>
              <w:rPr>
                <w:rFonts w:hint="eastAsia" w:ascii="Times New Roman" w:hAnsi="Times New Roman" w:eastAsia="仿宋" w:cs="Times New Roman"/>
                <w:b/>
                <w:bCs/>
                <w:color w:val="auto"/>
                <w:spacing w:val="-1"/>
                <w:sz w:val="21"/>
                <w:szCs w:val="21"/>
                <w:highlight w:val="none"/>
                <w:lang w:val="en-US" w:eastAsia="zh-CN"/>
              </w:rPr>
              <w:t>6</w:t>
            </w:r>
            <w:r>
              <w:rPr>
                <w:rFonts w:hint="default" w:ascii="Times New Roman" w:hAnsi="Times New Roman" w:eastAsia="仿宋" w:cs="Times New Roman"/>
                <w:b/>
                <w:bCs/>
                <w:color w:val="auto"/>
                <w:spacing w:val="-1"/>
                <w:sz w:val="21"/>
                <w:szCs w:val="21"/>
                <w:highlight w:val="none"/>
                <w:lang w:val="en-US" w:eastAsia="zh-CN"/>
              </w:rPr>
              <w:t>环境保护目标一览表</w:t>
            </w:r>
          </w:p>
          <w:tbl>
            <w:tblPr>
              <w:tblStyle w:val="86"/>
              <w:tblW w:w="7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8"/>
              <w:gridCol w:w="1282"/>
              <w:gridCol w:w="1329"/>
              <w:gridCol w:w="684"/>
              <w:gridCol w:w="589"/>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658"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序号</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环境要素</w:t>
                  </w:r>
                </w:p>
              </w:tc>
              <w:tc>
                <w:tcPr>
                  <w:tcW w:w="1329"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保护对象</w:t>
                  </w:r>
                </w:p>
              </w:tc>
              <w:tc>
                <w:tcPr>
                  <w:tcW w:w="684"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方位</w:t>
                  </w:r>
                </w:p>
              </w:tc>
              <w:tc>
                <w:tcPr>
                  <w:tcW w:w="589"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距离</w:t>
                  </w:r>
                </w:p>
              </w:tc>
              <w:tc>
                <w:tcPr>
                  <w:tcW w:w="3367"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功能区域标准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1</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大气</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3367" w:type="dxa"/>
                  <w:vAlign w:val="center"/>
                </w:tcPr>
                <w:p>
                  <w:pPr>
                    <w:pStyle w:val="85"/>
                    <w:keepNext w:val="0"/>
                    <w:keepLines w:val="0"/>
                    <w:pageBreakBefore w:val="0"/>
                    <w:widowControl w:val="0"/>
                    <w:kinsoku/>
                    <w:wordWrap/>
                    <w:overflowPunct/>
                    <w:topLinePunct w:val="0"/>
                    <w:autoSpaceDE/>
                    <w:autoSpaceDN/>
                    <w:bidi w:val="0"/>
                    <w:adjustRightInd/>
                    <w:snapToGrid/>
                    <w:spacing w:before="30" w:line="240" w:lineRule="auto"/>
                    <w:ind w:left="459"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《环境空气质量标准》</w:t>
                  </w:r>
                </w:p>
                <w:p>
                  <w:pPr>
                    <w:pStyle w:val="85"/>
                    <w:keepNext w:val="0"/>
                    <w:keepLines w:val="0"/>
                    <w:pageBreakBefore w:val="0"/>
                    <w:widowControl w:val="0"/>
                    <w:kinsoku/>
                    <w:wordWrap/>
                    <w:overflowPunct/>
                    <w:topLinePunct w:val="0"/>
                    <w:autoSpaceDE/>
                    <w:autoSpaceDN/>
                    <w:bidi w:val="0"/>
                    <w:adjustRightInd/>
                    <w:snapToGrid/>
                    <w:spacing w:before="23" w:line="240" w:lineRule="auto"/>
                    <w:ind w:left="91"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（GB3095-2012）中的二级标准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2</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声环境</w:t>
                  </w:r>
                </w:p>
              </w:tc>
              <w:tc>
                <w:tcPr>
                  <w:tcW w:w="2602" w:type="dxa"/>
                  <w:gridSpan w:val="3"/>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567"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厂界外</w:t>
                  </w:r>
                  <w:r>
                    <w:rPr>
                      <w:rFonts w:hint="eastAsia" w:ascii="Times New Roman" w:hAnsi="Times New Roman" w:eastAsia="仿宋" w:cs="Times New Roman"/>
                      <w:color w:val="auto"/>
                      <w:spacing w:val="7"/>
                      <w:kern w:val="2"/>
                      <w:sz w:val="21"/>
                      <w:szCs w:val="21"/>
                      <w:lang w:val="en-US" w:eastAsia="zh-CN" w:bidi="ar-SA"/>
                    </w:rPr>
                    <w:t>50</w:t>
                  </w:r>
                  <w:r>
                    <w:rPr>
                      <w:rFonts w:hint="default" w:ascii="Times New Roman" w:hAnsi="Times New Roman" w:eastAsia="仿宋" w:cs="Times New Roman"/>
                      <w:color w:val="auto"/>
                      <w:spacing w:val="7"/>
                      <w:kern w:val="2"/>
                      <w:sz w:val="21"/>
                      <w:szCs w:val="21"/>
                      <w:lang w:val="en-US" w:eastAsia="en-US" w:bidi="ar-SA"/>
                    </w:rPr>
                    <w:t>m范围内</w:t>
                  </w:r>
                </w:p>
              </w:tc>
              <w:tc>
                <w:tcPr>
                  <w:tcW w:w="3367" w:type="dxa"/>
                  <w:vAlign w:val="center"/>
                </w:tcPr>
                <w:p>
                  <w:pPr>
                    <w:pStyle w:val="85"/>
                    <w:keepNext w:val="0"/>
                    <w:keepLines w:val="0"/>
                    <w:pageBreakBefore w:val="0"/>
                    <w:widowControl w:val="0"/>
                    <w:kinsoku/>
                    <w:wordWrap/>
                    <w:overflowPunct/>
                    <w:topLinePunct w:val="0"/>
                    <w:autoSpaceDE/>
                    <w:autoSpaceDN/>
                    <w:bidi w:val="0"/>
                    <w:adjustRightInd/>
                    <w:snapToGrid/>
                    <w:spacing w:before="33"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《声环境质量标准》</w:t>
                  </w:r>
                </w:p>
                <w:p>
                  <w:pPr>
                    <w:pStyle w:val="85"/>
                    <w:keepNext w:val="0"/>
                    <w:keepLines w:val="0"/>
                    <w:pageBreakBefore w:val="0"/>
                    <w:widowControl w:val="0"/>
                    <w:kinsoku/>
                    <w:wordWrap/>
                    <w:overflowPunct/>
                    <w:topLinePunct w:val="0"/>
                    <w:autoSpaceDE/>
                    <w:autoSpaceDN/>
                    <w:bidi w:val="0"/>
                    <w:adjustRightInd/>
                    <w:snapToGrid/>
                    <w:spacing w:before="25" w:line="240" w:lineRule="auto"/>
                    <w:ind w:left="91"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（GB3096-2008）的2类标准要求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3</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before="37" w:line="240" w:lineRule="auto"/>
                    <w:ind w:left="117"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地下水环境</w:t>
                  </w:r>
                </w:p>
              </w:tc>
              <w:tc>
                <w:tcPr>
                  <w:tcW w:w="2602" w:type="dxa"/>
                  <w:gridSpan w:val="3"/>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项目区范围内</w:t>
                  </w:r>
                </w:p>
              </w:tc>
              <w:tc>
                <w:tcPr>
                  <w:tcW w:w="3367" w:type="dxa"/>
                  <w:vAlign w:val="center"/>
                </w:tcPr>
                <w:p>
                  <w:pPr>
                    <w:pStyle w:val="85"/>
                    <w:keepNext w:val="0"/>
                    <w:keepLines w:val="0"/>
                    <w:pageBreakBefore w:val="0"/>
                    <w:widowControl w:val="0"/>
                    <w:kinsoku/>
                    <w:wordWrap/>
                    <w:overflowPunct/>
                    <w:topLinePunct w:val="0"/>
                    <w:autoSpaceDE/>
                    <w:autoSpaceDN/>
                    <w:bidi w:val="0"/>
                    <w:adjustRightInd/>
                    <w:snapToGrid/>
                    <w:spacing w:before="37"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地下水保护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4</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before="35" w:line="240" w:lineRule="auto"/>
                    <w:ind w:left="222" w:right="0" w:firstLine="0" w:firstLineChars="0"/>
                    <w:jc w:val="both"/>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生态环境</w:t>
                  </w:r>
                </w:p>
              </w:tc>
              <w:tc>
                <w:tcPr>
                  <w:tcW w:w="2602" w:type="dxa"/>
                  <w:gridSpan w:val="3"/>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评价区内植被、土壤、野生动物</w:t>
                  </w:r>
                </w:p>
              </w:tc>
              <w:tc>
                <w:tcPr>
                  <w:tcW w:w="3367" w:type="dxa"/>
                  <w:vAlign w:val="center"/>
                </w:tcPr>
                <w:p>
                  <w:pPr>
                    <w:pStyle w:val="85"/>
                    <w:keepNext w:val="0"/>
                    <w:keepLines w:val="0"/>
                    <w:pageBreakBefore w:val="0"/>
                    <w:widowControl w:val="0"/>
                    <w:tabs>
                      <w:tab w:val="left" w:pos="1250"/>
                      <w:tab w:val="center" w:pos="2176"/>
                    </w:tabs>
                    <w:kinsoku/>
                    <w:wordWrap/>
                    <w:overflowPunct/>
                    <w:topLinePunct w:val="0"/>
                    <w:autoSpaceDE/>
                    <w:autoSpaceDN/>
                    <w:bidi w:val="0"/>
                    <w:adjustRightInd/>
                    <w:snapToGrid/>
                    <w:spacing w:before="35"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合理布局，加强管理，尽量减少项目占地，控制和减轻由工程建设和运行过程中可能造成的滑坡、坍塌或水土流失现象，保护工程区域的景观生态体系及其生物资源，维护工程地区的生态完整性与稳定性，使因工程建设造成的自然景观和植被破坏得以尽快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仿宋" w:cs="Times New Roman"/>
                      <w:color w:val="auto"/>
                      <w:spacing w:val="7"/>
                      <w:kern w:val="2"/>
                      <w:sz w:val="21"/>
                      <w:szCs w:val="21"/>
                      <w:lang w:val="en-US" w:eastAsia="zh-CN" w:bidi="ar-SA"/>
                    </w:rPr>
                  </w:pPr>
                  <w:r>
                    <w:rPr>
                      <w:rFonts w:hint="eastAsia" w:eastAsia="仿宋" w:cs="Times New Roman"/>
                      <w:color w:val="auto"/>
                      <w:spacing w:val="7"/>
                      <w:kern w:val="2"/>
                      <w:sz w:val="21"/>
                      <w:szCs w:val="21"/>
                      <w:lang w:val="en-US" w:eastAsia="zh-CN" w:bidi="ar-SA"/>
                    </w:rPr>
                    <w:t>5</w:t>
                  </w:r>
                </w:p>
              </w:tc>
              <w:tc>
                <w:tcPr>
                  <w:tcW w:w="1282"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zh-CN" w:bidi="ar-SA"/>
                    </w:rPr>
                  </w:pPr>
                  <w:r>
                    <w:rPr>
                      <w:rFonts w:hint="eastAsia" w:ascii="Times New Roman" w:hAnsi="Times New Roman" w:eastAsia="仿宋" w:cs="Times New Roman"/>
                      <w:color w:val="auto"/>
                      <w:spacing w:val="7"/>
                      <w:kern w:val="2"/>
                      <w:sz w:val="21"/>
                      <w:szCs w:val="21"/>
                      <w:lang w:val="en-US" w:eastAsia="zh-CN" w:bidi="ar-SA"/>
                    </w:rPr>
                    <w:t>土壤环境</w:t>
                  </w:r>
                </w:p>
              </w:tc>
              <w:tc>
                <w:tcPr>
                  <w:tcW w:w="2602" w:type="dxa"/>
                  <w:gridSpan w:val="3"/>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项目区范围内</w:t>
                  </w:r>
                </w:p>
              </w:tc>
              <w:tc>
                <w:tcPr>
                  <w:tcW w:w="3367" w:type="dxa"/>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eastAsia" w:ascii="Times New Roman" w:hAnsi="Times New Roman" w:eastAsia="仿宋" w:cs="Times New Roman"/>
                      <w:color w:val="auto"/>
                      <w:spacing w:val="7"/>
                      <w:kern w:val="2"/>
                      <w:sz w:val="21"/>
                      <w:szCs w:val="21"/>
                      <w:lang w:val="en-US" w:eastAsia="zh-CN" w:bidi="ar-SA"/>
                    </w:rPr>
                    <w:t>土壤</w:t>
                  </w:r>
                  <w:r>
                    <w:rPr>
                      <w:rFonts w:hint="default" w:ascii="Times New Roman" w:hAnsi="Times New Roman" w:eastAsia="仿宋" w:cs="Times New Roman"/>
                      <w:color w:val="auto"/>
                      <w:spacing w:val="7"/>
                      <w:kern w:val="2"/>
                      <w:sz w:val="21"/>
                      <w:szCs w:val="21"/>
                      <w:lang w:val="en-US" w:eastAsia="en-US" w:bidi="ar-SA"/>
                    </w:rPr>
                    <w:t>保护</w:t>
                  </w:r>
                </w:p>
              </w:tc>
            </w:tr>
          </w:tbl>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确定本项目的污染控制目标为：</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（1）环境空气质量符合《环境空气质量标准》（GB 3095-2012）修改单</w:t>
            </w:r>
            <w:r>
              <w:rPr>
                <w:rFonts w:hint="eastAsia" w:ascii="Times New Roman" w:hAnsi="Times New Roman" w:eastAsia="仿宋" w:cs="Times New Roman"/>
                <w:color w:val="auto"/>
                <w:spacing w:val="3"/>
                <w:lang w:val="en-US" w:eastAsia="zh-CN"/>
              </w:rPr>
              <w:t>中</w:t>
            </w:r>
            <w:r>
              <w:rPr>
                <w:rFonts w:hint="default" w:ascii="Times New Roman" w:hAnsi="Times New Roman" w:eastAsia="仿宋" w:cs="Times New Roman"/>
                <w:color w:val="auto"/>
                <w:spacing w:val="3"/>
              </w:rPr>
              <w:t>二级标准，控制废气排放对周围环境的影响。</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（2）保护建设项目所在区域地下水环境不受本项目的影响，地下水满足《地下水质量标准》（GB/T14848-2017）中Ⅲ类标准。</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（3）控制</w:t>
            </w:r>
            <w:r>
              <w:rPr>
                <w:rFonts w:hint="default" w:ascii="Times New Roman" w:hAnsi="Times New Roman" w:eastAsia="仿宋" w:cs="Times New Roman"/>
                <w:color w:val="auto"/>
                <w:spacing w:val="3"/>
                <w:lang w:eastAsia="zh-CN"/>
              </w:rPr>
              <w:t>厂</w:t>
            </w:r>
            <w:r>
              <w:rPr>
                <w:rFonts w:hint="default" w:ascii="Times New Roman" w:hAnsi="Times New Roman" w:eastAsia="仿宋" w:cs="Times New Roman"/>
                <w:color w:val="auto"/>
                <w:spacing w:val="3"/>
              </w:rPr>
              <w:t>界噪声满足《工业企业厂界环境噪声排放标准》（GB12348-2008）中2类标准，避免对场址区域造成噪声污染。保护本项目建成后区域声环境依旧满足《声环境质量标准》（GB3096-2008）中的2类要求。</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w:t>
            </w:r>
            <w:r>
              <w:rPr>
                <w:rFonts w:hint="eastAsia" w:ascii="Times New Roman" w:hAnsi="Times New Roman" w:eastAsia="仿宋" w:cs="Times New Roman"/>
                <w:color w:val="auto"/>
                <w:spacing w:val="3"/>
                <w:lang w:val="en-US" w:eastAsia="zh-CN"/>
              </w:rPr>
              <w:t>4</w:t>
            </w:r>
            <w:r>
              <w:rPr>
                <w:rFonts w:hint="default" w:ascii="Times New Roman" w:hAnsi="Times New Roman" w:eastAsia="仿宋" w:cs="Times New Roman"/>
                <w:color w:val="auto"/>
                <w:spacing w:val="3"/>
              </w:rPr>
              <w:t>）妥善处理生活垃圾，统一收集，定期运送至生活垃圾填埋场处理。一般工业固体废弃物处理和处置按照</w:t>
            </w:r>
            <w:r>
              <w:rPr>
                <w:rFonts w:hint="default" w:ascii="Times New Roman" w:hAnsi="Times New Roman" w:eastAsia="仿宋" w:cs="Times New Roman"/>
                <w:color w:val="auto"/>
                <w:spacing w:val="0"/>
                <w:sz w:val="24"/>
                <w:szCs w:val="24"/>
                <w:lang w:val="en-US" w:eastAsia="zh-CN"/>
              </w:rPr>
              <w:t>《一般工业固体废物贮存和填埋污染控制标准》（GB18599-2020）</w:t>
            </w:r>
            <w:r>
              <w:rPr>
                <w:rFonts w:hint="default" w:ascii="Times New Roman" w:hAnsi="Times New Roman" w:eastAsia="仿宋" w:cs="Times New Roman"/>
                <w:color w:val="auto"/>
                <w:spacing w:val="3"/>
              </w:rPr>
              <w:t>。</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5）矿区及外围生态环境功能不因矿山开发及运行受到显著影响，尽量减少项目占地破坏，最大限度减少地形地貌破坏，保护动物、植物、土壤等生态因子，保持生态系统的完整性与稳定性，尽量减少工程诱发的水土流失，并采取措施加以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评价</w:t>
            </w:r>
          </w:p>
          <w:p>
            <w:pPr>
              <w:adjustRightInd w:val="0"/>
              <w:snapToGrid w:val="0"/>
              <w:ind w:firstLine="0" w:firstLineChars="0"/>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Cs w:val="21"/>
              </w:rPr>
              <w:t>标准</w:t>
            </w:r>
          </w:p>
        </w:tc>
        <w:tc>
          <w:tcPr>
            <w:tcW w:w="8329" w:type="dxa"/>
            <w:vAlign w:val="center"/>
          </w:tcPr>
          <w:p>
            <w:pPr>
              <w:pStyle w:val="6"/>
              <w:keepNext/>
              <w:keepLines/>
              <w:pageBreakBefore w:val="0"/>
              <w:widowControl w:val="0"/>
              <w:kinsoku/>
              <w:wordWrap/>
              <w:overflowPunct/>
              <w:topLinePunct w:val="0"/>
              <w:autoSpaceDE/>
              <w:autoSpaceDN/>
              <w:bidi w:val="0"/>
              <w:adjustRightInd/>
              <w:snapToGrid/>
              <w:spacing w:before="157" w:beforeLines="50" w:line="440" w:lineRule="exact"/>
              <w:ind w:left="0" w:leftChars="0" w:firstLine="0" w:firstLineChars="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1、环境质量</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（1）《环境空气质量标准》（GB 3095-2012）修改单中的二级标准</w:t>
            </w:r>
            <w:r>
              <w:rPr>
                <w:rFonts w:hint="eastAsia" w:eastAsia="仿宋" w:cs="Times New Roman"/>
                <w:color w:val="auto"/>
                <w:spacing w:val="0"/>
                <w:sz w:val="24"/>
                <w:szCs w:val="24"/>
                <w:lang w:val="en-US" w:eastAsia="zh-CN"/>
              </w:rPr>
              <w:t>；</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（2）《声环境质量标准》（GB3096-2008）中2类标准。</w:t>
            </w:r>
          </w:p>
          <w:p>
            <w:pPr>
              <w:pStyle w:val="6"/>
              <w:pageBreakBefore w:val="0"/>
              <w:widowControl w:val="0"/>
              <w:kinsoku/>
              <w:wordWrap/>
              <w:overflowPunct/>
              <w:topLinePunct w:val="0"/>
              <w:autoSpaceDE/>
              <w:autoSpaceDN/>
              <w:bidi w:val="0"/>
              <w:spacing w:line="440" w:lineRule="exact"/>
              <w:ind w:left="0" w:leftChars="0" w:firstLine="0" w:firstLineChars="0"/>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2、污染物排放标准</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（1）废气</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①粉尘：排放标准执行《大气污染物综合排放标准》（GB16297-96）表2中无组织排放监控浓度限值，具体标准值见表3-</w:t>
            </w:r>
            <w:r>
              <w:rPr>
                <w:rFonts w:hint="eastAsia" w:eastAsia="仿宋" w:cs="Times New Roman"/>
                <w:color w:val="auto"/>
                <w:spacing w:val="0"/>
                <w:sz w:val="24"/>
                <w:szCs w:val="24"/>
                <w:lang w:val="en-US" w:eastAsia="zh-CN"/>
              </w:rPr>
              <w:t>7</w:t>
            </w:r>
            <w:r>
              <w:rPr>
                <w:rFonts w:hint="default" w:ascii="Times New Roman" w:hAnsi="Times New Roman" w:eastAsia="仿宋" w:cs="Times New Roman"/>
                <w:color w:val="auto"/>
                <w:spacing w:val="0"/>
                <w:sz w:val="24"/>
                <w:szCs w:val="24"/>
                <w:lang w:val="en-US" w:eastAsia="zh-CN"/>
              </w:rPr>
              <w:t>。</w:t>
            </w:r>
          </w:p>
          <w:p>
            <w:pPr>
              <w:pStyle w:val="62"/>
              <w:pageBreakBefore w:val="0"/>
              <w:widowControl w:val="0"/>
              <w:kinsoku/>
              <w:wordWrap/>
              <w:overflowPunct/>
              <w:topLinePunct w:val="0"/>
              <w:autoSpaceDE/>
              <w:autoSpaceDN/>
              <w:bidi w:val="0"/>
              <w:spacing w:line="360" w:lineRule="auto"/>
              <w:jc w:val="center"/>
              <w:rPr>
                <w:rFonts w:hint="default" w:ascii="Times New Roman" w:hAnsi="Times New Roman" w:eastAsia="仿宋" w:cs="Times New Roman"/>
                <w:b/>
                <w:bCs/>
                <w:color w:val="auto"/>
                <w:spacing w:val="0"/>
                <w:sz w:val="21"/>
                <w:szCs w:val="21"/>
                <w:lang w:val="en-US" w:eastAsia="zh-CN"/>
              </w:rPr>
            </w:pPr>
            <w:r>
              <w:rPr>
                <w:rFonts w:hint="default" w:ascii="Times New Roman" w:hAnsi="Times New Roman" w:eastAsia="仿宋" w:cs="Times New Roman"/>
                <w:b/>
                <w:bCs/>
                <w:color w:val="auto"/>
                <w:spacing w:val="0"/>
                <w:sz w:val="21"/>
                <w:szCs w:val="21"/>
                <w:lang w:val="en-US" w:eastAsia="zh-CN"/>
              </w:rPr>
              <w:t>表3</w:t>
            </w:r>
            <w:r>
              <w:rPr>
                <w:rFonts w:hint="eastAsia" w:eastAsia="仿宋" w:cs="Times New Roman"/>
                <w:b/>
                <w:bCs/>
                <w:color w:val="auto"/>
                <w:spacing w:val="0"/>
                <w:sz w:val="21"/>
                <w:szCs w:val="21"/>
                <w:lang w:val="en-US" w:eastAsia="zh-CN"/>
              </w:rPr>
              <w:t>-7</w:t>
            </w:r>
            <w:r>
              <w:rPr>
                <w:rFonts w:hint="default" w:ascii="Times New Roman" w:hAnsi="Times New Roman" w:eastAsia="仿宋" w:cs="Times New Roman"/>
                <w:b/>
                <w:bCs/>
                <w:color w:val="auto"/>
                <w:spacing w:val="0"/>
                <w:sz w:val="21"/>
                <w:szCs w:val="21"/>
                <w:lang w:val="en-US" w:eastAsia="zh-CN"/>
              </w:rPr>
              <w:t>《大气污染物综合排放标准》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260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污染物</w:t>
                  </w:r>
                </w:p>
              </w:tc>
              <w:tc>
                <w:tcPr>
                  <w:tcW w:w="3393"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kern w:val="0"/>
                      <w:sz w:val="21"/>
                      <w:szCs w:val="21"/>
                      <w:lang w:val="en-US" w:eastAsia="zh-CN" w:bidi="ar"/>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Merge w:val="restart"/>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颗粒物</w:t>
                  </w:r>
                </w:p>
              </w:tc>
              <w:tc>
                <w:tcPr>
                  <w:tcW w:w="1607" w:type="pct"/>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监控点</w:t>
                  </w:r>
                </w:p>
              </w:tc>
              <w:tc>
                <w:tcPr>
                  <w:tcW w:w="1785" w:type="pct"/>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浓度限值（mg/m</w:t>
                  </w:r>
                  <w:r>
                    <w:rPr>
                      <w:rFonts w:hint="default" w:ascii="Times New Roman" w:hAnsi="Times New Roman" w:eastAsia="仿宋" w:cs="Times New Roman"/>
                      <w:color w:val="auto"/>
                      <w:spacing w:val="0"/>
                      <w:sz w:val="21"/>
                      <w:szCs w:val="21"/>
                      <w:vertAlign w:val="superscript"/>
                      <w:lang w:val="en-US" w:eastAsia="zh-CN"/>
                    </w:rPr>
                    <w:t>3</w:t>
                  </w:r>
                  <w:r>
                    <w:rPr>
                      <w:rFonts w:hint="default" w:ascii="Times New Roman" w:hAnsi="Times New Roman" w:eastAsia="仿宋" w:cs="Times New Roman"/>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Merge w:val="continue"/>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p>
              </w:tc>
              <w:tc>
                <w:tcPr>
                  <w:tcW w:w="16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kern w:val="0"/>
                      <w:sz w:val="21"/>
                      <w:szCs w:val="21"/>
                      <w:lang w:val="en-US" w:eastAsia="zh-CN" w:bidi="ar"/>
                    </w:rPr>
                    <w:t>周界外浓度最高点</w:t>
                  </w:r>
                </w:p>
              </w:tc>
              <w:tc>
                <w:tcPr>
                  <w:tcW w:w="1785" w:type="pct"/>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1.0</w:t>
                  </w:r>
                </w:p>
              </w:tc>
            </w:tr>
          </w:tbl>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lang w:val="en-US" w:eastAsia="zh-CN"/>
              </w:rPr>
              <w:t>②食堂油烟：执行</w:t>
            </w:r>
            <w:r>
              <w:rPr>
                <w:rFonts w:hint="default" w:ascii="Times New Roman" w:hAnsi="Times New Roman" w:eastAsia="仿宋" w:cs="Times New Roman"/>
                <w:color w:val="auto"/>
              </w:rPr>
              <w:t>《饮食业油烟排放标准（试行）</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（GB18483-2001）油烟最高允许排放浓度≤2mg/m</w:t>
            </w:r>
            <w:r>
              <w:rPr>
                <w:rFonts w:hint="default" w:ascii="Times New Roman" w:hAnsi="Times New Roman" w:eastAsia="仿宋" w:cs="Times New Roman"/>
                <w:color w:val="auto"/>
                <w:vertAlign w:val="superscript"/>
              </w:rPr>
              <w:t>3</w:t>
            </w:r>
            <w:r>
              <w:rPr>
                <w:rFonts w:hint="default" w:ascii="Times New Roman" w:hAnsi="Times New Roman" w:eastAsia="仿宋" w:cs="Times New Roman"/>
                <w:color w:val="auto"/>
              </w:rPr>
              <w:t>标准</w:t>
            </w:r>
            <w:r>
              <w:rPr>
                <w:rFonts w:hint="default" w:ascii="Times New Roman" w:hAnsi="Times New Roman" w:eastAsia="仿宋" w:cs="Times New Roman"/>
                <w:color w:val="auto"/>
                <w:lang w:eastAsia="zh-CN"/>
              </w:rPr>
              <w:t>。</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（2）废水</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default" w:ascii="Times New Roman" w:hAnsi="Times New Roman" w:eastAsia="仿宋" w:cs="Times New Roman"/>
                <w:color w:val="auto"/>
                <w:spacing w:val="0"/>
                <w:sz w:val="24"/>
                <w:szCs w:val="24"/>
                <w:lang w:val="en-US" w:eastAsia="zh-CN"/>
              </w:rPr>
              <w:t>。</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（3）噪声</w:t>
            </w:r>
          </w:p>
          <w:p>
            <w:pPr>
              <w:pStyle w:val="62"/>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施工期噪声执行《建筑施工场界环境噪声排放标准》（GB12523-2011）中各阶段标准，即昼间70dB（A）、夜间55dB（A）；项目运营期噪声执行</w:t>
            </w:r>
            <w:r>
              <w:rPr>
                <w:rFonts w:hint="default" w:ascii="Times New Roman" w:hAnsi="Times New Roman" w:eastAsia="仿宋" w:cs="Times New Roman"/>
                <w:color w:val="auto"/>
              </w:rPr>
              <w:t>《工业企业厂界环境噪声排放标准》（GB12348-2008）中</w:t>
            </w:r>
            <w:r>
              <w:rPr>
                <w:rFonts w:hint="default" w:ascii="Times New Roman" w:hAnsi="Times New Roman" w:eastAsia="仿宋" w:cs="Times New Roman"/>
                <w:color w:val="auto"/>
                <w:lang w:val="en-US" w:eastAsia="zh-CN"/>
              </w:rPr>
              <w:t>2</w:t>
            </w:r>
            <w:r>
              <w:rPr>
                <w:rFonts w:hint="default" w:ascii="Times New Roman" w:hAnsi="Times New Roman" w:eastAsia="仿宋" w:cs="Times New Roman"/>
                <w:color w:val="auto"/>
              </w:rPr>
              <w:t>类标准</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即</w:t>
            </w:r>
            <w:r>
              <w:rPr>
                <w:rFonts w:hint="default" w:ascii="Times New Roman" w:hAnsi="Times New Roman" w:eastAsia="仿宋" w:cs="Times New Roman"/>
                <w:color w:val="auto"/>
                <w:spacing w:val="0"/>
                <w:sz w:val="24"/>
                <w:szCs w:val="24"/>
                <w:lang w:val="en-US" w:eastAsia="zh-CN"/>
              </w:rPr>
              <w:t>昼间60dB（A）、夜间50dB（A）。</w:t>
            </w:r>
          </w:p>
          <w:p>
            <w:pPr>
              <w:pStyle w:val="62"/>
              <w:bidi w:val="0"/>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（4）固废</w:t>
            </w:r>
          </w:p>
          <w:p>
            <w:pPr>
              <w:pStyle w:val="62"/>
              <w:bidi w:val="0"/>
              <w:jc w:val="both"/>
              <w:rPr>
                <w:rFonts w:hint="default" w:ascii="Times New Roman" w:hAnsi="Times New Roman" w:eastAsia="仿宋" w:cs="Times New Roman"/>
                <w:color w:val="auto"/>
              </w:rPr>
            </w:pPr>
            <w:r>
              <w:rPr>
                <w:rFonts w:hint="default" w:ascii="Times New Roman" w:hAnsi="Times New Roman" w:eastAsia="仿宋" w:cs="Times New Roman"/>
                <w:color w:val="auto"/>
                <w:spacing w:val="0"/>
                <w:sz w:val="24"/>
                <w:szCs w:val="24"/>
                <w:lang w:val="en-US" w:eastAsia="zh-CN"/>
              </w:rPr>
              <w:t>本项目产生的一般工业固体废物贮存和处置评价采用《一般工业固体废物贮存和填埋污染控制标准》（GB18599-2020），危险废物评价采用《危险废物贮存污染控制标准》（GB18597-2023）中相关要求。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其他</w:t>
            </w:r>
          </w:p>
        </w:tc>
        <w:tc>
          <w:tcPr>
            <w:tcW w:w="8329"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结合本项目所在区域的环境特征，生产过程主要为颗粒物的排放，本项目生产无外排废水，不设置污染物排放总量控制因子。</w:t>
            </w:r>
          </w:p>
          <w:p>
            <w:pPr>
              <w:pStyle w:val="24"/>
              <w:rPr>
                <w:rFonts w:hint="default"/>
                <w:color w:val="auto"/>
              </w:rPr>
            </w:pPr>
          </w:p>
          <w:p>
            <w:pPr>
              <w:pStyle w:val="24"/>
              <w:tabs>
                <w:tab w:val="left" w:pos="3377"/>
              </w:tabs>
              <w:ind w:left="0" w:leftChars="0" w:firstLine="0" w:firstLineChars="0"/>
              <w:rPr>
                <w:rFonts w:hint="eastAsia" w:eastAsia="宋体"/>
                <w:color w:val="auto"/>
                <w:lang w:eastAsia="zh-CN"/>
              </w:rPr>
            </w:pPr>
          </w:p>
        </w:tc>
      </w:tr>
    </w:tbl>
    <w:p>
      <w:pPr>
        <w:pStyle w:val="20"/>
        <w:spacing w:line="240" w:lineRule="auto"/>
        <w:ind w:firstLine="0" w:firstLineChars="0"/>
        <w:jc w:val="center"/>
        <w:outlineLvl w:val="0"/>
        <w:rPr>
          <w:rFonts w:hint="default" w:ascii="Times New Roman" w:hAnsi="Times New Roman" w:eastAsia="仿宋" w:cs="Times New Roman"/>
          <w:snapToGrid w:val="0"/>
          <w:color w:val="auto"/>
          <w:kern w:val="2"/>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四、生态环境影响分析</w:t>
      </w:r>
    </w:p>
    <w:tbl>
      <w:tblPr>
        <w:tblStyle w:val="25"/>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8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621" w:type="dxa"/>
            <w:tcMar>
              <w:left w:w="28" w:type="dxa"/>
              <w:right w:w="28" w:type="dxa"/>
            </w:tcMar>
            <w:vAlign w:val="center"/>
          </w:tcPr>
          <w:p>
            <w:pPr>
              <w:pStyle w:val="20"/>
              <w:adjustRightInd w:val="0"/>
              <w:snapToGrid w:val="0"/>
              <w:spacing w:before="0" w:beforeAutospacing="0" w:after="0" w:afterAutospacing="0" w:line="240" w:lineRule="auto"/>
              <w:ind w:firstLine="0" w:firstLineChars="0"/>
              <w:jc w:val="center"/>
              <w:rPr>
                <w:rFonts w:hint="default" w:ascii="Times New Roman" w:hAnsi="Times New Roman" w:eastAsia="仿宋" w:cs="Times New Roman"/>
                <w:bCs/>
                <w:color w:val="auto"/>
                <w:kern w:val="2"/>
                <w:sz w:val="21"/>
                <w:szCs w:val="21"/>
              </w:rPr>
            </w:pPr>
            <w:bookmarkStart w:id="1" w:name="_Hlk49796138"/>
            <w:r>
              <w:rPr>
                <w:rFonts w:hint="default" w:ascii="Times New Roman" w:hAnsi="Times New Roman" w:eastAsia="仿宋" w:cs="Times New Roman"/>
                <w:bCs/>
                <w:color w:val="auto"/>
                <w:spacing w:val="10"/>
                <w:kern w:val="2"/>
                <w:sz w:val="21"/>
                <w:szCs w:val="21"/>
              </w:rPr>
              <w:t>施工期生态环境影响分析</w:t>
            </w:r>
            <w:bookmarkEnd w:id="1"/>
          </w:p>
        </w:tc>
        <w:tc>
          <w:tcPr>
            <w:tcW w:w="8558"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1、生态环境影响分析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本工程的建设使土地利用格局发生变化。工程建设对区域生态体系稳定性影响的主要途径是地表扰动。对区域景观的影响随着项目开发建设，挖毁地貌、修建人工设施、废弃物堆置、地表变形等景观格局的变化，使区域固有的自然生态功能部分丧失。同时，产生了水土流失、污染生态问题。而且随着时间的推移和建设规模的扩大，这种景观结构的变化有可能不断延伸、扩大。总而言之，本项目的建设将导致项目所在区域景观生态结构与功能的变化。同时，还会引起项目区内环境质量有所变化。具体表现在以下几方面：</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①</w:t>
            </w:r>
            <w:r>
              <w:rPr>
                <w:rFonts w:hint="default" w:ascii="Times New Roman" w:hAnsi="Times New Roman" w:eastAsia="仿宋" w:cs="Times New Roman"/>
                <w:b w:val="0"/>
                <w:bCs w:val="0"/>
                <w:color w:val="auto"/>
                <w:sz w:val="24"/>
                <w:szCs w:val="24"/>
              </w:rPr>
              <w:t>项目施工期主要生态环境影响为占地、植被破坏、水土流失以及对野生动物的</w:t>
            </w:r>
            <w:r>
              <w:rPr>
                <w:rFonts w:hint="default" w:ascii="Times New Roman" w:hAnsi="Times New Roman" w:eastAsia="仿宋" w:cs="Times New Roman"/>
                <w:b w:val="0"/>
                <w:bCs w:val="0"/>
                <w:color w:val="auto"/>
                <w:sz w:val="24"/>
                <w:szCs w:val="24"/>
                <w:lang w:eastAsia="zh-CN"/>
              </w:rPr>
              <w:t>侵扰</w:t>
            </w:r>
            <w:r>
              <w:rPr>
                <w:rFonts w:hint="default" w:ascii="Times New Roman" w:hAnsi="Times New Roman" w:eastAsia="仿宋" w:cs="Times New Roman"/>
                <w:b w:val="0"/>
                <w:bCs w:val="0"/>
                <w:color w:val="auto"/>
                <w:sz w:val="24"/>
                <w:szCs w:val="24"/>
              </w:rPr>
              <w:t>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②</w:t>
            </w:r>
            <w:r>
              <w:rPr>
                <w:rFonts w:hint="default" w:ascii="Times New Roman" w:hAnsi="Times New Roman" w:eastAsia="仿宋" w:cs="Times New Roman"/>
                <w:b w:val="0"/>
                <w:bCs w:val="0"/>
                <w:color w:val="auto"/>
                <w:sz w:val="24"/>
                <w:szCs w:val="24"/>
              </w:rPr>
              <w:t>矿区采矿场及环保设施建设，占用土地、破坏植被，造成水土流失。</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③</w:t>
            </w:r>
            <w:r>
              <w:rPr>
                <w:rFonts w:hint="default" w:ascii="Times New Roman" w:hAnsi="Times New Roman" w:eastAsia="仿宋" w:cs="Times New Roman"/>
                <w:b w:val="0"/>
                <w:bCs w:val="0"/>
                <w:color w:val="auto"/>
                <w:sz w:val="24"/>
                <w:szCs w:val="24"/>
              </w:rPr>
              <w:t>改变地面生物生存环境。</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④</w:t>
            </w:r>
            <w:r>
              <w:rPr>
                <w:rFonts w:hint="default" w:ascii="Times New Roman" w:hAnsi="Times New Roman" w:eastAsia="仿宋" w:cs="Times New Roman"/>
                <w:b w:val="0"/>
                <w:bCs w:val="0"/>
                <w:color w:val="auto"/>
                <w:sz w:val="24"/>
                <w:szCs w:val="24"/>
              </w:rPr>
              <w:t>生态景观发生改变。</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工程占地影响分析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①</w:t>
            </w:r>
            <w:r>
              <w:rPr>
                <w:rFonts w:hint="default" w:ascii="Times New Roman" w:hAnsi="Times New Roman" w:eastAsia="仿宋" w:cs="Times New Roman"/>
                <w:b w:val="0"/>
                <w:bCs w:val="0"/>
                <w:color w:val="auto"/>
                <w:sz w:val="24"/>
                <w:szCs w:val="24"/>
              </w:rPr>
              <w:t>临时占地</w:t>
            </w:r>
          </w:p>
          <w:p>
            <w:pPr>
              <w:adjustRightInd w:val="0"/>
              <w:snapToGrid w:val="0"/>
              <w:ind w:firstLine="422"/>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rPr>
              <w:t>临时占地包括工程建设期间临时征用的所有土地，主要为临时运输道路等占地，施工结束后将恢复现有的使用功能。临时生活区等在划定区域内，不新增用地。</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②</w:t>
            </w:r>
            <w:r>
              <w:rPr>
                <w:rFonts w:hint="default" w:ascii="Times New Roman" w:hAnsi="Times New Roman" w:eastAsia="仿宋" w:cs="Times New Roman"/>
                <w:b w:val="0"/>
                <w:bCs w:val="0"/>
                <w:color w:val="auto"/>
                <w:sz w:val="24"/>
                <w:szCs w:val="24"/>
              </w:rPr>
              <w:t>永久占地</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永久压占土地类型为</w:t>
            </w:r>
            <w:r>
              <w:rPr>
                <w:rFonts w:hint="default" w:ascii="Times New Roman" w:hAnsi="Times New Roman" w:eastAsia="仿宋" w:cs="Times New Roman"/>
                <w:b w:val="0"/>
                <w:bCs w:val="0"/>
                <w:color w:val="auto"/>
                <w:sz w:val="24"/>
                <w:szCs w:val="24"/>
                <w:lang w:eastAsia="zh-CN"/>
              </w:rPr>
              <w:t>裸岩石砾地</w:t>
            </w:r>
            <w:r>
              <w:rPr>
                <w:rFonts w:hint="default" w:ascii="Times New Roman" w:hAnsi="Times New Roman" w:eastAsia="仿宋" w:cs="Times New Roman"/>
                <w:b w:val="0"/>
                <w:bCs w:val="0"/>
                <w:color w:val="auto"/>
                <w:sz w:val="24"/>
                <w:szCs w:val="24"/>
              </w:rPr>
              <w:t>，因这部分破坏的土地长时间不能达到恢复，可视为长期影响。矿山主体工程和配套工程建设将使区域内的裸岩石砾地被建设用地和交通用地所替代。因此，总的说来项目在施工期将使区域土地利用格局发生了变化。</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施工期土壤环境影响分析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zh-CN"/>
              </w:rPr>
              <w:t>项目所在区域土壤类型为砂质棕漠土，植被稀少，土地贫瘠，有机质含量低。</w:t>
            </w:r>
            <w:r>
              <w:rPr>
                <w:rFonts w:hint="default" w:ascii="Times New Roman" w:hAnsi="Times New Roman" w:eastAsia="仿宋" w:cs="Times New Roman"/>
                <w:b w:val="0"/>
                <w:bCs w:val="0"/>
                <w:color w:val="auto"/>
                <w:sz w:val="24"/>
                <w:szCs w:val="24"/>
              </w:rPr>
              <w:t>矿区内各种施工活动的临时占地如施工带平整、矿区开拓、作业道路的修建和辅助系统等工程施工占地，对实施区域的土壤环境造成局部性破坏和干扰，不同程度地破坏了局部区域土壤结构，扰乱地表土壤层。根据类比调查和有关资料，此类活动将使土壤有机质降低，影响土壤结构，降低土壤养分。此外，施工中机械碾压、人员践踏、土体翻出堆放地表等，也会造成一定区域内的土壤板结，使土壤生产能力降低。施工回填后剩余的土方造成土壤松散，易引起水土流失，导致土壤中养分的损失。</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施工过程中，各种机械设备和车辆排放的废气与油污、丢弃的固体废物、施工机具车辆的</w:t>
            </w:r>
            <w:r>
              <w:rPr>
                <w:rFonts w:hint="default" w:ascii="Times New Roman" w:hAnsi="Times New Roman" w:eastAsia="仿宋" w:cs="Times New Roman"/>
                <w:b w:val="0"/>
                <w:bCs w:val="0"/>
                <w:color w:val="auto"/>
                <w:sz w:val="24"/>
                <w:szCs w:val="24"/>
                <w:lang w:val="en-US" w:eastAsia="zh-CN"/>
              </w:rPr>
              <w:t>清洗</w:t>
            </w:r>
            <w:r>
              <w:rPr>
                <w:rFonts w:hint="default" w:ascii="Times New Roman" w:hAnsi="Times New Roman" w:eastAsia="仿宋" w:cs="Times New Roman"/>
                <w:b w:val="0"/>
                <w:bCs w:val="0"/>
                <w:color w:val="auto"/>
                <w:sz w:val="24"/>
                <w:szCs w:val="24"/>
              </w:rPr>
              <w:t>污水、临时生活点排放的生活污水等，也将对土壤环境产生一定的影响。</w:t>
            </w:r>
          </w:p>
          <w:p>
            <w:pPr>
              <w:adjustRightInd w:val="0"/>
              <w:snapToGrid w:val="0"/>
              <w:ind w:firstLine="422"/>
              <w:rPr>
                <w:rFonts w:hint="default" w:ascii="Times New Roman" w:hAnsi="Times New Roman" w:eastAsia="仿宋" w:cs="Times New Roman"/>
                <w:b w:val="0"/>
                <w:bCs w:val="0"/>
                <w:color w:val="auto"/>
                <w:sz w:val="24"/>
                <w:szCs w:val="24"/>
                <w:lang w:val="zh-CN"/>
              </w:rPr>
            </w:pPr>
            <w:r>
              <w:rPr>
                <w:rFonts w:hint="default" w:ascii="Times New Roman" w:hAnsi="Times New Roman" w:eastAsia="仿宋" w:cs="Times New Roman"/>
                <w:b w:val="0"/>
                <w:bCs w:val="0"/>
                <w:color w:val="auto"/>
                <w:sz w:val="24"/>
                <w:szCs w:val="24"/>
              </w:rPr>
              <w:t>项目永久占地，地表土壤在施工过程中将彻底清除或被覆盖，施工结束后被水泥建构物等替代，从而根本上改变了所占区域地表覆盖层类型和性质，地表土壤永久不可恢复。</w:t>
            </w:r>
            <w:r>
              <w:rPr>
                <w:rFonts w:hint="default" w:ascii="Times New Roman" w:hAnsi="Times New Roman" w:eastAsia="仿宋" w:cs="Times New Roman"/>
                <w:b w:val="0"/>
                <w:bCs w:val="0"/>
                <w:color w:val="auto"/>
                <w:sz w:val="24"/>
                <w:szCs w:val="24"/>
                <w:lang w:val="zh-CN"/>
              </w:rPr>
              <w:t>项目永久占地面积较小，对区域土壤环境影响较小。</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（3）对土壤侵蚀的影响分析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清理露天开采地表、矿区道路建设、服务设施建设等工程，要进行开挖地表和地面建设，造成施工区域内的地表扰动，从而新增一定量的土壤侵蚀。除此之外矿区范围内其他临时占地也将不可避免的扰动原有相对稳定的地表，使土壤变得疏松，产生一定面积的裸露地面，造成新增水土流失。施工过程中产生的弃土也将导致新的水土流失。施工期对原生地表的扰动和破坏是不可避免的，引起一定程度的土壤侵蚀。</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4</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施工期</w:t>
            </w:r>
            <w:r>
              <w:rPr>
                <w:rFonts w:hint="default" w:ascii="Times New Roman" w:hAnsi="Times New Roman" w:eastAsia="仿宋" w:cs="Times New Roman"/>
                <w:b w:val="0"/>
                <w:bCs w:val="0"/>
                <w:color w:val="auto"/>
                <w:sz w:val="24"/>
                <w:szCs w:val="24"/>
              </w:rPr>
              <w:t>占地会对占地范围内的植被造成影响，但在人工措施的辅助下可以逐步得到恢复。由于本项目区基本为荒漠草原地带，植被稀少，这些植被均为区域的优势种，分布广泛，适应环境能力较强，因此拟建项目的建设不会造成该区段的生物量大量减少，亦不会造成物种丧失和生物多样性下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w:t>
            </w:r>
            <w:r>
              <w:rPr>
                <w:rFonts w:hint="default" w:ascii="Times New Roman" w:hAnsi="Times New Roman" w:eastAsia="仿宋" w:cs="Times New Roman"/>
                <w:b w:val="0"/>
                <w:bCs w:val="0"/>
                <w:color w:val="auto"/>
                <w:sz w:val="24"/>
                <w:szCs w:val="24"/>
                <w:lang w:val="en-US" w:eastAsia="zh-CN"/>
              </w:rPr>
              <w:t>5</w:t>
            </w:r>
            <w:r>
              <w:rPr>
                <w:rFonts w:hint="default" w:ascii="Times New Roman" w:hAnsi="Times New Roman" w:eastAsia="仿宋" w:cs="Times New Roman"/>
                <w:b w:val="0"/>
                <w:bCs w:val="0"/>
                <w:color w:val="auto"/>
                <w:sz w:val="24"/>
                <w:szCs w:val="24"/>
              </w:rPr>
              <w:t>）施工活动中污染物对植物的影响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rPr>
              <w:t>扬尘对植被的影响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工程开发建设中的扬尘是对植物生长产生影响的因素之一，但由于该区域的自然条件使得大气中扬尘易扩散，因此在正常情况下扬尘浓度低，工期短，对植被影响很小。</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rPr>
              <w:t>施工期废水对植被影响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施工期由于只产生少量生活废水，不会对植被产生大的影响。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w:t>
            </w:r>
            <w:r>
              <w:rPr>
                <w:rFonts w:hint="default" w:ascii="Times New Roman" w:hAnsi="Times New Roman" w:eastAsia="仿宋" w:cs="Times New Roman"/>
                <w:b w:val="0"/>
                <w:bCs w:val="0"/>
                <w:color w:val="auto"/>
                <w:sz w:val="24"/>
                <w:szCs w:val="24"/>
                <w:lang w:val="en-US" w:eastAsia="zh-CN"/>
              </w:rPr>
              <w:t>6</w:t>
            </w:r>
            <w:r>
              <w:rPr>
                <w:rFonts w:hint="default" w:ascii="Times New Roman" w:hAnsi="Times New Roman" w:eastAsia="仿宋" w:cs="Times New Roman"/>
                <w:b w:val="0"/>
                <w:bCs w:val="0"/>
                <w:color w:val="auto"/>
                <w:sz w:val="24"/>
                <w:szCs w:val="24"/>
              </w:rPr>
              <w:t>）人为活动对植被的影响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人为活动对植被的影响主要表现为施工人员和作业机械对草本植物的践踏、碾压等，主要由于施工过程中人类践踏形成的小面积局部地段的次生裸地，多集中在临时性占地外围50m范围内，这种影响一般为短期性影响，且强度不大，施工结束，这一影响也逐渐消除。</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7</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施工期对野生动物资源影响分析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在施工过程中，由于各类机械产生的噪声和人为活动的干扰，会使野生动物如啮齿类动物和一些鸟类向外迁移，使评价区周边的局部地区动物的密度相应增加；施工噪声会对野生动物产生驱赶和惊扰作用，另外，施工人员滥捕乱猎等现象的出现，将直接影响到这一地区的某些野生动物种群数量。这种影响可通过加强对施工人员的宣传教育和管理得到消除。</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由于评价区野生动物种类较少，现有的野生动物多为一些常见的鸟类、啮齿类及昆虫等。动物在受到人为影响时均可就近迁入周边地区继续生存繁衍，因此项目建设期不会使评价区内的野生动物物种数量发生较大的变化，其种群数量也不会发生明显变化。只要加强对施工人员的管理，矿区开发对区域野生动物资源不会造成毁灭性影响。</w:t>
            </w:r>
            <w:bookmarkStart w:id="2" w:name="_Toc417381861"/>
            <w:bookmarkStart w:id="3" w:name="_Toc346113447"/>
            <w:bookmarkStart w:id="4" w:name="_Toc406434301"/>
            <w:bookmarkStart w:id="5" w:name="_Toc357066904"/>
            <w:bookmarkStart w:id="6" w:name="_Toc462191111"/>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8</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水土流失影响分析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平整施工区、矿区道路建设等工程，要进行开挖地表和地面建设，造成施工区域内的地表扰动，从而可能引起一定的土壤侵蚀。范围内其它占地也将不可避免的扰动原有相对稳定的地表，使土壤变得疏松，产生一定面积的裸露地面，造成新的水土流失。施工产生的弃土也将导致新的水土流失。施工期对原生地表的扰动和破坏是不可避免的，引起一定程度的土壤侵蚀。</w:t>
            </w:r>
          </w:p>
          <w:bookmarkEnd w:id="2"/>
          <w:bookmarkEnd w:id="3"/>
          <w:bookmarkEnd w:id="4"/>
          <w:bookmarkEnd w:id="5"/>
          <w:bookmarkEnd w:id="6"/>
          <w:p>
            <w:pPr>
              <w:adjustRightInd w:val="0"/>
              <w:snapToGrid w:val="0"/>
              <w:ind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2、环境空气影响分析</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施工期产生废气主要是施工扬尘及燃油施工设备和运输车辆运行时排放废气。</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（1）施工扬尘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施工扬尘主要产生于以下施工过程：</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1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①</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场地清理平整过程产生扬尘；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2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②</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场地开挖、土石方堆放、回填等过程产生扬尘；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3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③</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粉砂状建筑材料运输、装卸、搬运、堆放等过程产生扬尘；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4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④</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粉砂状施工垃圾清理、堆放、装卸、运输等过程产生扬尘；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扬尘产生量及对其周边环境及人群产生影响范围和程度与施工现场的土质和气候、施工设备机械化程度、施工作业方式、施工管理水平、土石方量、路面状况、运输方式等诸多因素密切相关。施工扬尘排放呈间歇、不定量、无组织排放，其中的主要污染因子为颗粒物（TSP）。</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在施工扬尘来源中，场地清理平整、土石方挖掘、堆放和回填、粉砂状物料装卸、搬运、堆放、清理、运输等过程产生扬尘较多，结构施工、设备安装等过程产生扬尘较少或不产生扬尘。施工扬尘污染源多为间歇分散排放源，其排放口距地面高度低，其排放会在施工区域及周边附近区域形成局部污染，如果其未经充分扩散稀释就进入地面呼吸层会对现场施工人员工作环境和健康产生一定影响。</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（2）燃油施工设备和运输车辆运行时排放废气</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各种燃油施工设备和运输车辆运行时排放废气中主要污染因子为SO</w:t>
            </w:r>
            <w:r>
              <w:rPr>
                <w:rFonts w:hint="default" w:ascii="Times New Roman" w:hAnsi="Times New Roman" w:eastAsia="仿宋" w:cs="Times New Roman"/>
                <w:bCs/>
                <w:color w:val="auto"/>
                <w:sz w:val="24"/>
                <w:szCs w:val="24"/>
                <w:vertAlign w:val="subscript"/>
              </w:rPr>
              <w:t>2</w:t>
            </w:r>
            <w:r>
              <w:rPr>
                <w:rFonts w:hint="default" w:ascii="Times New Roman" w:hAnsi="Times New Roman" w:eastAsia="仿宋" w:cs="Times New Roman"/>
                <w:bCs/>
                <w:color w:val="auto"/>
                <w:sz w:val="24"/>
                <w:szCs w:val="24"/>
              </w:rPr>
              <w:t>、NO</w:t>
            </w:r>
            <w:r>
              <w:rPr>
                <w:rFonts w:hint="default" w:ascii="Times New Roman" w:hAnsi="Times New Roman" w:eastAsia="仿宋" w:cs="Times New Roman"/>
                <w:bCs/>
                <w:color w:val="auto"/>
                <w:sz w:val="24"/>
                <w:szCs w:val="24"/>
                <w:vertAlign w:val="subscript"/>
              </w:rPr>
              <w:t>x</w:t>
            </w:r>
            <w:r>
              <w:rPr>
                <w:rFonts w:hint="default" w:ascii="Times New Roman" w:hAnsi="Times New Roman" w:eastAsia="仿宋" w:cs="Times New Roman"/>
                <w:bCs/>
                <w:color w:val="auto"/>
                <w:sz w:val="24"/>
                <w:szCs w:val="24"/>
              </w:rPr>
              <w:t>、CO、烃类等，其产排量与设备和车辆的选型、使用频率、使用燃料种类和用量等相关。各种燃油施工设备和运输车辆运行时排放废气呈间歇、不定量、流动、无组织排放，其产排量较小，对区域大气环境及人群产生影响较小，主要对施工作业点周边以及运输道路沿线两侧局部范围大气环境及人群产生一定影响，经采取选用低能耗、高效率的燃油施工设备和运输车辆，使用清洁燃料，对其注重日常保养维护，确保其良好运转状态等措施可以有效降低燃油施工设备和运输车辆运行时排放废气对周边大气环境及人群产生的影响。</w:t>
            </w:r>
          </w:p>
          <w:p>
            <w:pPr>
              <w:adjustRightInd w:val="0"/>
              <w:snapToGrid w:val="0"/>
              <w:ind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3、水环境影响分析</w:t>
            </w:r>
          </w:p>
          <w:p>
            <w:pPr>
              <w:adjustRightInd w:val="0"/>
              <w:snapToGrid w:val="0"/>
              <w:ind w:firstLine="420"/>
              <w:rPr>
                <w:rFonts w:hint="default" w:ascii="Times New Roman" w:hAnsi="Times New Roman" w:eastAsia="仿宋" w:cs="Times New Roman"/>
                <w:color w:val="auto"/>
                <w:spacing w:val="0"/>
                <w:position w:val="0"/>
                <w:sz w:val="24"/>
                <w:szCs w:val="24"/>
                <w:highlight w:val="none"/>
              </w:rPr>
            </w:pPr>
            <w:r>
              <w:rPr>
                <w:rFonts w:hint="default" w:ascii="Times New Roman" w:hAnsi="Times New Roman" w:eastAsia="仿宋" w:cs="Times New Roman"/>
                <w:color w:val="auto"/>
                <w:spacing w:val="0"/>
                <w:position w:val="0"/>
                <w:sz w:val="24"/>
                <w:szCs w:val="24"/>
                <w:highlight w:val="none"/>
              </w:rPr>
              <w:t>本项目</w:t>
            </w:r>
            <w:r>
              <w:rPr>
                <w:rFonts w:hint="default" w:ascii="Times New Roman" w:hAnsi="Times New Roman" w:eastAsia="仿宋" w:cs="Times New Roman"/>
                <w:color w:val="auto"/>
                <w:spacing w:val="0"/>
                <w:position w:val="0"/>
                <w:sz w:val="24"/>
                <w:szCs w:val="24"/>
                <w:highlight w:val="none"/>
                <w:lang w:val="en-US" w:eastAsia="zh-CN"/>
              </w:rPr>
              <w:t>不设置</w:t>
            </w:r>
            <w:r>
              <w:rPr>
                <w:rFonts w:hint="default" w:ascii="Times New Roman" w:hAnsi="Times New Roman" w:eastAsia="仿宋" w:cs="Times New Roman"/>
                <w:color w:val="auto"/>
                <w:spacing w:val="0"/>
                <w:position w:val="0"/>
                <w:sz w:val="24"/>
                <w:szCs w:val="24"/>
                <w:highlight w:val="none"/>
              </w:rPr>
              <w:t>施工营地，施工人员为当地人员，</w:t>
            </w:r>
            <w:r>
              <w:rPr>
                <w:rFonts w:hint="default" w:ascii="Times New Roman" w:hAnsi="Times New Roman" w:eastAsia="仿宋" w:cs="Times New Roman"/>
                <w:color w:val="auto"/>
                <w:spacing w:val="0"/>
                <w:position w:val="0"/>
                <w:sz w:val="24"/>
                <w:szCs w:val="24"/>
                <w:highlight w:val="none"/>
                <w:lang w:val="zh-CN" w:bidi="zh-CN"/>
              </w:rPr>
              <w:t>施工人员产生的生活污水主要污染物为COD</w:t>
            </w:r>
            <w:r>
              <w:rPr>
                <w:rFonts w:hint="default" w:ascii="Times New Roman" w:hAnsi="Times New Roman" w:eastAsia="仿宋" w:cs="Times New Roman"/>
                <w:color w:val="auto"/>
                <w:spacing w:val="0"/>
                <w:position w:val="0"/>
                <w:sz w:val="24"/>
                <w:szCs w:val="24"/>
                <w:highlight w:val="none"/>
                <w:vertAlign w:val="subscript"/>
                <w:lang w:val="zh-CN" w:bidi="zh-CN"/>
              </w:rPr>
              <w:t>Cr</w:t>
            </w:r>
            <w:r>
              <w:rPr>
                <w:rFonts w:hint="default" w:ascii="Times New Roman" w:hAnsi="Times New Roman" w:eastAsia="仿宋" w:cs="Times New Roman"/>
                <w:color w:val="auto"/>
                <w:spacing w:val="0"/>
                <w:position w:val="0"/>
                <w:sz w:val="24"/>
                <w:szCs w:val="24"/>
                <w:highlight w:val="none"/>
                <w:lang w:val="zh-CN" w:bidi="zh-CN"/>
              </w:rPr>
              <w:t>、BOD</w:t>
            </w:r>
            <w:r>
              <w:rPr>
                <w:rFonts w:hint="default" w:ascii="Times New Roman" w:hAnsi="Times New Roman" w:eastAsia="仿宋" w:cs="Times New Roman"/>
                <w:color w:val="auto"/>
                <w:spacing w:val="0"/>
                <w:position w:val="0"/>
                <w:sz w:val="24"/>
                <w:szCs w:val="24"/>
                <w:highlight w:val="none"/>
                <w:vertAlign w:val="subscript"/>
                <w:lang w:bidi="zh-CN"/>
              </w:rPr>
              <w:t>5</w:t>
            </w:r>
            <w:r>
              <w:rPr>
                <w:rFonts w:hint="default" w:ascii="Times New Roman" w:hAnsi="Times New Roman" w:eastAsia="仿宋" w:cs="Times New Roman"/>
                <w:color w:val="auto"/>
                <w:spacing w:val="0"/>
                <w:position w:val="0"/>
                <w:sz w:val="24"/>
                <w:szCs w:val="24"/>
                <w:highlight w:val="none"/>
                <w:lang w:val="zh-CN" w:bidi="zh-CN"/>
              </w:rPr>
              <w:t>、NH</w:t>
            </w:r>
            <w:r>
              <w:rPr>
                <w:rFonts w:hint="default" w:ascii="Times New Roman" w:hAnsi="Times New Roman" w:eastAsia="仿宋" w:cs="Times New Roman"/>
                <w:color w:val="auto"/>
                <w:spacing w:val="0"/>
                <w:position w:val="0"/>
                <w:sz w:val="24"/>
                <w:szCs w:val="24"/>
                <w:highlight w:val="none"/>
                <w:vertAlign w:val="subscript"/>
                <w:lang w:val="zh-CN" w:bidi="zh-CN"/>
              </w:rPr>
              <w:t>3</w:t>
            </w:r>
            <w:r>
              <w:rPr>
                <w:rFonts w:hint="default" w:ascii="Times New Roman" w:hAnsi="Times New Roman" w:eastAsia="仿宋" w:cs="Times New Roman"/>
                <w:color w:val="auto"/>
                <w:spacing w:val="0"/>
                <w:position w:val="0"/>
                <w:sz w:val="24"/>
                <w:szCs w:val="24"/>
                <w:highlight w:val="none"/>
                <w:lang w:val="zh-CN" w:bidi="zh-CN"/>
              </w:rPr>
              <w:t>-N、SS等。本项目施工高峰期总人数按</w:t>
            </w:r>
            <w:r>
              <w:rPr>
                <w:rFonts w:hint="default" w:ascii="Times New Roman" w:hAnsi="Times New Roman" w:eastAsia="仿宋" w:cs="Times New Roman"/>
                <w:color w:val="auto"/>
                <w:spacing w:val="0"/>
                <w:position w:val="0"/>
                <w:sz w:val="24"/>
                <w:szCs w:val="24"/>
                <w:highlight w:val="none"/>
                <w:lang w:val="en-US" w:bidi="zh-CN"/>
              </w:rPr>
              <w:t>10</w:t>
            </w:r>
            <w:r>
              <w:rPr>
                <w:rFonts w:hint="default" w:ascii="Times New Roman" w:hAnsi="Times New Roman" w:eastAsia="仿宋" w:cs="Times New Roman"/>
                <w:color w:val="auto"/>
                <w:spacing w:val="0"/>
                <w:position w:val="0"/>
                <w:sz w:val="24"/>
                <w:szCs w:val="24"/>
                <w:highlight w:val="none"/>
                <w:lang w:val="zh-CN" w:bidi="zh-CN"/>
              </w:rPr>
              <w:t>人计，施工人员每天生活用水以</w:t>
            </w:r>
            <w:r>
              <w:rPr>
                <w:rFonts w:hint="default" w:ascii="Times New Roman" w:hAnsi="Times New Roman" w:eastAsia="仿宋" w:cs="Times New Roman"/>
                <w:color w:val="auto"/>
                <w:spacing w:val="0"/>
                <w:position w:val="0"/>
                <w:sz w:val="24"/>
                <w:szCs w:val="24"/>
                <w:highlight w:val="none"/>
                <w:lang w:bidi="zh-CN"/>
              </w:rPr>
              <w:t>50</w:t>
            </w:r>
            <w:r>
              <w:rPr>
                <w:rFonts w:hint="default" w:ascii="Times New Roman" w:hAnsi="Times New Roman" w:eastAsia="仿宋" w:cs="Times New Roman"/>
                <w:color w:val="auto"/>
                <w:spacing w:val="0"/>
                <w:position w:val="0"/>
                <w:sz w:val="24"/>
                <w:szCs w:val="24"/>
                <w:highlight w:val="none"/>
                <w:lang w:val="zh-CN" w:bidi="zh-CN"/>
              </w:rPr>
              <w:t>L/人·d计，生活污水按用水量的80%计，则生活污水的排放量为</w:t>
            </w:r>
            <w:r>
              <w:rPr>
                <w:rFonts w:hint="default" w:ascii="Times New Roman" w:hAnsi="Times New Roman" w:eastAsia="仿宋" w:cs="Times New Roman"/>
                <w:color w:val="auto"/>
                <w:spacing w:val="0"/>
                <w:position w:val="0"/>
                <w:sz w:val="24"/>
                <w:szCs w:val="24"/>
                <w:highlight w:val="none"/>
                <w:lang w:val="en-US" w:bidi="zh-CN"/>
              </w:rPr>
              <w:t>0.4</w:t>
            </w:r>
            <w:r>
              <w:rPr>
                <w:rFonts w:hint="default" w:ascii="Times New Roman" w:hAnsi="Times New Roman" w:eastAsia="仿宋" w:cs="Times New Roman"/>
                <w:color w:val="auto"/>
                <w:spacing w:val="0"/>
                <w:position w:val="0"/>
                <w:sz w:val="24"/>
                <w:szCs w:val="24"/>
                <w:highlight w:val="none"/>
                <w:lang w:val="zh-CN" w:bidi="zh-CN"/>
              </w:rPr>
              <w:t>m³/d，该项目施工期施工人员生活污水</w:t>
            </w:r>
            <w:r>
              <w:rPr>
                <w:rFonts w:hint="default" w:ascii="Times New Roman" w:hAnsi="Times New Roman" w:eastAsia="仿宋" w:cs="Times New Roman"/>
                <w:color w:val="auto"/>
                <w:spacing w:val="0"/>
                <w:position w:val="0"/>
                <w:sz w:val="24"/>
                <w:szCs w:val="24"/>
                <w:highlight w:val="none"/>
                <w:lang w:val="en-US" w:bidi="zh-CN"/>
              </w:rPr>
              <w:t>经</w:t>
            </w:r>
            <w:r>
              <w:rPr>
                <w:rFonts w:hint="eastAsia" w:eastAsia="仿宋" w:cs="Times New Roman"/>
                <w:color w:val="auto"/>
                <w:spacing w:val="0"/>
                <w:position w:val="0"/>
                <w:sz w:val="24"/>
                <w:szCs w:val="24"/>
                <w:highlight w:val="none"/>
                <w:lang w:val="en-US" w:bidi="zh-CN"/>
              </w:rPr>
              <w:t>防渗化粪池</w:t>
            </w:r>
            <w:r>
              <w:rPr>
                <w:rFonts w:hint="default" w:ascii="Times New Roman" w:hAnsi="Times New Roman" w:eastAsia="仿宋" w:cs="Times New Roman"/>
                <w:color w:val="auto"/>
                <w:spacing w:val="0"/>
                <w:position w:val="0"/>
                <w:sz w:val="24"/>
                <w:szCs w:val="24"/>
                <w:highlight w:val="none"/>
                <w:lang w:val="en-US" w:bidi="zh-CN"/>
              </w:rPr>
              <w:t>暂存后统一拉运至鄯善县污水处理厂</w:t>
            </w:r>
            <w:r>
              <w:rPr>
                <w:rFonts w:hint="default" w:ascii="Times New Roman" w:hAnsi="Times New Roman" w:eastAsia="仿宋" w:cs="Times New Roman"/>
                <w:color w:val="auto"/>
                <w:spacing w:val="0"/>
                <w:position w:val="0"/>
                <w:sz w:val="24"/>
                <w:szCs w:val="24"/>
                <w:highlight w:val="none"/>
              </w:rPr>
              <w:t>。</w:t>
            </w:r>
          </w:p>
          <w:p>
            <w:pPr>
              <w:spacing w:line="360" w:lineRule="auto"/>
              <w:ind w:firstLine="480" w:firstLineChars="200"/>
              <w:rPr>
                <w:rFonts w:hint="default" w:ascii="Times New Roman" w:hAnsi="Times New Roman" w:eastAsia="仿宋" w:cs="Times New Roman"/>
                <w:color w:val="auto"/>
                <w:spacing w:val="0"/>
                <w:position w:val="0"/>
                <w:sz w:val="24"/>
                <w:lang w:val="en-US" w:eastAsia="zh-CN"/>
              </w:rPr>
            </w:pPr>
            <w:r>
              <w:rPr>
                <w:rFonts w:hint="default" w:ascii="Times New Roman" w:hAnsi="Times New Roman" w:eastAsia="仿宋" w:cs="Times New Roman"/>
                <w:color w:val="auto"/>
                <w:spacing w:val="0"/>
                <w:position w:val="0"/>
                <w:sz w:val="24"/>
                <w:szCs w:val="24"/>
                <w:lang w:val="en-US" w:eastAsia="zh-CN" w:bidi="zh-CN"/>
              </w:rPr>
              <w:t>施工期生产废水主要为机械设备冲洗废水、混凝土养护废水，其污染物为悬浮物和石油类，</w:t>
            </w:r>
            <w:r>
              <w:rPr>
                <w:rFonts w:hint="default" w:ascii="Times New Roman" w:hAnsi="Times New Roman" w:eastAsia="仿宋" w:cs="Times New Roman"/>
                <w:color w:val="auto"/>
                <w:spacing w:val="0"/>
                <w:position w:val="0"/>
                <w:sz w:val="24"/>
              </w:rPr>
              <w:t>该类废水中SS浓度在3000mg/L-5000mg/L，</w:t>
            </w:r>
            <w:r>
              <w:rPr>
                <w:rFonts w:hint="default" w:ascii="Times New Roman" w:hAnsi="Times New Roman" w:eastAsia="仿宋" w:cs="Times New Roman"/>
                <w:color w:val="auto"/>
                <w:spacing w:val="0"/>
                <w:position w:val="0"/>
                <w:sz w:val="24"/>
                <w:lang w:val="en-US" w:eastAsia="zh-CN"/>
              </w:rPr>
              <w:t>拟在施工区设置简易沉淀池，施工废水经沉淀池沉淀后回用于场地及道路降尘等。</w:t>
            </w:r>
          </w:p>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4、声环境影响分析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（1）施工噪声源强调查</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施工噪声主要有设备噪声、机械噪声等。</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施工设备噪声主要是推土机、空压机、挖掘机、平地机、振捣机等施工机械设备，距离设备10m处的噪声源强一般在60~82dB(A)。根据有关资料，主要施工机械的噪声状况列于表4-1。</w:t>
            </w:r>
          </w:p>
          <w:p>
            <w:pPr>
              <w:snapToGrid w:val="0"/>
              <w:spacing w:line="36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表4-1主要施工机械设备噪声</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3197"/>
              <w:gridCol w:w="516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施工设备名称</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距设备10m处平均A声级dB（A）</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空压机</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推土机</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全液压挖掘机</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平地机</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振捣机</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运输车辆</w:t>
                  </w:r>
                </w:p>
              </w:tc>
              <w:tc>
                <w:tcPr>
                  <w:tcW w:w="308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65</w:t>
                  </w:r>
                </w:p>
              </w:tc>
            </w:tr>
          </w:tbl>
          <w:p>
            <w:pPr>
              <w:adjustRightInd w:val="0"/>
              <w:snapToGrid w:val="0"/>
              <w:spacing w:before="120" w:beforeLines="5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由表4-1可以看出，施工机械设备噪声很高，在实际施工过程中，往往是各种机械同时工作，各种噪声源辐射的相互叠加，噪声级将会更高，辐射面也会更大。</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（2）施工期噪声影响分析及防治对策</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由于本工程施工机械产生的噪声主要属中低频噪声，因此在预测其影响时可只考虑其扩散衰减，预测模型可选用：</w:t>
            </w:r>
          </w:p>
          <w:p>
            <w:pPr>
              <w:adjustRightInd w:val="0"/>
              <w:snapToGrid w:val="0"/>
              <w:ind w:firstLine="1320" w:firstLineChars="55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-20lgr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&gt;r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式中：L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分别为距声源r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处的等效A声级（dB(A)）；</w:t>
            </w:r>
          </w:p>
          <w:p>
            <w:pPr>
              <w:adjustRightInd w:val="0"/>
              <w:snapToGrid w:val="0"/>
              <w:ind w:firstLine="1200" w:firstLineChars="5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为接受点距声源的距离（m）。</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由上式可推出噪声随距离增加而衰减的量ΔL；</w:t>
            </w:r>
          </w:p>
          <w:p>
            <w:pPr>
              <w:adjustRightInd w:val="0"/>
              <w:snapToGrid w:val="0"/>
              <w:ind w:firstLine="1190" w:firstLineChars="496"/>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ΔL=L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=20lgr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由此式可计算出噪声值随距离衰减值，具体衰减情况见表4-2。</w:t>
            </w:r>
          </w:p>
          <w:p>
            <w:pPr>
              <w:snapToGrid w:val="0"/>
              <w:spacing w:line="360" w:lineRule="auto"/>
              <w:ind w:firstLine="0" w:firstLineChars="0"/>
              <w:jc w:val="center"/>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表4-2噪声值随距离的衰减关系</w:t>
            </w:r>
          </w:p>
          <w:tbl>
            <w:tblPr>
              <w:tblStyle w:val="86"/>
              <w:tblW w:w="49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3"/>
              <w:gridCol w:w="571"/>
              <w:gridCol w:w="473"/>
              <w:gridCol w:w="721"/>
              <w:gridCol w:w="722"/>
              <w:gridCol w:w="722"/>
              <w:gridCol w:w="721"/>
              <w:gridCol w:w="722"/>
              <w:gridCol w:w="754"/>
              <w:gridCol w:w="754"/>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09" w:type="pct"/>
                  <w:vMerge w:val="restart"/>
                  <w:tcBorders>
                    <w:top w:val="single" w:color="000000" w:sz="2" w:space="0"/>
                    <w:left w:val="single" w:color="000000" w:sz="2" w:space="0"/>
                    <w:bottom w:val="nil"/>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设备名称</w:t>
                  </w:r>
                </w:p>
              </w:tc>
              <w:tc>
                <w:tcPr>
                  <w:tcW w:w="344" w:type="pct"/>
                  <w:vMerge w:val="restart"/>
                  <w:tcBorders>
                    <w:top w:val="single" w:color="000000" w:sz="2" w:space="0"/>
                    <w:bottom w:val="nil"/>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声级</w:t>
                  </w:r>
                </w:p>
              </w:tc>
              <w:tc>
                <w:tcPr>
                  <w:tcW w:w="3845" w:type="pct"/>
                  <w:gridSpan w:val="9"/>
                  <w:tcBorders>
                    <w:top w:val="single" w:color="000000" w:sz="2" w:space="0"/>
                    <w:right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不同距离处的噪声值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809" w:type="pct"/>
                  <w:vMerge w:val="continue"/>
                  <w:tcBorders>
                    <w:top w:val="nil"/>
                    <w:lef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p>
              </w:tc>
              <w:tc>
                <w:tcPr>
                  <w:tcW w:w="344"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5m</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40m</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150m</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809" w:type="pct"/>
                  <w:tcBorders>
                    <w:left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空压机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105</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91</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85</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79</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73</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69.4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66.9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61.5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9" w:type="pct"/>
                  <w:tcBorders>
                    <w:left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推土机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116</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102</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96</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90</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84</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77.9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76</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72.5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809" w:type="pct"/>
                  <w:tcBorders>
                    <w:left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全液压挖掘机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108</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94</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88</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82</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72.4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69.9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68</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64.5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9" w:type="pct"/>
                  <w:tcBorders>
                    <w:left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平地机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100</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68</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64.4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61.9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56.5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809" w:type="pct"/>
                  <w:tcBorders>
                    <w:left w:val="single" w:color="000000" w:sz="2" w:space="0"/>
                    <w:bottom w:val="single" w:color="000000" w:sz="2"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振捣机</w:t>
                  </w:r>
                </w:p>
              </w:tc>
              <w:tc>
                <w:tcPr>
                  <w:tcW w:w="34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106</w:t>
                  </w:r>
                </w:p>
              </w:tc>
              <w:tc>
                <w:tcPr>
                  <w:tcW w:w="28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92</w:t>
                  </w:r>
                </w:p>
              </w:tc>
              <w:tc>
                <w:tcPr>
                  <w:tcW w:w="43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86</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74</w:t>
                  </w:r>
                </w:p>
              </w:tc>
              <w:tc>
                <w:tcPr>
                  <w:tcW w:w="43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70.4</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67.9</w:t>
                  </w:r>
                </w:p>
              </w:tc>
              <w:tc>
                <w:tcPr>
                  <w:tcW w:w="45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66</w:t>
                  </w:r>
                </w:p>
              </w:tc>
              <w:tc>
                <w:tcPr>
                  <w:tcW w:w="45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62.5</w:t>
                  </w:r>
                </w:p>
              </w:tc>
              <w:tc>
                <w:tcPr>
                  <w:tcW w:w="472" w:type="pct"/>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r>
          </w:tbl>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由表4-2可知，施工机械中以推土机噪声影响程度最大。各种机械噪声源强均在75dB(A)以上，对靠近施工现场100m范围内的影响较大。由于在项目区周围5km范围内无居民区，所以工程施工对外环境的影响较小。</w:t>
            </w:r>
          </w:p>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5、固体废物影响分析</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本项目施工期间产生固体废物主要是少量施工垃圾和生活垃圾。</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施工垃圾主要是施工过程产生建筑垃圾、剩余建筑材料等，其中：建筑垃圾集中收集后定期统一运至当地城建部门指定的建筑垃圾场处置，剩余建筑材料回收利用。</w:t>
            </w:r>
          </w:p>
          <w:p>
            <w:pPr>
              <w:adjustRightInd w:val="0"/>
              <w:snapToGrid w:val="0"/>
              <w:ind w:firstLine="42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color w:val="auto"/>
                <w:spacing w:val="0"/>
                <w:position w:val="0"/>
                <w:sz w:val="24"/>
                <w:highlight w:val="none"/>
              </w:rPr>
              <w:t>本项目施工期主要为施工人员产生的生活垃圾，项目施工人数</w:t>
            </w:r>
            <w:r>
              <w:rPr>
                <w:rFonts w:hint="default" w:ascii="Times New Roman" w:hAnsi="Times New Roman" w:eastAsia="仿宋" w:cs="Times New Roman"/>
                <w:color w:val="auto"/>
                <w:spacing w:val="0"/>
                <w:position w:val="0"/>
                <w:sz w:val="24"/>
                <w:highlight w:val="none"/>
                <w:lang w:val="en-US" w:eastAsia="zh-CN"/>
              </w:rPr>
              <w:t>10</w:t>
            </w:r>
            <w:r>
              <w:rPr>
                <w:rFonts w:hint="default" w:ascii="Times New Roman" w:hAnsi="Times New Roman" w:eastAsia="仿宋" w:cs="Times New Roman"/>
                <w:color w:val="auto"/>
                <w:spacing w:val="0"/>
                <w:position w:val="0"/>
                <w:sz w:val="24"/>
                <w:highlight w:val="none"/>
              </w:rPr>
              <w:t>人，按每人每天生活垃圾产生量为0.5kg计，本项目</w:t>
            </w:r>
            <w:r>
              <w:rPr>
                <w:rFonts w:hint="default" w:ascii="Times New Roman" w:hAnsi="Times New Roman" w:eastAsia="仿宋" w:cs="Times New Roman"/>
                <w:color w:val="auto"/>
                <w:spacing w:val="0"/>
                <w:position w:val="0"/>
                <w:sz w:val="24"/>
                <w:highlight w:val="none"/>
                <w:lang w:val="en-US" w:eastAsia="zh-CN"/>
              </w:rPr>
              <w:t>施工期</w:t>
            </w:r>
            <w:r>
              <w:rPr>
                <w:rFonts w:hint="default" w:ascii="Times New Roman" w:hAnsi="Times New Roman" w:eastAsia="仿宋" w:cs="Times New Roman"/>
                <w:color w:val="auto"/>
                <w:spacing w:val="0"/>
                <w:position w:val="0"/>
                <w:sz w:val="24"/>
                <w:highlight w:val="none"/>
              </w:rPr>
              <w:t>产生的生活垃圾为</w:t>
            </w:r>
            <w:r>
              <w:rPr>
                <w:rFonts w:hint="default" w:ascii="Times New Roman" w:hAnsi="Times New Roman" w:eastAsia="仿宋" w:cs="Times New Roman"/>
                <w:color w:val="auto"/>
                <w:spacing w:val="0"/>
                <w:position w:val="0"/>
                <w:sz w:val="24"/>
                <w:highlight w:val="none"/>
                <w:lang w:val="en-US" w:eastAsia="zh-CN"/>
              </w:rPr>
              <w:t>5千克/天</w:t>
            </w:r>
            <w:r>
              <w:rPr>
                <w:rFonts w:hint="default" w:ascii="Times New Roman" w:hAnsi="Times New Roman" w:eastAsia="仿宋" w:cs="Times New Roman"/>
                <w:color w:val="auto"/>
                <w:spacing w:val="0"/>
                <w:position w:val="0"/>
                <w:sz w:val="24"/>
                <w:highlight w:val="none"/>
              </w:rPr>
              <w:t>，生活垃圾集中收集后由</w:t>
            </w:r>
            <w:r>
              <w:rPr>
                <w:rFonts w:hint="default" w:ascii="Times New Roman" w:hAnsi="Times New Roman" w:eastAsia="仿宋" w:cs="Times New Roman"/>
                <w:color w:val="auto"/>
                <w:spacing w:val="0"/>
                <w:position w:val="0"/>
                <w:sz w:val="24"/>
                <w:highlight w:val="none"/>
                <w:lang w:val="en-US" w:eastAsia="zh-CN"/>
              </w:rPr>
              <w:t>统一</w:t>
            </w:r>
            <w:r>
              <w:rPr>
                <w:rFonts w:hint="default" w:ascii="Times New Roman" w:hAnsi="Times New Roman" w:eastAsia="仿宋" w:cs="Times New Roman"/>
                <w:color w:val="auto"/>
                <w:spacing w:val="0"/>
                <w:position w:val="0"/>
                <w:sz w:val="24"/>
                <w:highlight w:val="none"/>
              </w:rPr>
              <w:t>清运至当地垃圾填埋场集中处置</w:t>
            </w:r>
            <w:r>
              <w:rPr>
                <w:rFonts w:hint="default" w:ascii="Times New Roman" w:hAnsi="Times New Roman" w:eastAsia="仿宋" w:cs="Times New Roman"/>
                <w:bCs/>
                <w:color w:val="auto"/>
                <w:sz w:val="24"/>
                <w:szCs w:val="24"/>
                <w:highlight w:val="none"/>
                <w:lang w:eastAsia="zh-CN"/>
              </w:rPr>
              <w:t>。</w:t>
            </w: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jc w:val="center"/>
              <w:rPr>
                <w:rFonts w:hint="default" w:ascii="Times New Roman" w:hAnsi="Times New Roman" w:eastAsia="仿宋" w:cs="Times New Roman"/>
                <w:bCs/>
                <w:color w:val="auto"/>
                <w:sz w:val="24"/>
                <w:szCs w:val="24"/>
              </w:rPr>
            </w:pPr>
          </w:p>
          <w:p>
            <w:pPr>
              <w:pStyle w:val="2"/>
              <w:rPr>
                <w:rFonts w:hint="default" w:ascii="Times New Roman" w:hAnsi="Times New Roman" w:eastAsia="仿宋" w:cs="Times New Roman"/>
                <w:bCs/>
                <w:color w:val="auto"/>
                <w:sz w:val="24"/>
                <w:szCs w:val="24"/>
              </w:rPr>
            </w:pPr>
          </w:p>
          <w:p>
            <w:pPr>
              <w:pStyle w:val="3"/>
              <w:ind w:left="0" w:leftChars="0" w:firstLine="0" w:firstLineChars="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left="0" w:leftChars="0"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4" w:hRule="atLeast"/>
          <w:jc w:val="center"/>
        </w:trPr>
        <w:tc>
          <w:tcPr>
            <w:tcW w:w="621" w:type="dxa"/>
            <w:tcMar>
              <w:left w:w="28" w:type="dxa"/>
              <w:right w:w="28" w:type="dxa"/>
            </w:tcMar>
            <w:vAlign w:val="center"/>
          </w:tcPr>
          <w:p>
            <w:pPr>
              <w:pStyle w:val="20"/>
              <w:adjustRightInd w:val="0"/>
              <w:snapToGrid w:val="0"/>
              <w:spacing w:before="0" w:beforeAutospacing="0" w:after="0" w:afterAutospacing="0" w:line="240" w:lineRule="auto"/>
              <w:ind w:firstLine="0" w:firstLineChars="0"/>
              <w:jc w:val="center"/>
              <w:rPr>
                <w:rFonts w:hint="default" w:ascii="Times New Roman" w:hAnsi="Times New Roman" w:eastAsia="仿宋" w:cs="Times New Roman"/>
                <w:bCs/>
                <w:color w:val="auto"/>
                <w:kern w:val="2"/>
                <w:sz w:val="21"/>
                <w:szCs w:val="21"/>
              </w:rPr>
            </w:pPr>
            <w:r>
              <w:rPr>
                <w:rFonts w:hint="default" w:ascii="Times New Roman" w:hAnsi="Times New Roman" w:eastAsia="仿宋" w:cs="Times New Roman"/>
                <w:bCs/>
                <w:color w:val="auto"/>
                <w:spacing w:val="10"/>
                <w:kern w:val="2"/>
                <w:sz w:val="21"/>
                <w:szCs w:val="21"/>
              </w:rPr>
              <w:t>运营期生态环境影响分析</w:t>
            </w:r>
          </w:p>
        </w:tc>
        <w:tc>
          <w:tcPr>
            <w:tcW w:w="8558" w:type="dxa"/>
          </w:tcPr>
          <w:p>
            <w:pPr>
              <w:overflowPunct w:val="0"/>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1、生态环境影响分析</w:t>
            </w:r>
          </w:p>
          <w:p>
            <w:pPr>
              <w:pStyle w:val="62"/>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w:t>
            </w:r>
            <w:r>
              <w:rPr>
                <w:rFonts w:hint="default" w:ascii="Times New Roman" w:hAnsi="Times New Roman" w:eastAsia="仿宋" w:cs="Times New Roman"/>
                <w:color w:val="auto"/>
                <w:sz w:val="24"/>
                <w:szCs w:val="24"/>
                <w:lang w:eastAsia="zh-CN"/>
              </w:rPr>
              <w:t>位于鄯善县七克台镇北东56°方向直线距离36.5千米处</w:t>
            </w:r>
            <w:r>
              <w:rPr>
                <w:rFonts w:hint="default" w:ascii="Times New Roman" w:hAnsi="Times New Roman" w:eastAsia="仿宋" w:cs="Times New Roman"/>
                <w:color w:val="auto"/>
                <w:sz w:val="24"/>
                <w:szCs w:val="24"/>
              </w:rPr>
              <w:t>，项目区及周边附近区域内动物以啮齿类、爬行类、昆虫类、鸟类等为主，无国家及自治区级珍稀濒危保护动物活动。项目区及周边附近区域内无自然保护区、风景名胜区、文化自然遗产地、文物保护单位、大型集中办公居民区、军事基地</w:t>
            </w:r>
            <w:r>
              <w:rPr>
                <w:rFonts w:hint="eastAsia" w:eastAsia="仿宋" w:cs="Times New Roman"/>
                <w:color w:val="auto"/>
                <w:sz w:val="24"/>
                <w:szCs w:val="24"/>
                <w:lang w:eastAsia="zh-CN"/>
              </w:rPr>
              <w:t>、</w:t>
            </w:r>
            <w:r>
              <w:rPr>
                <w:rFonts w:hint="default" w:ascii="Times New Roman" w:hAnsi="Times New Roman" w:eastAsia="仿宋" w:cs="Times New Roman"/>
                <w:color w:val="auto"/>
                <w:kern w:val="0"/>
                <w:sz w:val="24"/>
                <w:szCs w:val="24"/>
                <w:lang w:val="en-US" w:eastAsia="zh-CN" w:bidi="ar"/>
              </w:rPr>
              <w:t>土地封禁保护区、水土流失重点防御区和重点治理区等环境敏感区</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本项目开采活动对区域生态的影响主要表现在土地占用扰动地表、景观影响、水土流失等方面，随着项目开发建设，地表开挖、修建人工设施、破坏矿区地貌、破坏自然景观等影响，这种生态格局的变化，使矿区固有的自然生态功能部分丧失。同时，造成水土流失、生态环境质量下降等问题，而且随着时间的推移和开发规模的扩大，这种景观结构的变化可能延伸、扩大。</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具体影响见下表：</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3</w:t>
            </w:r>
            <w:r>
              <w:rPr>
                <w:rFonts w:hint="default" w:ascii="Times New Roman" w:hAnsi="Times New Roman" w:eastAsia="仿宋" w:cs="Times New Roman"/>
                <w:b/>
                <w:color w:val="auto"/>
                <w:kern w:val="0"/>
                <w:sz w:val="21"/>
                <w:szCs w:val="21"/>
              </w:rPr>
              <w:t>本项目生态环境影响一览表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55"/>
              <w:gridCol w:w="62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主要影响活动及项目</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运营期影响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露天开采</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采坑占地范围植被全部破坏，地貌发生变化，水土流失加剧；噪声、震动扰动野生动物栖息。扬尘影响植物呼吸作用和光合作用。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汽车运输</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color w:val="auto"/>
                      <w:kern w:val="0"/>
                      <w:sz w:val="21"/>
                      <w:szCs w:val="21"/>
                    </w:rPr>
                    <w:t>扬尘影响植物生长，噪声干扰野生动物的生存活动。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289"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lang w:eastAsia="zh-CN"/>
                    </w:rPr>
                  </w:pPr>
                  <w:r>
                    <w:rPr>
                      <w:rFonts w:hint="default" w:ascii="Times New Roman" w:hAnsi="Times New Roman" w:eastAsia="仿宋" w:cs="Times New Roman"/>
                      <w:bCs/>
                      <w:color w:val="auto"/>
                      <w:sz w:val="21"/>
                      <w:szCs w:val="21"/>
                      <w:lang w:eastAsia="zh-CN"/>
                    </w:rPr>
                    <w:t>废石堆场</w:t>
                  </w:r>
                </w:p>
              </w:tc>
              <w:tc>
                <w:tcPr>
                  <w:tcW w:w="3710" w:type="pct"/>
                  <w:vAlign w:val="center"/>
                </w:tcPr>
                <w:p>
                  <w:pPr>
                    <w:autoSpaceDE w:val="0"/>
                    <w:autoSpaceDN w:val="0"/>
                    <w:adjustRightIn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占用土地，影响周围土壤的质量，无植被覆盖，水土流失加剧，使局部环境恶化。</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（1）对土地利用功能的影响分析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本项目占地范围土地利用类型均属于</w:t>
            </w:r>
            <w:r>
              <w:rPr>
                <w:rFonts w:hint="default" w:ascii="Times New Roman" w:hAnsi="Times New Roman" w:eastAsia="仿宋" w:cs="Times New Roman"/>
                <w:color w:val="auto"/>
                <w:sz w:val="24"/>
                <w:szCs w:val="24"/>
                <w:lang w:val="en-US" w:eastAsia="zh-CN"/>
              </w:rPr>
              <w:t>裸岩石砾地</w:t>
            </w:r>
            <w:r>
              <w:rPr>
                <w:rFonts w:hint="default" w:ascii="Times New Roman" w:hAnsi="Times New Roman" w:eastAsia="仿宋" w:cs="Times New Roman"/>
                <w:color w:val="auto"/>
                <w:sz w:val="24"/>
                <w:szCs w:val="24"/>
              </w:rPr>
              <w:t>。运营期</w:t>
            </w:r>
            <w:r>
              <w:rPr>
                <w:rFonts w:hint="eastAsia" w:eastAsia="仿宋" w:cs="Times New Roman"/>
                <w:color w:val="auto"/>
                <w:sz w:val="24"/>
                <w:szCs w:val="24"/>
                <w:lang w:val="en-US" w:eastAsia="zh-CN"/>
              </w:rPr>
              <w:t>损坏土地</w:t>
            </w:r>
            <w:r>
              <w:rPr>
                <w:rFonts w:hint="default" w:ascii="Times New Roman" w:hAnsi="Times New Roman" w:eastAsia="仿宋" w:cs="Times New Roman"/>
                <w:color w:val="auto"/>
                <w:sz w:val="24"/>
                <w:szCs w:val="24"/>
              </w:rPr>
              <w:t>占地面积为</w:t>
            </w:r>
            <w:r>
              <w:rPr>
                <w:rFonts w:hint="eastAsia" w:eastAsia="仿宋" w:cs="Times New Roman"/>
                <w:color w:val="auto"/>
                <w:sz w:val="24"/>
                <w:szCs w:val="24"/>
                <w:lang w:val="en-US" w:eastAsia="zh-CN"/>
              </w:rPr>
              <w:t>291200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拟建矿山道路占地面积8000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共计扰动299200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rPr>
              <w:t>本项目占地情况见表4-</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4</w:t>
            </w:r>
            <w:r>
              <w:rPr>
                <w:rFonts w:hint="default" w:ascii="Times New Roman" w:hAnsi="Times New Roman" w:eastAsia="仿宋" w:cs="Times New Roman"/>
                <w:b/>
                <w:color w:val="auto"/>
                <w:kern w:val="0"/>
                <w:sz w:val="21"/>
                <w:szCs w:val="21"/>
              </w:rPr>
              <w:t>项目占地情况表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46"/>
              <w:gridCol w:w="1457"/>
              <w:gridCol w:w="1947"/>
              <w:gridCol w:w="1262"/>
              <w:gridCol w:w="2181"/>
              <w:gridCol w:w="8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387"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序号</w:t>
                  </w:r>
                </w:p>
              </w:tc>
              <w:tc>
                <w:tcPr>
                  <w:tcW w:w="872"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分项名称</w:t>
                  </w:r>
                </w:p>
              </w:tc>
              <w:tc>
                <w:tcPr>
                  <w:tcW w:w="3225" w:type="pct"/>
                  <w:gridSpan w:val="3"/>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占地类别及面积（m</w:t>
                  </w:r>
                  <w:r>
                    <w:rPr>
                      <w:rFonts w:hint="default" w:ascii="Times New Roman" w:hAnsi="Times New Roman" w:eastAsia="仿宋" w:cs="Times New Roman"/>
                      <w:b/>
                      <w:color w:val="auto"/>
                      <w:sz w:val="21"/>
                      <w:szCs w:val="21"/>
                      <w:vertAlign w:val="superscript"/>
                    </w:rPr>
                    <w:t>2</w:t>
                  </w:r>
                  <w:r>
                    <w:rPr>
                      <w:rFonts w:hint="default" w:ascii="Times New Roman" w:hAnsi="Times New Roman" w:eastAsia="仿宋" w:cs="Times New Roman"/>
                      <w:b/>
                      <w:color w:val="auto"/>
                      <w:sz w:val="21"/>
                      <w:szCs w:val="21"/>
                    </w:rPr>
                    <w:t>）</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占地</w:t>
                  </w:r>
                </w:p>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387"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872"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1165"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永久占地</w:t>
                  </w:r>
                </w:p>
              </w:tc>
              <w:tc>
                <w:tcPr>
                  <w:tcW w:w="755"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临时占地</w:t>
                  </w:r>
                </w:p>
              </w:tc>
              <w:tc>
                <w:tcPr>
                  <w:tcW w:w="1304"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合计</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38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72" w:type="pct"/>
                  <w:vAlign w:val="center"/>
                </w:tcPr>
                <w:p>
                  <w:pPr>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露天采场</w:t>
                  </w: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291200</w:t>
                  </w:r>
                </w:p>
              </w:tc>
              <w:tc>
                <w:tcPr>
                  <w:tcW w:w="7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291200</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裸岩石砾地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872"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工业场地</w:t>
                  </w: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10000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7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10000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3</w:t>
                  </w:r>
                </w:p>
              </w:tc>
              <w:tc>
                <w:tcPr>
                  <w:tcW w:w="872"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sz w:val="21"/>
                      <w:szCs w:val="21"/>
                      <w:highlight w:val="none"/>
                      <w:shd w:val="clear" w:color="auto" w:fill="auto"/>
                      <w:lang w:val="en-US" w:eastAsia="zh-CN"/>
                    </w:rPr>
                    <w:t>拟建</w:t>
                  </w:r>
                  <w:r>
                    <w:rPr>
                      <w:rFonts w:hint="default" w:ascii="Times New Roman" w:hAnsi="Times New Roman" w:eastAsia="仿宋" w:cs="Times New Roman"/>
                      <w:color w:val="auto"/>
                      <w:sz w:val="21"/>
                      <w:szCs w:val="21"/>
                      <w:highlight w:val="none"/>
                      <w:shd w:val="clear" w:color="auto" w:fill="auto"/>
                    </w:rPr>
                    <w:t>办公生活区</w:t>
                  </w: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2000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7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4000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4</w:t>
                  </w:r>
                </w:p>
              </w:tc>
              <w:tc>
                <w:tcPr>
                  <w:tcW w:w="872"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sz w:val="21"/>
                      <w:szCs w:val="21"/>
                      <w:highlight w:val="none"/>
                      <w:shd w:val="clear" w:color="auto" w:fill="auto"/>
                      <w:lang w:val="en-US" w:eastAsia="zh-CN"/>
                    </w:rPr>
                    <w:t>拟建废石堆放场</w:t>
                  </w: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bCs/>
                      <w:color w:val="auto"/>
                      <w:sz w:val="21"/>
                      <w:szCs w:val="21"/>
                      <w:lang w:val="en-US" w:eastAsia="zh-CN"/>
                    </w:rPr>
                    <w:t>10000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7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bCs/>
                      <w:color w:val="auto"/>
                      <w:sz w:val="21"/>
                      <w:szCs w:val="21"/>
                      <w:lang w:val="en-US" w:eastAsia="zh-CN"/>
                    </w:rPr>
                    <w:t>10000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Merge w:val="restart"/>
                  <w:vAlign w:val="center"/>
                </w:tcPr>
                <w:p>
                  <w:pPr>
                    <w:widowControl/>
                    <w:spacing w:line="240" w:lineRule="auto"/>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5</w:t>
                  </w:r>
                </w:p>
              </w:tc>
              <w:tc>
                <w:tcPr>
                  <w:tcW w:w="872" w:type="pct"/>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highlight w:val="none"/>
                      <w:shd w:val="clear" w:color="auto" w:fill="auto"/>
                      <w:lang w:val="en-US" w:eastAsia="zh-CN"/>
                    </w:rPr>
                    <w:t>拟建</w:t>
                  </w:r>
                  <w:r>
                    <w:rPr>
                      <w:rFonts w:hint="default" w:ascii="Times New Roman" w:hAnsi="Times New Roman" w:eastAsia="仿宋" w:cs="Times New Roman"/>
                      <w:color w:val="auto"/>
                      <w:sz w:val="21"/>
                      <w:szCs w:val="21"/>
                      <w:highlight w:val="none"/>
                      <w:shd w:val="clear" w:color="auto" w:fill="auto"/>
                    </w:rPr>
                    <w:t>矿山道路</w:t>
                  </w: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bCs/>
                      <w:color w:val="auto"/>
                      <w:sz w:val="21"/>
                      <w:szCs w:val="21"/>
                      <w:lang w:val="en-US" w:eastAsia="zh-CN"/>
                    </w:rPr>
                    <w:t>3600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eastAsia" w:eastAsia="仿宋" w:cs="Times New Roman"/>
                      <w:bCs/>
                      <w:color w:val="auto"/>
                      <w:sz w:val="21"/>
                      <w:szCs w:val="21"/>
                      <w:lang w:val="en-US" w:eastAsia="zh-CN"/>
                    </w:rPr>
                    <w:t>内</w:t>
                  </w:r>
                  <w:r>
                    <w:rPr>
                      <w:rFonts w:hint="default" w:ascii="Times New Roman" w:hAnsi="Times New Roman" w:eastAsia="仿宋" w:cs="Times New Roman"/>
                      <w:bCs/>
                      <w:color w:val="auto"/>
                      <w:sz w:val="21"/>
                      <w:szCs w:val="21"/>
                    </w:rPr>
                    <w:t>）</w:t>
                  </w:r>
                </w:p>
              </w:tc>
              <w:tc>
                <w:tcPr>
                  <w:tcW w:w="7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bCs/>
                      <w:color w:val="auto"/>
                      <w:sz w:val="21"/>
                      <w:szCs w:val="21"/>
                      <w:lang w:val="en-US" w:eastAsia="zh-CN"/>
                    </w:rPr>
                    <w:t>3600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eastAsia" w:eastAsia="仿宋" w:cs="Times New Roman"/>
                      <w:bCs/>
                      <w:color w:val="auto"/>
                      <w:sz w:val="21"/>
                      <w:szCs w:val="21"/>
                      <w:lang w:val="en-US" w:eastAsia="zh-CN"/>
                    </w:rPr>
                    <w:t>内</w:t>
                  </w:r>
                  <w:r>
                    <w:rPr>
                      <w:rFonts w:hint="default" w:ascii="Times New Roman" w:hAnsi="Times New Roman" w:eastAsia="仿宋" w:cs="Times New Roman"/>
                      <w:bCs/>
                      <w:color w:val="auto"/>
                      <w:sz w:val="21"/>
                      <w:szCs w:val="21"/>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Merge w:val="continue"/>
                  <w:vAlign w:val="center"/>
                </w:tcPr>
                <w:p>
                  <w:pPr>
                    <w:widowControl/>
                    <w:spacing w:line="240" w:lineRule="auto"/>
                    <w:ind w:firstLine="0" w:firstLineChars="0"/>
                    <w:jc w:val="center"/>
                    <w:rPr>
                      <w:rFonts w:hint="eastAsia" w:eastAsia="仿宋" w:cs="Times New Roman"/>
                      <w:color w:val="auto"/>
                      <w:kern w:val="0"/>
                      <w:sz w:val="21"/>
                      <w:szCs w:val="21"/>
                      <w:lang w:val="en-US" w:eastAsia="zh-CN"/>
                    </w:rPr>
                  </w:pPr>
                </w:p>
              </w:tc>
              <w:tc>
                <w:tcPr>
                  <w:tcW w:w="872" w:type="pct"/>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shd w:val="clear" w:color="auto" w:fill="auto"/>
                      <w:lang w:val="en-US" w:eastAsia="zh-CN"/>
                    </w:rPr>
                  </w:pPr>
                </w:p>
              </w:tc>
              <w:tc>
                <w:tcPr>
                  <w:tcW w:w="116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7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cs="Times New Roman"/>
                      <w:bCs/>
                      <w:color w:val="auto"/>
                      <w:sz w:val="21"/>
                      <w:szCs w:val="21"/>
                      <w:lang w:val="en-US" w:eastAsia="zh-CN"/>
                    </w:rPr>
                  </w:pPr>
                  <w:r>
                    <w:rPr>
                      <w:rFonts w:hint="eastAsia" w:eastAsia="仿宋" w:cs="Times New Roman"/>
                      <w:bCs/>
                      <w:color w:val="auto"/>
                      <w:sz w:val="21"/>
                      <w:szCs w:val="21"/>
                      <w:lang w:val="en-US" w:eastAsia="zh-CN"/>
                    </w:rPr>
                    <w:t>8000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eastAsia"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cs="Times New Roman"/>
                      <w:bCs/>
                      <w:color w:val="auto"/>
                      <w:sz w:val="21"/>
                      <w:szCs w:val="21"/>
                      <w:lang w:val="en-US" w:eastAsia="zh-CN"/>
                    </w:rPr>
                  </w:pPr>
                  <w:r>
                    <w:rPr>
                      <w:rFonts w:hint="eastAsia" w:eastAsia="仿宋" w:cs="Times New Roman"/>
                      <w:bCs/>
                      <w:color w:val="auto"/>
                      <w:sz w:val="21"/>
                      <w:szCs w:val="21"/>
                      <w:lang w:val="en-US" w:eastAsia="zh-CN"/>
                    </w:rPr>
                    <w:t>8000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eastAsia"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1259" w:type="pct"/>
                  <w:gridSpan w:val="2"/>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合计</w:t>
                  </w:r>
                </w:p>
              </w:tc>
              <w:tc>
                <w:tcPr>
                  <w:tcW w:w="116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291200</w:t>
                  </w:r>
                </w:p>
              </w:tc>
              <w:tc>
                <w:tcPr>
                  <w:tcW w:w="7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8000</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299200</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矿区内各个单元占地面积</w:t>
            </w:r>
            <w:r>
              <w:rPr>
                <w:rFonts w:hint="default" w:ascii="Times New Roman" w:hAnsi="Times New Roman" w:eastAsia="仿宋" w:cs="Times New Roman"/>
                <w:color w:val="auto"/>
                <w:sz w:val="24"/>
                <w:szCs w:val="24"/>
                <w:lang w:eastAsia="zh-CN"/>
              </w:rPr>
              <w:t>较大</w:t>
            </w:r>
            <w:r>
              <w:rPr>
                <w:rFonts w:hint="default" w:ascii="Times New Roman" w:hAnsi="Times New Roman" w:eastAsia="仿宋" w:cs="Times New Roman"/>
                <w:color w:val="auto"/>
                <w:sz w:val="24"/>
                <w:szCs w:val="24"/>
              </w:rPr>
              <w:t>，损毁土地的形式主要为压占、挖损，矿山开采在一定程度上加剧了土壤的侵蚀性，易导致水土流失，土地复垦工程通过土地平整、生态恢复等土体重塑，植被重建过程，可起到有效涵养水源、保持水土作用，防止周边生态系统退化的作用。</w:t>
            </w:r>
          </w:p>
          <w:p>
            <w:pPr>
              <w:pStyle w:val="62"/>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（2）对植被的影响分析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采矿生产过程中产生的粉尘污染对植物的影响主要表现在对作物光合作用的影响上。粒径大于1mm的颗粒物在扩散过程中可自然沉降，吸附于植物叶片上，阻塞气孔，影响生长，使叶片褪色、变硬，植物生长不良。粉尘落到地面会影响土壤透水透气性，不利于植物吸收土壤养分，间接造成植物生长缓慢，随着开采面积的增大，会逐步损坏矿区地表植被，运营期</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开采预计破坏土地面积</w:t>
            </w:r>
            <w:r>
              <w:rPr>
                <w:rFonts w:hint="eastAsia" w:eastAsia="仿宋" w:cs="Times New Roman"/>
                <w:color w:val="auto"/>
                <w:sz w:val="24"/>
                <w:szCs w:val="24"/>
                <w:lang w:val="en-US" w:eastAsia="zh-CN"/>
              </w:rPr>
              <w:t>299200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，采矿区的推进开挖压占对项目区荒漠植被破坏较为严重。</w:t>
            </w:r>
            <w:r>
              <w:rPr>
                <w:rFonts w:hint="default" w:ascii="Times New Roman" w:hAnsi="Times New Roman" w:eastAsia="仿宋" w:cs="Times New Roman"/>
                <w:color w:val="auto"/>
                <w:sz w:val="24"/>
                <w:szCs w:val="24"/>
                <w:lang w:val="en-US" w:eastAsia="zh-CN"/>
              </w:rPr>
              <w:t>根据</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矿产资源开发利用与生态保护修复方案</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本项目占地范围内植物平均生物量约0.075</w:t>
            </w:r>
            <w:r>
              <w:rPr>
                <w:rFonts w:hint="default" w:ascii="Times New Roman" w:hAnsi="Times New Roman" w:eastAsia="仿宋" w:cs="Times New Roman"/>
                <w:color w:val="auto"/>
                <w:sz w:val="24"/>
                <w:szCs w:val="24"/>
              </w:rPr>
              <w:t>t/hm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本项目占地范围内植物生物量损失估算表见表4-</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5</w:t>
            </w:r>
            <w:r>
              <w:rPr>
                <w:rFonts w:hint="default" w:ascii="Times New Roman" w:hAnsi="Times New Roman" w:eastAsia="仿宋" w:cs="Times New Roman"/>
                <w:b/>
                <w:color w:val="auto"/>
                <w:kern w:val="0"/>
                <w:sz w:val="21"/>
                <w:szCs w:val="21"/>
              </w:rPr>
              <w:t>占地范围内植物生物量损失估算表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088"/>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土地类型</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占地面积（hm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平均生物量（t/hm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生物量（t）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裸/稀植被地</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29.92</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0.075</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2.2</w:t>
                  </w:r>
                  <w:r>
                    <w:rPr>
                      <w:rFonts w:hint="eastAsia" w:eastAsia="仿宋" w:cs="Times New Roman"/>
                      <w:color w:val="auto"/>
                      <w:sz w:val="21"/>
                      <w:szCs w:val="21"/>
                      <w:lang w:val="en-US" w:eastAsia="zh-CN"/>
                    </w:rPr>
                    <w:t>4</w:t>
                  </w:r>
                </w:p>
              </w:tc>
            </w:tr>
          </w:tbl>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矿区区域为</w:t>
            </w:r>
            <w:r>
              <w:rPr>
                <w:rFonts w:hint="default" w:ascii="Times New Roman" w:hAnsi="Times New Roman" w:eastAsia="仿宋" w:cs="Times New Roman"/>
                <w:color w:val="auto"/>
                <w:sz w:val="24"/>
                <w:szCs w:val="24"/>
                <w:lang w:val="en-US" w:eastAsia="zh-CN"/>
              </w:rPr>
              <w:t>裸岩石砾地</w:t>
            </w:r>
            <w:r>
              <w:rPr>
                <w:rFonts w:hint="default" w:ascii="Times New Roman" w:hAnsi="Times New Roman" w:eastAsia="仿宋" w:cs="Times New Roman"/>
                <w:color w:val="auto"/>
                <w:sz w:val="24"/>
                <w:szCs w:val="24"/>
              </w:rPr>
              <w:t>，矿山开采期间，将造成评价区生物量损失。矿区开采结束后，采区内原地貌、生态系统不复存在，形成裸露地表和采矿区，影响矿区地貌景观，破坏了原地貌地表植被和土地。根据现场调查，矿区及其可能影响范围内，无珍稀、濒危的野生动、植物分布，偶尔有零星杂草生长，植被覆盖度极低，不到</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%。因此，本项目矿山开采对区域内植被影响较小，造成的生物量损失较少。闭矿后通过土地整治与生态恢复措施，项目开采行为对区域植被及景观环境影响较小。</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（3）对土壤理化性质的影响分析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本项目占地类型为</w:t>
            </w:r>
            <w:r>
              <w:rPr>
                <w:rFonts w:hint="default" w:ascii="Times New Roman" w:hAnsi="Times New Roman" w:eastAsia="仿宋" w:cs="Times New Roman"/>
                <w:color w:val="auto"/>
                <w:sz w:val="24"/>
                <w:szCs w:val="24"/>
                <w:lang w:eastAsia="zh-CN"/>
              </w:rPr>
              <w:t>裸岩石砾地</w:t>
            </w:r>
            <w:r>
              <w:rPr>
                <w:rFonts w:hint="default" w:ascii="Times New Roman" w:hAnsi="Times New Roman" w:eastAsia="仿宋" w:cs="Times New Roman"/>
                <w:color w:val="auto"/>
                <w:sz w:val="24"/>
                <w:szCs w:val="24"/>
              </w:rPr>
              <w:t>，在矿山生产过程中将不可避免会占用和破坏一定量的土地，对占用土地土壤造成不利影响。</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开发中采矿对地表进行剥离，扰动地表土层，破坏土壤结构，使土壤生产能力下降；矿山开采过程中各种机械设备、运输车辆排放废气，机械漏油随降雨下渗进入土壤，造成局部土壤污染；各种机械设备、车辆对地面的碾压，人员踩踏造成土壤板结，降低土壤生产能力；开采、装载、运输过程中产生扬尘，将沉降在区域土壤表面，会改变土壤理化性质，影响植物生长。</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（4）对野生动物的影响分析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根据现状调查，矿区范围内没有国家珍贵、保护物种，且多为常见的野生动物鼠、野兔等小型啮齿类野生动物，因此对动物资源的不利影响是轻微的。</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矿区无珍稀类或重点保护野生动物，不需要采取特殊的保护措施，但建设和开采过程中要加强对职工生态环境保护意识的教育，严禁对野生动物滥捕滥杀，同时严禁破坏野生动物的栖息环境。</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（5）对自然景观的影响分析</w:t>
            </w:r>
          </w:p>
          <w:p>
            <w:pPr>
              <w:pStyle w:val="62"/>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项目建设过程中，由于地表植被的剥离和矿石的采掘，造成原有植被的破坏，裸露地貌的出现，对当地的景观美学造成较大程度的影响，使得景观破碎性与异质性增加，在原有大植被景观斑块中出现部分小的人工裸露景观斑块，这在一定程度上降低了生态系统的连通性，对景观的视觉美、心理舒适感和协调性将会产生一定程度的不利影响。因此必须在开采过程中和开采完毕后及时进行修复和重塑，对开采区边缘和</w:t>
            </w:r>
            <w:r>
              <w:rPr>
                <w:rFonts w:hint="default" w:ascii="Times New Roman" w:hAnsi="Times New Roman" w:eastAsia="仿宋" w:cs="Times New Roman"/>
                <w:color w:val="auto"/>
                <w:lang w:eastAsia="zh-CN"/>
              </w:rPr>
              <w:t>废石堆场</w:t>
            </w:r>
            <w:r>
              <w:rPr>
                <w:rFonts w:hint="default" w:ascii="Times New Roman" w:hAnsi="Times New Roman" w:eastAsia="仿宋" w:cs="Times New Roman"/>
                <w:color w:val="auto"/>
              </w:rPr>
              <w:t>进行及时绿化，减少开采造成的视觉冲击。</w:t>
            </w:r>
          </w:p>
          <w:p>
            <w:pPr>
              <w:pStyle w:val="62"/>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同时由于</w:t>
            </w:r>
            <w:r>
              <w:rPr>
                <w:rFonts w:hint="default" w:ascii="Times New Roman" w:hAnsi="Times New Roman" w:eastAsia="仿宋" w:cs="Times New Roman"/>
                <w:color w:val="auto"/>
                <w:lang w:eastAsia="zh-CN"/>
              </w:rPr>
              <w:t>砂石矿</w:t>
            </w:r>
            <w:r>
              <w:rPr>
                <w:rFonts w:hint="default" w:ascii="Times New Roman" w:hAnsi="Times New Roman" w:eastAsia="仿宋" w:cs="Times New Roman"/>
                <w:color w:val="auto"/>
              </w:rPr>
              <w:t>场及周边范围内没有保护文物，通过调整开采朝向及采取生态修复措施后，项目对区域自然景观影响可以接受。随着砖瓦用</w:t>
            </w:r>
            <w:r>
              <w:rPr>
                <w:rFonts w:hint="default" w:ascii="Times New Roman" w:hAnsi="Times New Roman" w:eastAsia="仿宋" w:cs="Times New Roman"/>
                <w:color w:val="auto"/>
                <w:lang w:eastAsia="zh-CN"/>
              </w:rPr>
              <w:t>砂石矿</w:t>
            </w:r>
            <w:r>
              <w:rPr>
                <w:rFonts w:hint="default" w:ascii="Times New Roman" w:hAnsi="Times New Roman" w:eastAsia="仿宋" w:cs="Times New Roman"/>
                <w:color w:val="auto"/>
              </w:rPr>
              <w:t>服务期满后，对场地的平整、复垦、水土流失的防治等，会形成新的景观，保持现有评价区域内生态系统平衡，促进该地区景观生态系统向良性方向发展。</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（6）自然生态体系稳定性影响分析</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本项目对局部自然生态体系稳定性产生一定影响，但对整个评价区域自然生态体系稳定性不会产生显著影响，仅使局部区域生物量减少、动物</w:t>
            </w:r>
            <w:r>
              <w:rPr>
                <w:rFonts w:hint="default" w:ascii="Times New Roman" w:hAnsi="Times New Roman" w:eastAsia="仿宋" w:cs="Times New Roman"/>
                <w:color w:val="auto"/>
                <w:sz w:val="24"/>
                <w:szCs w:val="24"/>
                <w:lang w:eastAsia="zh-CN"/>
              </w:rPr>
              <w:t>迁徙</w:t>
            </w:r>
            <w:r>
              <w:rPr>
                <w:rFonts w:hint="default" w:ascii="Times New Roman" w:hAnsi="Times New Roman" w:eastAsia="仿宋" w:cs="Times New Roman"/>
                <w:color w:val="auto"/>
                <w:sz w:val="24"/>
                <w:szCs w:val="24"/>
              </w:rPr>
              <w:t>、水土流失增加，局部自然生态环境遭到一定破坏，但因影响面积较小，对整个评价区域自然生态体系稳定性和对外界环境干扰阻抗和恢复功能的影响不大，对整个评价区域自然生态体系恢复稳定性不会产生显著影响。因此，本项目对整个评价区域自然生态体系中生态环境自身异质化程度影响不大，不会对整个评价区域自然生态体系稳定性造成影响。</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（7）水土流失影响分析</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随着大面积的露天开采，由于表土层的剥离造成植被破坏，开采形成大量的松散岩土，降水条件下将造成大量的水土流失。采取系列预防措施，避免露天采场受降水任意冲刷。生产系统未进行措施防护前，也将产生一部分水土流失。另外，采矿以及运输所产生的扬尘也是造成这一时段水土流失的来源。</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根据该项目的建设特点，土壤侵蚀因素主要包括以下几点：</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植被受到扰动和破坏</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在表土剥离、场地平整、修筑场外地面运输系统等过程中，破坏了地表原有的荒漠草原植被，形成了片状、条带状的裸露面，植被对土壤的覆盖保护作用和根系固土作用丧失殆尽。</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土体表层松散性加大</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土壤是侵蚀过程中被侵蚀的对象。评价区为荒漠化土地，在天然植被和幕砾的保护下，具有一定的抗侵蚀能力。由于工程建设，大量的松散表土发生运移并重新堆积，使土壤水分大量散失，土体结构破坏，表土松散，大大降低了原地表土壤的抗蚀力。</w:t>
            </w:r>
          </w:p>
          <w:p>
            <w:pPr>
              <w:pStyle w:val="70"/>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地形、地貌的变化</w:t>
            </w:r>
          </w:p>
          <w:p>
            <w:pPr>
              <w:pStyle w:val="62"/>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废石堆场</w:t>
            </w:r>
            <w:r>
              <w:rPr>
                <w:rFonts w:hint="default" w:ascii="Times New Roman" w:hAnsi="Times New Roman" w:eastAsia="仿宋" w:cs="Times New Roman"/>
                <w:color w:val="auto"/>
                <w:sz w:val="24"/>
                <w:szCs w:val="24"/>
              </w:rPr>
              <w:t>随着堆料、堆土增多，逐渐形成了占地面积较大和高度较高的人工堆垫地貌，大风季节增加了发生风力侵蚀的可能。</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项目建设可能产生的土壤侵蚀形式见表4-</w:t>
            </w:r>
            <w:r>
              <w:rPr>
                <w:rFonts w:hint="eastAsia" w:eastAsia="仿宋" w:cs="Times New Roman"/>
                <w:color w:val="auto"/>
                <w:sz w:val="24"/>
                <w:szCs w:val="24"/>
                <w:lang w:val="en-US" w:eastAsia="zh-CN"/>
              </w:rPr>
              <w:t>6</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6</w:t>
            </w:r>
            <w:r>
              <w:rPr>
                <w:rFonts w:hint="default" w:ascii="Times New Roman" w:hAnsi="Times New Roman" w:eastAsia="仿宋" w:cs="Times New Roman"/>
                <w:b/>
                <w:color w:val="auto"/>
                <w:kern w:val="0"/>
                <w:sz w:val="21"/>
                <w:szCs w:val="21"/>
              </w:rPr>
              <w:t>建设项目可能产生的土壤侵蚀</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5"/>
              <w:gridCol w:w="1356"/>
              <w:gridCol w:w="3488"/>
              <w:gridCol w:w="24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607" w:type="pct"/>
                  <w:vAlign w:val="center"/>
                </w:tcPr>
                <w:p>
                  <w:pPr>
                    <w:pStyle w:val="62"/>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时段</w:t>
                  </w:r>
                </w:p>
              </w:tc>
              <w:tc>
                <w:tcPr>
                  <w:tcW w:w="811" w:type="pct"/>
                  <w:vAlign w:val="center"/>
                </w:tcPr>
                <w:p>
                  <w:pPr>
                    <w:pStyle w:val="62"/>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发生区域</w:t>
                  </w:r>
                </w:p>
              </w:tc>
              <w:tc>
                <w:tcPr>
                  <w:tcW w:w="2086" w:type="pct"/>
                  <w:vAlign w:val="center"/>
                </w:tcPr>
                <w:p>
                  <w:pPr>
                    <w:pStyle w:val="62"/>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工程建设特点</w:t>
                  </w:r>
                </w:p>
              </w:tc>
              <w:tc>
                <w:tcPr>
                  <w:tcW w:w="1494" w:type="pct"/>
                  <w:vAlign w:val="center"/>
                </w:tcPr>
                <w:p>
                  <w:pPr>
                    <w:pStyle w:val="62"/>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侵蚀特点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restar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开采期</w:t>
                  </w:r>
                </w:p>
              </w:tc>
              <w:tc>
                <w:tcPr>
                  <w:tcW w:w="811"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开采区</w:t>
                  </w:r>
                </w:p>
              </w:tc>
              <w:tc>
                <w:tcPr>
                  <w:tcW w:w="2086"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土体、岩石剥离、堆积和扰动</w:t>
                  </w:r>
                </w:p>
              </w:tc>
              <w:tc>
                <w:tcPr>
                  <w:tcW w:w="1494"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面蚀、沟蚀、重力侵蚀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 w:hRule="atLeast"/>
                <w:jc w:val="center"/>
              </w:trPr>
              <w:tc>
                <w:tcPr>
                  <w:tcW w:w="607" w:type="pct"/>
                  <w:vMerge w:val="continue"/>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p>
              </w:tc>
              <w:tc>
                <w:tcPr>
                  <w:tcW w:w="811"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废石堆场</w:t>
                  </w:r>
                </w:p>
              </w:tc>
              <w:tc>
                <w:tcPr>
                  <w:tcW w:w="2086"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人工活动造成的路面碾压及扬尘</w:t>
                  </w:r>
                </w:p>
              </w:tc>
              <w:tc>
                <w:tcPr>
                  <w:tcW w:w="1494"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风蚀、水蚀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 w:hRule="atLeast"/>
                <w:jc w:val="center"/>
              </w:trPr>
              <w:tc>
                <w:tcPr>
                  <w:tcW w:w="607" w:type="pct"/>
                  <w:vMerge w:val="continue"/>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p>
              </w:tc>
              <w:tc>
                <w:tcPr>
                  <w:tcW w:w="811"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工业广场</w:t>
                  </w:r>
                </w:p>
              </w:tc>
              <w:tc>
                <w:tcPr>
                  <w:tcW w:w="2086" w:type="pct"/>
                  <w:vAlign w:val="center"/>
                </w:tcPr>
                <w:p>
                  <w:pPr>
                    <w:pStyle w:val="62"/>
                    <w:spacing w:line="240" w:lineRule="auto"/>
                    <w:ind w:left="0" w:leftChars="0" w:right="0" w:rightChars="0" w:firstLine="0" w:firstLineChars="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人工活动造成的路面碾压及扬尘</w:t>
                  </w:r>
                </w:p>
              </w:tc>
              <w:tc>
                <w:tcPr>
                  <w:tcW w:w="1494" w:type="pct"/>
                  <w:vAlign w:val="center"/>
                </w:tcPr>
                <w:p>
                  <w:pPr>
                    <w:pStyle w:val="62"/>
                    <w:spacing w:line="240" w:lineRule="auto"/>
                    <w:ind w:left="0" w:leftChars="0" w:right="0" w:rightChars="0" w:firstLine="0" w:firstLineChars="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风蚀、水蚀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p>
              </w:tc>
              <w:tc>
                <w:tcPr>
                  <w:tcW w:w="811"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运矿道路</w:t>
                  </w:r>
                </w:p>
              </w:tc>
              <w:tc>
                <w:tcPr>
                  <w:tcW w:w="2086"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运输时造成的路面碾压及扬尘</w:t>
                  </w:r>
                </w:p>
              </w:tc>
              <w:tc>
                <w:tcPr>
                  <w:tcW w:w="1494"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风蚀、水蚀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rPr>
                  </w:pPr>
                </w:p>
              </w:tc>
              <w:tc>
                <w:tcPr>
                  <w:tcW w:w="811" w:type="pct"/>
                  <w:vAlign w:val="center"/>
                </w:tcPr>
                <w:p>
                  <w:pPr>
                    <w:pStyle w:val="62"/>
                    <w:spacing w:line="240" w:lineRule="auto"/>
                    <w:ind w:left="0" w:right="0"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办公生活区</w:t>
                  </w:r>
                </w:p>
              </w:tc>
              <w:tc>
                <w:tcPr>
                  <w:tcW w:w="2086" w:type="pct"/>
                  <w:vAlign w:val="center"/>
                </w:tcPr>
                <w:p>
                  <w:pPr>
                    <w:pStyle w:val="62"/>
                    <w:spacing w:line="240" w:lineRule="auto"/>
                    <w:ind w:left="0" w:leftChars="0" w:right="0" w:rightChars="0" w:firstLine="0" w:firstLineChars="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运输时造成的路面碾压及扬尘</w:t>
                  </w:r>
                </w:p>
              </w:tc>
              <w:tc>
                <w:tcPr>
                  <w:tcW w:w="1494" w:type="pct"/>
                  <w:vAlign w:val="center"/>
                </w:tcPr>
                <w:p>
                  <w:pPr>
                    <w:pStyle w:val="62"/>
                    <w:spacing w:line="240" w:lineRule="auto"/>
                    <w:ind w:left="0" w:leftChars="0" w:right="0" w:rightChars="0" w:firstLine="0" w:firstLineChars="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风蚀、水蚀</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矿区的开发建设活动将不可避免地破坏现有自然植被的土地资源，矿区的开挖破坏、堆料场的征占、运矿道路的建设将新增水土流失，导致水土流失危害程度显著增强，矿区生态环境恶化。</w:t>
            </w:r>
          </w:p>
          <w:p>
            <w:pPr>
              <w:pStyle w:val="62"/>
              <w:keepNext w:val="0"/>
              <w:keepLines w:val="0"/>
              <w:pageBreakBefore w:val="0"/>
              <w:widowControl w:val="0"/>
              <w:kinsoku/>
              <w:wordWrap/>
              <w:overflowPunct/>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（8）退役期环境影响分析</w:t>
            </w:r>
          </w:p>
          <w:p>
            <w:pPr>
              <w:pStyle w:val="62"/>
              <w:keepNext w:val="0"/>
              <w:keepLines w:val="0"/>
              <w:pageBreakBefore w:val="0"/>
              <w:widowControl w:val="0"/>
              <w:kinsoku/>
              <w:wordWrap/>
              <w:overflowPunct/>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运营期满后，会按照国家有关规定进行闭矿。</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在闭矿期的时段内，与运营期相比，对自然环境诸要素的影响将趋于减缓，主要体现在：</w:t>
            </w:r>
          </w:p>
          <w:p>
            <w:pPr>
              <w:pStyle w:val="62"/>
              <w:keepNext w:val="0"/>
              <w:keepLines w:val="0"/>
              <w:pageBreakBefore w:val="0"/>
              <w:widowControl w:val="0"/>
              <w:kinsoku/>
              <w:wordWrap/>
              <w:overflowPunct/>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①采掘行业特有的地表变形问题，将随着开采活动的停止而逐渐趋于稳定，不会再有新的沉陷区出现；</w:t>
            </w:r>
          </w:p>
          <w:p>
            <w:pPr>
              <w:pStyle w:val="62"/>
              <w:keepNext w:val="0"/>
              <w:keepLines w:val="0"/>
              <w:pageBreakBefore w:val="0"/>
              <w:widowControl w:val="0"/>
              <w:kinsoku/>
              <w:wordWrap/>
              <w:overflowPunct/>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②闭矿期内开采、加工和利用的设备也将停止运行，产污环节消失，将使该区域污染状况逐步好转；</w:t>
            </w:r>
          </w:p>
          <w:p>
            <w:pPr>
              <w:pStyle w:val="62"/>
              <w:keepNext w:val="0"/>
              <w:keepLines w:val="0"/>
              <w:pageBreakBefore w:val="0"/>
              <w:widowControl w:val="0"/>
              <w:kinsoku/>
              <w:wordWrap/>
              <w:overflowPunct/>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③工业场地关闭并全部复垦及绿化，从而使工业场地及其附近区域的生态环境得到较大改善；</w:t>
            </w:r>
          </w:p>
          <w:p>
            <w:pPr>
              <w:pStyle w:val="62"/>
              <w:keepNext w:val="0"/>
              <w:keepLines w:val="0"/>
              <w:pageBreakBefore w:val="0"/>
              <w:widowControl w:val="0"/>
              <w:kinsoku/>
              <w:wordWrap/>
              <w:overflowPunct/>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④对开采区的土地进行削坡及固坡，从而改善开采区的水土流失，此外在缓坡地带进行土地复垦及绿化，从而使开采区及周边区域的生态环境得到较大改善。</w:t>
            </w:r>
          </w:p>
          <w:p>
            <w:pPr>
              <w:pStyle w:val="62"/>
              <w:keepNext w:val="0"/>
              <w:keepLines w:val="0"/>
              <w:pageBreakBefore w:val="0"/>
              <w:widowControl w:val="0"/>
              <w:kinsoku/>
              <w:wordWrap/>
              <w:overflowPunct/>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lang w:val="zh-CN"/>
              </w:rPr>
              <w:fldChar w:fldCharType="begin"/>
            </w:r>
            <w:r>
              <w:rPr>
                <w:rFonts w:hint="default" w:ascii="Times New Roman" w:hAnsi="Times New Roman" w:eastAsia="仿宋" w:cs="Times New Roman"/>
                <w:color w:val="auto"/>
                <w:lang w:val="zh-CN"/>
              </w:rPr>
              <w:instrText xml:space="preserve"> = 5 \* GB3 </w:instrText>
            </w:r>
            <w:r>
              <w:rPr>
                <w:rFonts w:hint="default" w:ascii="Times New Roman" w:hAnsi="Times New Roman" w:eastAsia="仿宋" w:cs="Times New Roman"/>
                <w:color w:val="auto"/>
                <w:lang w:val="zh-CN"/>
              </w:rPr>
              <w:fldChar w:fldCharType="separate"/>
            </w:r>
            <w:r>
              <w:rPr>
                <w:rFonts w:hint="default" w:ascii="Times New Roman" w:hAnsi="Times New Roman" w:eastAsia="仿宋" w:cs="Times New Roman"/>
                <w:color w:val="auto"/>
                <w:lang w:val="zh-CN"/>
              </w:rPr>
              <w:t>⑤</w:t>
            </w:r>
            <w:r>
              <w:rPr>
                <w:rFonts w:hint="default" w:ascii="Times New Roman" w:hAnsi="Times New Roman" w:eastAsia="仿宋" w:cs="Times New Roman"/>
                <w:color w:val="auto"/>
                <w:lang w:val="zh-CN"/>
              </w:rPr>
              <w:fldChar w:fldCharType="end"/>
            </w:r>
            <w:r>
              <w:rPr>
                <w:rFonts w:hint="default" w:ascii="Times New Roman" w:hAnsi="Times New Roman" w:eastAsia="仿宋" w:cs="Times New Roman"/>
                <w:color w:val="auto"/>
                <w:lang w:val="zh-CN"/>
              </w:rPr>
              <w:t>本项目恢复治理完成后，生态环境及动物生存环境改善，可能会吸引部分动物</w:t>
            </w:r>
            <w:r>
              <w:rPr>
                <w:rFonts w:hint="default" w:ascii="Times New Roman" w:hAnsi="Times New Roman" w:eastAsia="仿宋" w:cs="Times New Roman"/>
                <w:color w:val="auto"/>
                <w:sz w:val="24"/>
                <w:szCs w:val="24"/>
                <w:lang w:val="zh-CN"/>
              </w:rPr>
              <w:t>进入该区域，增加区域的生物多样性。</w:t>
            </w:r>
          </w:p>
          <w:p>
            <w:pPr>
              <w:pStyle w:val="62"/>
              <w:keepNext w:val="0"/>
              <w:keepLines w:val="0"/>
              <w:pageBreakBefore w:val="0"/>
              <w:widowControl w:val="0"/>
              <w:kinsoku/>
              <w:wordWrap/>
              <w:overflowPunct/>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zh-CN"/>
              </w:rPr>
              <w:t>项目封场生态恢复后，地表覆盖率显著增加，植被群落物种增加，异质性增大，视觉效果大幅改善，色彩鲜明，景观效果改善，与周边环境协调性增加。</w:t>
            </w:r>
          </w:p>
          <w:p>
            <w:pPr>
              <w:keepNext w:val="0"/>
              <w:keepLines w:val="0"/>
              <w:pageBreakBefore w:val="0"/>
              <w:widowControl w:val="0"/>
              <w:kinsoku/>
              <w:wordWrap/>
              <w:overflowPunct/>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因此，矿区闭矿期后，项目评价区的生态环境将得到明显</w:t>
            </w:r>
            <w:r>
              <w:rPr>
                <w:rFonts w:hint="default" w:ascii="Times New Roman" w:hAnsi="Times New Roman" w:eastAsia="仿宋" w:cs="Times New Roman"/>
                <w:color w:val="auto"/>
                <w:sz w:val="24"/>
                <w:szCs w:val="24"/>
                <w:lang w:eastAsia="zh-CN"/>
              </w:rPr>
              <w:t>地</w:t>
            </w:r>
            <w:r>
              <w:rPr>
                <w:rFonts w:hint="default" w:ascii="Times New Roman" w:hAnsi="Times New Roman" w:eastAsia="仿宋" w:cs="Times New Roman"/>
                <w:color w:val="auto"/>
                <w:sz w:val="24"/>
                <w:szCs w:val="24"/>
              </w:rPr>
              <w:t>改善。</w:t>
            </w:r>
          </w:p>
          <w:p>
            <w:pPr>
              <w:overflowPunct w:val="0"/>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2、大气环境影响分析</w:t>
            </w:r>
          </w:p>
          <w:p>
            <w:pPr>
              <w:pStyle w:val="62"/>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lang w:val="en-US" w:eastAsia="zh-CN"/>
              </w:rPr>
              <w:t>2.1废气污染源分析</w:t>
            </w:r>
          </w:p>
          <w:p>
            <w:pPr>
              <w:overflowPunct w:val="0"/>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本项目运营期废气主要分为无组织粉尘</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主要为表土剥离、开采粉尘、装卸车粉尘、筛分粉尘、运输扬尘及</w:t>
            </w:r>
            <w:r>
              <w:rPr>
                <w:rFonts w:hint="default" w:ascii="Times New Roman" w:hAnsi="Times New Roman" w:eastAsia="仿宋" w:cs="Times New Roman"/>
                <w:color w:val="auto"/>
                <w:sz w:val="24"/>
                <w:szCs w:val="24"/>
                <w:lang w:eastAsia="zh-CN"/>
              </w:rPr>
              <w:t>废石堆场</w:t>
            </w:r>
            <w:r>
              <w:rPr>
                <w:rFonts w:hint="default" w:ascii="Times New Roman" w:hAnsi="Times New Roman" w:eastAsia="仿宋" w:cs="Times New Roman"/>
                <w:color w:val="auto"/>
                <w:sz w:val="24"/>
                <w:szCs w:val="24"/>
              </w:rPr>
              <w:t>粉尘。</w:t>
            </w:r>
          </w:p>
          <w:p>
            <w:pPr>
              <w:pStyle w:val="62"/>
              <w:ind w:left="0" w:right="0" w:firstLine="420"/>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（1）开采粉尘</w:t>
            </w:r>
          </w:p>
          <w:p>
            <w:pPr>
              <w:pStyle w:val="62"/>
              <w:ind w:left="0" w:right="0"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露天开采扬尘参照《第二次全国污染源普查工业源系数手册》中《1019粘土及其他土砂石开采行业系数手册》中给出的产污系数为0.082kg/t。</w:t>
            </w:r>
          </w:p>
          <w:p>
            <w:pPr>
              <w:pStyle w:val="62"/>
              <w:ind w:left="0" w:right="0"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本项目开采量为</w:t>
            </w:r>
            <w:r>
              <w:rPr>
                <w:rFonts w:hint="eastAsia" w:eastAsia="仿宋" w:cs="Times New Roman"/>
                <w:color w:val="auto"/>
                <w:sz w:val="24"/>
                <w:szCs w:val="24"/>
                <w:highlight w:val="none"/>
                <w:lang w:val="en-US" w:eastAsia="zh-CN"/>
              </w:rPr>
              <w:t>97.5万</w:t>
            </w:r>
            <w:r>
              <w:rPr>
                <w:rFonts w:hint="default" w:ascii="Times New Roman" w:hAnsi="Times New Roman" w:eastAsia="仿宋" w:cs="Times New Roman"/>
                <w:color w:val="auto"/>
                <w:sz w:val="24"/>
                <w:szCs w:val="24"/>
                <w:highlight w:val="none"/>
              </w:rPr>
              <w:t>t/a，经计算，本项目开采起尘量约为</w:t>
            </w:r>
            <w:r>
              <w:rPr>
                <w:rFonts w:hint="eastAsia" w:eastAsia="仿宋" w:cs="Times New Roman"/>
                <w:color w:val="auto"/>
                <w:sz w:val="24"/>
                <w:szCs w:val="24"/>
                <w:highlight w:val="none"/>
                <w:lang w:val="en-US" w:eastAsia="zh-CN"/>
              </w:rPr>
              <w:t>79.95</w:t>
            </w:r>
            <w:r>
              <w:rPr>
                <w:rFonts w:hint="default" w:ascii="Times New Roman" w:hAnsi="Times New Roman" w:eastAsia="仿宋" w:cs="Times New Roman"/>
                <w:color w:val="auto"/>
                <w:sz w:val="24"/>
                <w:szCs w:val="24"/>
                <w:highlight w:val="none"/>
              </w:rPr>
              <w:t>t/a。表土剥离及开采作业时，企业主要采取湿式作业的方式来降低粉尘的产生量，可实现抑尘率达80%，则表土剥离及开采时扬尘的产生量为</w:t>
            </w:r>
            <w:r>
              <w:rPr>
                <w:rFonts w:hint="eastAsia" w:eastAsia="仿宋" w:cs="Times New Roman"/>
                <w:color w:val="auto"/>
                <w:sz w:val="24"/>
                <w:szCs w:val="24"/>
                <w:highlight w:val="none"/>
                <w:lang w:val="en-US" w:eastAsia="zh-CN"/>
              </w:rPr>
              <w:t>15.99</w:t>
            </w:r>
            <w:r>
              <w:rPr>
                <w:rFonts w:hint="default" w:ascii="Times New Roman" w:hAnsi="Times New Roman" w:eastAsia="仿宋" w:cs="Times New Roman"/>
                <w:color w:val="auto"/>
                <w:sz w:val="24"/>
                <w:szCs w:val="24"/>
                <w:highlight w:val="none"/>
              </w:rPr>
              <w:t>t/a。</w:t>
            </w:r>
          </w:p>
          <w:p>
            <w:pPr>
              <w:pStyle w:val="62"/>
              <w:ind w:firstLine="420"/>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（2）装卸车粉尘</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产品装卸过程中会产生一定量的装卸扬尘。装卸扬尘量采用清华大学煤炭装卸扬尘公式估算：</w:t>
            </w:r>
          </w:p>
          <w:p>
            <w:pPr>
              <w:adjustRightInd w:val="0"/>
              <w:snapToGrid w:val="0"/>
              <w:ind w:firstLine="42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drawing>
                <wp:inline distT="0" distB="0" distL="0" distR="0">
                  <wp:extent cx="2159000" cy="292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159000" cy="292100"/>
                          </a:xfrm>
                          <a:prstGeom prst="rect">
                            <a:avLst/>
                          </a:prstGeom>
                          <a:noFill/>
                          <a:ln>
                            <a:noFill/>
                          </a:ln>
                        </pic:spPr>
                      </pic:pic>
                    </a:graphicData>
                  </a:graphic>
                </wp:inline>
              </w:drawing>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式中：Q——装卸扬尘，g/次；</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U——风速，取1.7m/s；</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W——矿石物料湿度，取8.0%；</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M——车辆吨位，</w:t>
            </w:r>
            <w:r>
              <w:rPr>
                <w:rFonts w:hint="eastAsia" w:eastAsia="仿宋" w:cs="Times New Roman"/>
                <w:color w:val="auto"/>
                <w:kern w:val="0"/>
                <w:sz w:val="24"/>
                <w:szCs w:val="24"/>
                <w:highlight w:val="none"/>
                <w:lang w:val="en-US" w:eastAsia="zh-CN"/>
              </w:rPr>
              <w:t>3</w:t>
            </w:r>
            <w:r>
              <w:rPr>
                <w:rFonts w:hint="default" w:ascii="Times New Roman" w:hAnsi="Times New Roman" w:eastAsia="仿宋" w:cs="Times New Roman"/>
                <w:color w:val="auto"/>
                <w:kern w:val="0"/>
                <w:sz w:val="24"/>
                <w:szCs w:val="24"/>
                <w:highlight w:val="none"/>
              </w:rPr>
              <w:t>0t；</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H——装卸高度，2.5m。</w:t>
            </w:r>
          </w:p>
          <w:p>
            <w:pPr>
              <w:pStyle w:val="62"/>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经计算，每车次装卸产品时产生的扬尘量为</w:t>
            </w:r>
            <w:r>
              <w:rPr>
                <w:rFonts w:hint="default" w:ascii="Times New Roman" w:hAnsi="Times New Roman" w:eastAsia="仿宋" w:cs="Times New Roman"/>
                <w:color w:val="auto"/>
                <w:sz w:val="24"/>
                <w:szCs w:val="24"/>
                <w:highlight w:val="none"/>
                <w:lang w:val="en-US" w:eastAsia="zh-CN"/>
              </w:rPr>
              <w:t>141.14</w:t>
            </w:r>
            <w:r>
              <w:rPr>
                <w:rFonts w:hint="default" w:ascii="Times New Roman" w:hAnsi="Times New Roman" w:eastAsia="仿宋" w:cs="Times New Roman"/>
                <w:color w:val="auto"/>
                <w:sz w:val="24"/>
                <w:szCs w:val="24"/>
                <w:highlight w:val="none"/>
              </w:rPr>
              <w:t>g，每年需要装卸矿石产品</w:t>
            </w:r>
            <w:r>
              <w:rPr>
                <w:rFonts w:hint="eastAsia" w:eastAsia="仿宋" w:cs="Times New Roman"/>
                <w:color w:val="auto"/>
                <w:sz w:val="24"/>
                <w:szCs w:val="24"/>
                <w:highlight w:val="none"/>
                <w:lang w:val="en-US" w:eastAsia="zh-CN"/>
              </w:rPr>
              <w:t>97.5万</w:t>
            </w:r>
            <w:r>
              <w:rPr>
                <w:rFonts w:hint="default" w:ascii="Times New Roman" w:hAnsi="Times New Roman" w:eastAsia="仿宋" w:cs="Times New Roman"/>
                <w:color w:val="auto"/>
                <w:sz w:val="24"/>
                <w:szCs w:val="24"/>
                <w:highlight w:val="none"/>
              </w:rPr>
              <w:t>t，用载重</w:t>
            </w: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0t/车计，装卸扬尘约为</w:t>
            </w:r>
            <w:r>
              <w:rPr>
                <w:rFonts w:hint="eastAsia" w:eastAsia="仿宋" w:cs="Times New Roman"/>
                <w:color w:val="auto"/>
                <w:sz w:val="24"/>
                <w:szCs w:val="24"/>
                <w:highlight w:val="none"/>
                <w:lang w:val="en-US" w:eastAsia="zh-CN"/>
              </w:rPr>
              <w:t>4.59</w:t>
            </w:r>
            <w:r>
              <w:rPr>
                <w:rFonts w:hint="default" w:ascii="Times New Roman" w:hAnsi="Times New Roman" w:eastAsia="仿宋" w:cs="Times New Roman"/>
                <w:color w:val="auto"/>
                <w:sz w:val="24"/>
                <w:szCs w:val="24"/>
                <w:highlight w:val="none"/>
              </w:rPr>
              <w:t>t/a；通过采取雾炮机喷淋降尘后，可降低粉尘80%以上，则矿石产品装卸扬尘排放量约为</w:t>
            </w:r>
            <w:r>
              <w:rPr>
                <w:rFonts w:hint="eastAsia" w:eastAsia="仿宋" w:cs="Times New Roman"/>
                <w:color w:val="auto"/>
                <w:sz w:val="24"/>
                <w:szCs w:val="24"/>
                <w:highlight w:val="none"/>
                <w:lang w:val="en-US" w:eastAsia="zh-CN"/>
              </w:rPr>
              <w:t>0.92</w:t>
            </w:r>
            <w:r>
              <w:rPr>
                <w:rFonts w:hint="default" w:ascii="Times New Roman" w:hAnsi="Times New Roman" w:eastAsia="仿宋" w:cs="Times New Roman"/>
                <w:color w:val="auto"/>
                <w:sz w:val="24"/>
                <w:szCs w:val="24"/>
                <w:highlight w:val="none"/>
                <w:lang w:val="en-US" w:eastAsia="zh-CN"/>
              </w:rPr>
              <w:t>t</w:t>
            </w:r>
            <w:r>
              <w:rPr>
                <w:rFonts w:hint="default" w:ascii="Times New Roman" w:hAnsi="Times New Roman" w:eastAsia="仿宋" w:cs="Times New Roman"/>
                <w:color w:val="auto"/>
                <w:sz w:val="24"/>
                <w:szCs w:val="24"/>
                <w:highlight w:val="none"/>
              </w:rPr>
              <w:t>/a。</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（3）筛分粉尘</w:t>
            </w:r>
          </w:p>
          <w:p>
            <w:pPr>
              <w:keepNext w:val="0"/>
              <w:keepLines w:val="0"/>
              <w:widowControl/>
              <w:suppressLineNumbers w:val="0"/>
              <w:jc w:val="left"/>
              <w:rPr>
                <w:rFonts w:hint="default" w:ascii="Times New Roman" w:hAnsi="Times New Roman" w:eastAsia="仿宋" w:cs="Times New Roman"/>
                <w:color w:val="auto"/>
                <w:highlight w:val="none"/>
              </w:rPr>
            </w:pPr>
            <w:r>
              <w:rPr>
                <w:rFonts w:hint="default" w:ascii="Times New Roman" w:hAnsi="Times New Roman" w:eastAsia="仿宋" w:cs="Times New Roman"/>
                <w:snapToGrid w:val="0"/>
                <w:color w:val="auto"/>
                <w:kern w:val="0"/>
                <w:sz w:val="24"/>
                <w:szCs w:val="24"/>
                <w:highlight w:val="none"/>
                <w:lang w:val="en-US" w:eastAsia="zh-CN" w:bidi="ar-SA"/>
              </w:rPr>
              <w:t>矿石经过筛分机筛分得到产品，项目通过传送带加盖，基本不会有粉尘逸散到周围环境；本项目在筛分机下料点产尘量较大，本评价参照《逸散性工业粉尘控制技术》中粒料加工逸尘排放因子，砂石（给料、破碎和筛选）的起尘量为0.10kg/t，本项目年开采</w:t>
            </w:r>
            <w:r>
              <w:rPr>
                <w:rFonts w:hint="default" w:ascii="Times New Roman" w:hAnsi="Times New Roman" w:eastAsia="仿宋" w:cs="Times New Roman"/>
                <w:color w:val="auto"/>
                <w:sz w:val="24"/>
                <w:szCs w:val="24"/>
                <w:highlight w:val="none"/>
                <w:lang w:val="en-US" w:eastAsia="zh-CN"/>
              </w:rPr>
              <w:t>砂石料</w:t>
            </w:r>
            <w:r>
              <w:rPr>
                <w:rFonts w:hint="eastAsia" w:eastAsia="仿宋" w:cs="Times New Roman"/>
                <w:color w:val="auto"/>
                <w:sz w:val="24"/>
                <w:szCs w:val="24"/>
                <w:highlight w:val="none"/>
                <w:lang w:val="en-US" w:eastAsia="zh-CN"/>
              </w:rPr>
              <w:t>65万</w:t>
            </w:r>
            <w:r>
              <w:rPr>
                <w:rFonts w:hint="default" w:ascii="Times New Roman" w:hAnsi="Times New Roman" w:eastAsia="仿宋" w:cs="Times New Roman"/>
                <w:color w:val="auto"/>
                <w:sz w:val="24"/>
                <w:szCs w:val="24"/>
                <w:highlight w:val="none"/>
                <w:lang w:val="en-US" w:eastAsia="zh-CN"/>
              </w:rPr>
              <w:t>立方米</w:t>
            </w:r>
            <w:r>
              <w:rPr>
                <w:rFonts w:hint="eastAsia" w:eastAsia="仿宋" w:cs="Times New Roman"/>
                <w:color w:val="auto"/>
                <w:sz w:val="24"/>
                <w:szCs w:val="24"/>
                <w:highlight w:val="none"/>
                <w:lang w:val="en-US" w:eastAsia="zh-CN"/>
              </w:rPr>
              <w:t>（97.5万吨/年）</w:t>
            </w:r>
            <w:r>
              <w:rPr>
                <w:rFonts w:hint="default" w:ascii="Times New Roman" w:hAnsi="Times New Roman" w:eastAsia="仿宋" w:cs="Times New Roman"/>
                <w:color w:val="auto"/>
                <w:sz w:val="24"/>
                <w:szCs w:val="24"/>
                <w:highlight w:val="none"/>
                <w:lang w:val="en-US" w:eastAsia="zh-CN"/>
              </w:rPr>
              <w:t>，则筛分工段产生粉尘约为</w:t>
            </w:r>
            <w:r>
              <w:rPr>
                <w:rFonts w:hint="eastAsia" w:eastAsia="仿宋" w:cs="Times New Roman"/>
                <w:color w:val="auto"/>
                <w:sz w:val="24"/>
                <w:szCs w:val="24"/>
                <w:highlight w:val="none"/>
                <w:lang w:val="en-US" w:eastAsia="zh-CN"/>
              </w:rPr>
              <w:t>97.5</w:t>
            </w:r>
            <w:r>
              <w:rPr>
                <w:rFonts w:hint="default" w:ascii="Times New Roman" w:hAnsi="Times New Roman" w:eastAsia="仿宋" w:cs="Times New Roman"/>
                <w:color w:val="auto"/>
                <w:sz w:val="24"/>
                <w:szCs w:val="24"/>
                <w:highlight w:val="none"/>
                <w:lang w:val="en-US" w:eastAsia="zh-CN"/>
              </w:rPr>
              <w:t>t/a。项目采取在筛分机设置喷淋设施加大石料表面含水率，同时实行半封闭处理，除尘效率可达到80%，经喷淋洒水降尘后，粉尘预计排放量为</w:t>
            </w:r>
            <w:r>
              <w:rPr>
                <w:rFonts w:hint="eastAsia" w:eastAsia="仿宋" w:cs="Times New Roman"/>
                <w:color w:val="auto"/>
                <w:sz w:val="24"/>
                <w:szCs w:val="24"/>
                <w:highlight w:val="none"/>
                <w:lang w:val="en-US" w:eastAsia="zh-CN"/>
              </w:rPr>
              <w:t>19.5</w:t>
            </w:r>
            <w:r>
              <w:rPr>
                <w:rFonts w:hint="default" w:ascii="Times New Roman" w:hAnsi="Times New Roman" w:eastAsia="仿宋" w:cs="Times New Roman"/>
                <w:color w:val="auto"/>
                <w:sz w:val="24"/>
                <w:szCs w:val="24"/>
                <w:highlight w:val="none"/>
                <w:lang w:val="en-US" w:eastAsia="zh-CN"/>
              </w:rPr>
              <w:t>t/a。</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（4）运输扬尘</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道路运输扬尘主要为自卸卡车将原料转运至生产区产生的粉尘，计算公式如下：</w:t>
            </w:r>
          </w:p>
          <w:p>
            <w:pPr>
              <w:pStyle w:val="62"/>
              <w:ind w:firstLine="420"/>
              <w:rPr>
                <w:rFonts w:hint="default" w:ascii="Times New Roman" w:hAnsi="Times New Roman" w:eastAsia="仿宋" w:cs="Times New Roman"/>
                <w:color w:val="auto"/>
                <w:highlight w:val="none"/>
              </w:rPr>
            </w:pPr>
            <m:oMathPara>
              <m:oMathParaPr>
                <m:jc m:val="center"/>
              </m:oMathParaPr>
              <m:oMath>
                <m:sSub>
                  <m:sSubPr>
                    <m:ctrlPr>
                      <w:rPr>
                        <w:rFonts w:hint="default" w:ascii="Cambria Math" w:hAnsi="Cambria Math" w:eastAsia="仿宋" w:cs="Times New Roman"/>
                        <w:color w:val="auto"/>
                        <w:highlight w:val="none"/>
                      </w:rPr>
                    </m:ctrlPr>
                  </m:sSubPr>
                  <m:e>
                    <m:r>
                      <m:rPr/>
                      <w:rPr>
                        <w:rFonts w:hint="default" w:ascii="Cambria Math" w:hAnsi="Cambria Math" w:eastAsia="仿宋" w:cs="Times New Roman"/>
                        <w:color w:val="auto"/>
                        <w:highlight w:val="none"/>
                      </w:rPr>
                      <m:t>Q</m:t>
                    </m:r>
                    <m:ctrlPr>
                      <w:rPr>
                        <w:rFonts w:hint="default" w:ascii="Cambria Math" w:hAnsi="Cambria Math" w:eastAsia="仿宋" w:cs="Times New Roman"/>
                        <w:color w:val="auto"/>
                        <w:highlight w:val="none"/>
                      </w:rPr>
                    </m:ctrlPr>
                  </m:e>
                  <m:sub>
                    <m:r>
                      <m:rPr>
                        <m:sty m:val="p"/>
                      </m:rPr>
                      <w:rPr>
                        <w:rFonts w:hint="default" w:ascii="Cambria Math" w:hAnsi="Cambria Math" w:eastAsia="仿宋" w:cs="Times New Roman"/>
                        <w:color w:val="auto"/>
                        <w:highlight w:val="none"/>
                      </w:rPr>
                      <m:t>p</m:t>
                    </m:r>
                    <m:ctrlPr>
                      <w:rPr>
                        <w:rFonts w:hint="default" w:ascii="Cambria Math" w:hAnsi="Cambria Math" w:eastAsia="仿宋" w:cs="Times New Roman"/>
                        <w:color w:val="auto"/>
                        <w:highlight w:val="none"/>
                      </w:rPr>
                    </m:ctrlPr>
                  </m:sub>
                </m:sSub>
                <m:r>
                  <m:rPr>
                    <m:sty m:val="p"/>
                  </m:rPr>
                  <w:rPr>
                    <w:rFonts w:hint="default" w:ascii="Cambria Math" w:hAnsi="Cambria Math" w:eastAsia="仿宋" w:cs="Times New Roman"/>
                    <w:color w:val="auto"/>
                    <w:highlight w:val="none"/>
                  </w:rPr>
                  <m:t>=0.123</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V</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5</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sSup>
                  <m:sSupPr>
                    <m:ctrlPr>
                      <w:rPr>
                        <w:rFonts w:hint="default" w:ascii="Cambria Math" w:hAnsi="Cambria Math" w:eastAsia="仿宋" w:cs="Times New Roman"/>
                        <w:color w:val="auto"/>
                        <w:highlight w:val="none"/>
                      </w:rPr>
                    </m:ctrlPr>
                  </m:sSupPr>
                  <m:e>
                    <m:r>
                      <m:rPr>
                        <m:sty m:val="p"/>
                      </m:rPr>
                      <w:rPr>
                        <w:rFonts w:hint="default" w:ascii="Cambria Math" w:hAnsi="Cambria Math" w:eastAsia="仿宋" w:cs="Times New Roman"/>
                        <w:color w:val="auto"/>
                        <w:highlight w:val="none"/>
                      </w:rPr>
                      <m:t>（</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M</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6.8</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ctrlPr>
                      <w:rPr>
                        <w:rFonts w:hint="default" w:ascii="Cambria Math" w:hAnsi="Cambria Math" w:eastAsia="仿宋" w:cs="Times New Roman"/>
                        <w:color w:val="auto"/>
                        <w:highlight w:val="none"/>
                      </w:rPr>
                    </m:ctrlPr>
                  </m:e>
                  <m:sup>
                    <m:r>
                      <m:rPr>
                        <m:sty m:val="p"/>
                      </m:rPr>
                      <w:rPr>
                        <w:rFonts w:hint="default" w:ascii="Cambria Math" w:hAnsi="Cambria Math" w:eastAsia="仿宋" w:cs="Times New Roman"/>
                        <w:color w:val="auto"/>
                        <w:highlight w:val="none"/>
                      </w:rPr>
                      <m:t>0.85</m:t>
                    </m:r>
                    <m:ctrlPr>
                      <w:rPr>
                        <w:rFonts w:hint="default" w:ascii="Cambria Math" w:hAnsi="Cambria Math" w:eastAsia="仿宋" w:cs="Times New Roman"/>
                        <w:color w:val="auto"/>
                        <w:highlight w:val="none"/>
                      </w:rPr>
                    </m:ctrlPr>
                  </m:sup>
                </m:sSup>
                <m:sSup>
                  <m:sSupPr>
                    <m:ctrlPr>
                      <w:rPr>
                        <w:rFonts w:hint="default" w:ascii="Cambria Math" w:hAnsi="Cambria Math" w:eastAsia="仿宋" w:cs="Times New Roman"/>
                        <w:color w:val="auto"/>
                        <w:highlight w:val="none"/>
                      </w:rPr>
                    </m:ctrlPr>
                  </m:sSupPr>
                  <m:e>
                    <m:r>
                      <m:rPr>
                        <m:sty m:val="p"/>
                      </m:rPr>
                      <w:rPr>
                        <w:rFonts w:hint="default" w:ascii="Cambria Math" w:hAnsi="Cambria Math" w:eastAsia="仿宋" w:cs="Times New Roman"/>
                        <w:color w:val="auto"/>
                        <w:highlight w:val="none"/>
                      </w:rPr>
                      <m:t>·（</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P</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0.5</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ctrlPr>
                      <w:rPr>
                        <w:rFonts w:hint="default" w:ascii="Cambria Math" w:hAnsi="Cambria Math" w:eastAsia="仿宋" w:cs="Times New Roman"/>
                        <w:color w:val="auto"/>
                        <w:highlight w:val="none"/>
                      </w:rPr>
                    </m:ctrlPr>
                  </m:e>
                  <m:sup>
                    <m:r>
                      <m:rPr>
                        <m:sty m:val="p"/>
                      </m:rPr>
                      <w:rPr>
                        <w:rFonts w:hint="default" w:ascii="Cambria Math" w:hAnsi="Cambria Math" w:eastAsia="仿宋" w:cs="Times New Roman"/>
                        <w:color w:val="auto"/>
                        <w:highlight w:val="none"/>
                      </w:rPr>
                      <m:t>0.72</m:t>
                    </m:r>
                    <m:ctrlPr>
                      <w:rPr>
                        <w:rFonts w:hint="default" w:ascii="Cambria Math" w:hAnsi="Cambria Math" w:eastAsia="仿宋" w:cs="Times New Roman"/>
                        <w:color w:val="auto"/>
                        <w:highlight w:val="none"/>
                      </w:rPr>
                    </m:ctrlPr>
                  </m:sup>
                </m:sSup>
              </m:oMath>
            </m:oMathPara>
          </w:p>
          <w:p>
            <w:pPr>
              <w:adjustRightInd w:val="0"/>
              <w:snapToGrid w:val="0"/>
              <w:ind w:firstLine="420"/>
              <w:rPr>
                <w:rFonts w:hint="default" w:ascii="Times New Roman" w:hAnsi="Times New Roman" w:eastAsia="仿宋" w:cs="Times New Roman"/>
                <w:color w:val="auto"/>
                <w:szCs w:val="21"/>
                <w:highlight w:val="none"/>
              </w:rPr>
            </w:pPr>
            <m:oMathPara>
              <m:oMathParaPr>
                <m:jc m:val="center"/>
              </m:oMathParaPr>
              <m:oMath>
                <m:sSubSup>
                  <m:sSubSupPr>
                    <m:ctrlPr>
                      <w:rPr>
                        <w:rFonts w:hint="default" w:ascii="Cambria Math" w:hAnsi="Cambria Math" w:eastAsia="仿宋" w:cs="Times New Roman"/>
                        <w:color w:val="auto"/>
                        <w:szCs w:val="21"/>
                        <w:highlight w:val="none"/>
                      </w:rPr>
                    </m:ctrlPr>
                  </m:sSubSupPr>
                  <m:e>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e>
                  <m:sub>
                    <m:r>
                      <m:rPr>
                        <m:sty m:val="p"/>
                      </m:rPr>
                      <w:rPr>
                        <w:rFonts w:hint="default" w:ascii="Cambria Math" w:hAnsi="Cambria Math" w:eastAsia="仿宋" w:cs="Times New Roman"/>
                        <w:color w:val="auto"/>
                        <w:szCs w:val="21"/>
                        <w:highlight w:val="none"/>
                      </w:rPr>
                      <m:t>p</m:t>
                    </m:r>
                    <m:ctrlPr>
                      <w:rPr>
                        <w:rFonts w:hint="default" w:ascii="Cambria Math" w:hAnsi="Cambria Math" w:eastAsia="仿宋" w:cs="Times New Roman"/>
                        <w:color w:val="auto"/>
                        <w:szCs w:val="21"/>
                        <w:highlight w:val="none"/>
                      </w:rPr>
                    </m:ctrlPr>
                  </m:sub>
                  <m:sup>
                    <m:r>
                      <m:rPr>
                        <m:sty m:val="p"/>
                      </m:rPr>
                      <w:rPr>
                        <w:rFonts w:hint="default" w:ascii="Cambria Math" w:hAnsi="Cambria Math" w:eastAsia="仿宋" w:cs="Times New Roman"/>
                        <w:color w:val="auto"/>
                        <w:szCs w:val="21"/>
                        <w:highlight w:val="none"/>
                      </w:rPr>
                      <m:t>'</m:t>
                    </m:r>
                    <m:ctrlPr>
                      <w:rPr>
                        <w:rFonts w:hint="default" w:ascii="Cambria Math" w:hAnsi="Cambria Math" w:eastAsia="仿宋" w:cs="Times New Roman"/>
                        <w:color w:val="auto"/>
                        <w:szCs w:val="21"/>
                        <w:highlight w:val="none"/>
                      </w:rPr>
                    </m:ctrlPr>
                  </m:sup>
                </m:sSubSup>
                <m:r>
                  <m:rPr>
                    <m:sty m:val="p"/>
                  </m:rPr>
                  <w:rPr>
                    <w:rFonts w:hint="default" w:ascii="Cambria Math" w:hAnsi="Cambria Math" w:eastAsia="仿宋" w:cs="Times New Roman"/>
                    <w:color w:val="auto"/>
                    <w:szCs w:val="21"/>
                    <w:highlight w:val="none"/>
                  </w:rPr>
                  <m:t>=</m:t>
                </m:r>
                <m:sSub>
                  <m:sSubPr>
                    <m:ctrlPr>
                      <w:rPr>
                        <w:rFonts w:hint="default" w:ascii="Cambria Math" w:hAnsi="Cambria Math" w:eastAsia="仿宋" w:cs="Times New Roman"/>
                        <w:color w:val="auto"/>
                        <w:szCs w:val="21"/>
                        <w:highlight w:val="none"/>
                      </w:rPr>
                    </m:ctrlPr>
                  </m:sSubPr>
                  <m:e>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e>
                  <m:sub>
                    <m:r>
                      <m:rPr>
                        <m:sty m:val="p"/>
                      </m:rPr>
                      <w:rPr>
                        <w:rFonts w:hint="default" w:ascii="Cambria Math" w:hAnsi="Cambria Math" w:eastAsia="仿宋" w:cs="Times New Roman"/>
                        <w:color w:val="auto"/>
                        <w:szCs w:val="21"/>
                        <w:highlight w:val="none"/>
                      </w:rPr>
                      <m:t>p</m:t>
                    </m:r>
                    <m:ctrlPr>
                      <w:rPr>
                        <w:rFonts w:hint="default" w:ascii="Cambria Math" w:hAnsi="Cambria Math" w:eastAsia="仿宋" w:cs="Times New Roman"/>
                        <w:color w:val="auto"/>
                        <w:szCs w:val="21"/>
                        <w:highlight w:val="none"/>
                      </w:rPr>
                    </m:ctrlPr>
                  </m:sub>
                </m:sSub>
                <m:r>
                  <m:rPr>
                    <m:sty m:val="p"/>
                  </m:rPr>
                  <w:rPr>
                    <w:rFonts w:hint="default" w:ascii="Cambria Math" w:hAnsi="Cambria Math" w:eastAsia="仿宋" w:cs="Times New Roman"/>
                    <w:color w:val="auto"/>
                    <w:szCs w:val="21"/>
                    <w:highlight w:val="none"/>
                  </w:rPr>
                  <m:t>·</m:t>
                </m:r>
                <m:r>
                  <m:rPr/>
                  <w:rPr>
                    <w:rFonts w:hint="default" w:ascii="Cambria Math" w:hAnsi="Cambria Math" w:eastAsia="仿宋" w:cs="Times New Roman"/>
                    <w:color w:val="auto"/>
                    <w:szCs w:val="21"/>
                    <w:highlight w:val="none"/>
                  </w:rPr>
                  <m:t>L</m:t>
                </m:r>
                <m:r>
                  <m:rPr>
                    <m:sty m:val="p"/>
                  </m:rPr>
                  <w:rPr>
                    <w:rFonts w:hint="default" w:ascii="Cambria Math" w:hAnsi="Cambria Math" w:eastAsia="仿宋" w:cs="Times New Roman"/>
                    <w:color w:val="auto"/>
                    <w:szCs w:val="21"/>
                    <w:highlight w:val="none"/>
                  </w:rPr>
                  <m:t>·</m:t>
                </m:r>
                <m:f>
                  <m:fPr>
                    <m:ctrlPr>
                      <w:rPr>
                        <w:rFonts w:hint="default" w:ascii="Cambria Math" w:hAnsi="Cambria Math" w:eastAsia="仿宋" w:cs="Times New Roman"/>
                        <w:color w:val="auto"/>
                        <w:szCs w:val="21"/>
                        <w:highlight w:val="none"/>
                      </w:rPr>
                    </m:ctrlPr>
                  </m:fPr>
                  <m:num>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num>
                  <m:den>
                    <m:r>
                      <m:rPr/>
                      <w:rPr>
                        <w:rFonts w:hint="default" w:ascii="Cambria Math" w:hAnsi="Cambria Math" w:eastAsia="仿宋" w:cs="Times New Roman"/>
                        <w:color w:val="auto"/>
                        <w:szCs w:val="21"/>
                        <w:highlight w:val="none"/>
                      </w:rPr>
                      <m:t>M</m:t>
                    </m:r>
                    <m:ctrlPr>
                      <w:rPr>
                        <w:rFonts w:hint="default" w:ascii="Cambria Math" w:hAnsi="Cambria Math" w:eastAsia="仿宋" w:cs="Times New Roman"/>
                        <w:color w:val="auto"/>
                        <w:szCs w:val="21"/>
                        <w:highlight w:val="none"/>
                      </w:rPr>
                    </m:ctrlPr>
                  </m:den>
                </m:f>
              </m:oMath>
            </m:oMathPara>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式中：Qp-道路扬尘量，kg/km；</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Q′p-总扬尘量，kg/a；</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V-车辆行驶速度，20km/h；</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M-车辆载重，t/辆；</w:t>
            </w:r>
            <w:r>
              <w:rPr>
                <w:rFonts w:hint="eastAsia" w:eastAsia="仿宋" w:cs="Times New Roman"/>
                <w:color w:val="auto"/>
                <w:highlight w:val="none"/>
                <w:lang w:val="en-US" w:eastAsia="zh-CN"/>
              </w:rPr>
              <w:t>3</w:t>
            </w:r>
            <w:r>
              <w:rPr>
                <w:rFonts w:hint="default" w:ascii="Times New Roman" w:hAnsi="Times New Roman" w:eastAsia="仿宋" w:cs="Times New Roman"/>
                <w:color w:val="auto"/>
                <w:highlight w:val="none"/>
              </w:rPr>
              <w:t>0t/辆；</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P-路面状况，以每m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rPr>
              <w:t>路面灰尘覆盖率表示，0.2kg/m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rPr>
              <w:t>；</w:t>
            </w:r>
          </w:p>
          <w:p>
            <w:pPr>
              <w:pStyle w:val="62"/>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L-运输距离，km；</w:t>
            </w:r>
          </w:p>
          <w:p>
            <w:pPr>
              <w:pStyle w:val="62"/>
              <w:ind w:firstLine="420"/>
              <w:rPr>
                <w:rFonts w:hint="default" w:ascii="Times New Roman" w:hAnsi="Times New Roman" w:eastAsia="仿宋" w:cs="Times New Roman"/>
                <w:color w:val="auto"/>
                <w:highlight w:val="yellow"/>
              </w:rPr>
            </w:pPr>
            <w:r>
              <w:rPr>
                <w:rFonts w:hint="default" w:ascii="Times New Roman" w:hAnsi="Times New Roman" w:eastAsia="仿宋" w:cs="Times New Roman"/>
                <w:color w:val="auto"/>
                <w:highlight w:val="none"/>
              </w:rPr>
              <w:t>Q-运输量，本项目原矿石运输量取</w:t>
            </w:r>
            <w:r>
              <w:rPr>
                <w:rFonts w:hint="eastAsia" w:eastAsia="仿宋" w:cs="Times New Roman"/>
                <w:color w:val="auto"/>
                <w:highlight w:val="none"/>
                <w:lang w:val="en-US" w:eastAsia="zh-CN"/>
              </w:rPr>
              <w:t>97.5万</w:t>
            </w:r>
            <w:r>
              <w:rPr>
                <w:rFonts w:hint="default" w:ascii="Times New Roman" w:hAnsi="Times New Roman" w:eastAsia="仿宋" w:cs="Times New Roman"/>
                <w:color w:val="auto"/>
                <w:highlight w:val="none"/>
              </w:rPr>
              <w:t>t/a。</w:t>
            </w:r>
          </w:p>
          <w:p>
            <w:pPr>
              <w:pStyle w:val="62"/>
              <w:ind w:firstLine="420"/>
              <w:jc w:val="both"/>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经计算，本项目道路扬尘量为0.35</w:t>
            </w:r>
            <w:r>
              <w:rPr>
                <w:rFonts w:hint="default" w:ascii="Times New Roman" w:hAnsi="Times New Roman" w:eastAsia="仿宋" w:cs="Times New Roman"/>
                <w:color w:val="auto"/>
                <w:highlight w:val="none"/>
                <w:lang w:val="en-US" w:eastAsia="zh-CN"/>
              </w:rPr>
              <w:t>1</w:t>
            </w:r>
            <w:r>
              <w:rPr>
                <w:rFonts w:hint="default" w:ascii="Times New Roman" w:hAnsi="Times New Roman" w:eastAsia="仿宋" w:cs="Times New Roman"/>
                <w:color w:val="auto"/>
                <w:highlight w:val="none"/>
              </w:rPr>
              <w:t>kg/km，本项目开采区自卸汽车将原矿、表土运输至堆场及</w:t>
            </w:r>
            <w:r>
              <w:rPr>
                <w:rFonts w:hint="default" w:ascii="Times New Roman" w:hAnsi="Times New Roman" w:eastAsia="仿宋" w:cs="Times New Roman"/>
                <w:color w:val="auto"/>
                <w:highlight w:val="none"/>
                <w:lang w:eastAsia="zh-CN"/>
              </w:rPr>
              <w:t>废石堆场</w:t>
            </w:r>
            <w:r>
              <w:rPr>
                <w:rFonts w:hint="default" w:ascii="Times New Roman" w:hAnsi="Times New Roman" w:eastAsia="仿宋" w:cs="Times New Roman"/>
                <w:color w:val="auto"/>
                <w:highlight w:val="none"/>
              </w:rPr>
              <w:t>道路长约</w:t>
            </w:r>
            <w:r>
              <w:rPr>
                <w:rFonts w:hint="default" w:ascii="Times New Roman" w:hAnsi="Times New Roman" w:eastAsia="仿宋" w:cs="Times New Roman"/>
                <w:color w:val="auto"/>
                <w:highlight w:val="none"/>
                <w:lang w:val="en-US" w:eastAsia="zh-CN"/>
              </w:rPr>
              <w:t>10</w:t>
            </w:r>
            <w:r>
              <w:rPr>
                <w:rFonts w:hint="default" w:ascii="Times New Roman" w:hAnsi="Times New Roman" w:eastAsia="仿宋" w:cs="Times New Roman"/>
                <w:color w:val="auto"/>
                <w:highlight w:val="none"/>
              </w:rPr>
              <w:t>00m，运输过程中粉尘产生量为</w:t>
            </w:r>
            <w:r>
              <w:rPr>
                <w:rFonts w:hint="eastAsia" w:eastAsia="仿宋" w:cs="Times New Roman"/>
                <w:color w:val="auto"/>
                <w:highlight w:val="none"/>
                <w:lang w:val="en-US" w:eastAsia="zh-CN"/>
              </w:rPr>
              <w:t>11.4</w:t>
            </w:r>
            <w:r>
              <w:rPr>
                <w:rFonts w:hint="default" w:ascii="Times New Roman" w:hAnsi="Times New Roman" w:eastAsia="仿宋" w:cs="Times New Roman"/>
                <w:color w:val="auto"/>
                <w:highlight w:val="none"/>
              </w:rPr>
              <w:t>t/a。</w:t>
            </w:r>
          </w:p>
          <w:p>
            <w:pPr>
              <w:pStyle w:val="62"/>
              <w:ind w:firstLine="420"/>
              <w:rPr>
                <w:rFonts w:hint="default" w:ascii="Times New Roman" w:hAnsi="Times New Roman" w:eastAsia="仿宋" w:cs="Times New Roman"/>
                <w:color w:val="auto"/>
                <w:highlight w:val="yellow"/>
              </w:rPr>
            </w:pPr>
            <w:r>
              <w:rPr>
                <w:rFonts w:hint="default" w:ascii="Times New Roman" w:hAnsi="Times New Roman" w:eastAsia="仿宋" w:cs="Times New Roman"/>
                <w:color w:val="auto"/>
                <w:highlight w:val="none"/>
              </w:rPr>
              <w:t>为了减少道路扬尘对大气环境的污染，首先要对矿区运输道路铺设砂石层，在矿区内设置限速标志；运输过程须加盖篷布；矿石运输道路洒水（配置喷雾洒水车1台，每天定期洒水</w:t>
            </w: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次），以降低扬尘污染。可减少约80%的粉尘量，则汽车运输过程中排放的粉尘量约为</w:t>
            </w:r>
            <w:r>
              <w:rPr>
                <w:rFonts w:hint="eastAsia" w:eastAsia="仿宋" w:cs="Times New Roman"/>
                <w:color w:val="auto"/>
                <w:highlight w:val="none"/>
                <w:lang w:val="en-US" w:eastAsia="zh-CN"/>
              </w:rPr>
              <w:t>2.28</w:t>
            </w:r>
            <w:r>
              <w:rPr>
                <w:rFonts w:hint="default" w:ascii="Times New Roman" w:hAnsi="Times New Roman" w:eastAsia="仿宋" w:cs="Times New Roman"/>
                <w:color w:val="auto"/>
                <w:highlight w:val="none"/>
              </w:rPr>
              <w:t>t/a。</w:t>
            </w:r>
          </w:p>
          <w:p>
            <w:pPr>
              <w:pStyle w:val="62"/>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w:t>
            </w:r>
            <w:r>
              <w:rPr>
                <w:rFonts w:hint="default" w:ascii="Times New Roman" w:hAnsi="Times New Roman" w:eastAsia="仿宋" w:cs="Times New Roman"/>
                <w:color w:val="auto"/>
                <w:sz w:val="24"/>
                <w:szCs w:val="24"/>
                <w:highlight w:val="none"/>
                <w:lang w:eastAsia="zh-CN"/>
              </w:rPr>
              <w:t>废石堆场</w:t>
            </w:r>
            <w:r>
              <w:rPr>
                <w:rFonts w:hint="default" w:ascii="Times New Roman" w:hAnsi="Times New Roman" w:eastAsia="仿宋" w:cs="Times New Roman"/>
                <w:color w:val="auto"/>
                <w:sz w:val="24"/>
                <w:szCs w:val="24"/>
                <w:highlight w:val="none"/>
              </w:rPr>
              <w:t>粉尘</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国内外学者和工程技术人员对在风蚀作用下颗粒物的输送和扩散做过许多研究，并在实践总结了一些推算的经验公式。影响扬尘的因素主要有风速、堆场几何形状、堆密度、水含量。</w:t>
            </w:r>
            <w:r>
              <w:rPr>
                <w:rFonts w:hint="default" w:ascii="Times New Roman" w:hAnsi="Times New Roman" w:eastAsia="仿宋" w:cs="Times New Roman"/>
                <w:color w:val="auto"/>
                <w:kern w:val="0"/>
                <w:sz w:val="24"/>
                <w:szCs w:val="24"/>
                <w:highlight w:val="none"/>
                <w:lang w:eastAsia="zh-CN"/>
              </w:rPr>
              <w:t>堆场</w:t>
            </w:r>
            <w:r>
              <w:rPr>
                <w:rFonts w:hint="default" w:ascii="Times New Roman" w:hAnsi="Times New Roman" w:eastAsia="仿宋" w:cs="Times New Roman"/>
                <w:color w:val="auto"/>
                <w:kern w:val="0"/>
                <w:sz w:val="24"/>
                <w:szCs w:val="24"/>
                <w:highlight w:val="none"/>
              </w:rPr>
              <w:t>扬尘量计算模式采用西安冶金建筑学院的起尘量推荐公式计算，公式如下。</w:t>
            </w:r>
          </w:p>
          <w:p>
            <w:pPr>
              <w:pStyle w:val="6"/>
              <w:rPr>
                <w:rFonts w:hint="default" w:ascii="Times New Roman" w:hAnsi="Times New Roman" w:eastAsia="仿宋" w:cs="Times New Roman"/>
                <w:color w:val="auto"/>
                <w:highlight w:val="yellow"/>
              </w:rPr>
            </w:pPr>
          </w:p>
          <w:p>
            <w:pPr>
              <w:adjustRightInd w:val="0"/>
              <w:snapToGrid w:val="0"/>
              <w:ind w:firstLine="420"/>
              <w:jc w:val="center"/>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highlight w:val="yellow"/>
              </w:rPr>
              <w:drawing>
                <wp:inline distT="0" distB="0" distL="0" distR="0">
                  <wp:extent cx="1981200" cy="2489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1200" cy="248920"/>
                          </a:xfrm>
                          <a:prstGeom prst="rect">
                            <a:avLst/>
                          </a:prstGeom>
                          <a:noFill/>
                          <a:ln>
                            <a:noFill/>
                          </a:ln>
                        </pic:spPr>
                      </pic:pic>
                    </a:graphicData>
                  </a:graphic>
                </wp:inline>
              </w:drawing>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其中：Q——堆场起尘量，（mg/s）；</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U——风速，山区内的平均风速为1.7m/s；</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AP——堆场面积，本项目</w:t>
            </w:r>
            <w:r>
              <w:rPr>
                <w:rFonts w:hint="default" w:ascii="Times New Roman" w:hAnsi="Times New Roman" w:eastAsia="仿宋" w:cs="Times New Roman"/>
                <w:color w:val="auto"/>
                <w:kern w:val="0"/>
                <w:sz w:val="24"/>
                <w:szCs w:val="24"/>
                <w:highlight w:val="none"/>
                <w:lang w:eastAsia="zh-CN"/>
              </w:rPr>
              <w:t>废石堆场</w:t>
            </w:r>
            <w:r>
              <w:rPr>
                <w:rFonts w:hint="default" w:ascii="Times New Roman" w:hAnsi="Times New Roman" w:eastAsia="仿宋" w:cs="Times New Roman"/>
                <w:color w:val="auto"/>
                <w:kern w:val="0"/>
                <w:sz w:val="24"/>
                <w:szCs w:val="24"/>
                <w:highlight w:val="none"/>
              </w:rPr>
              <w:t>面积为</w:t>
            </w:r>
            <w:r>
              <w:rPr>
                <w:rFonts w:hint="eastAsia"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lang w:val="en-US" w:eastAsia="zh-CN"/>
              </w:rPr>
              <w:t>0000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w:t>
            </w:r>
          </w:p>
          <w:p>
            <w:pPr>
              <w:pStyle w:val="62"/>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经计算可知，</w:t>
            </w:r>
            <w:r>
              <w:rPr>
                <w:rFonts w:hint="default" w:ascii="Times New Roman" w:hAnsi="Times New Roman" w:eastAsia="仿宋" w:cs="Times New Roman"/>
                <w:color w:val="auto"/>
                <w:sz w:val="24"/>
                <w:szCs w:val="24"/>
                <w:highlight w:val="none"/>
                <w:lang w:val="en-US" w:eastAsia="zh-CN"/>
              </w:rPr>
              <w:t>堆场</w:t>
            </w:r>
            <w:r>
              <w:rPr>
                <w:rFonts w:hint="default" w:ascii="Times New Roman" w:hAnsi="Times New Roman" w:eastAsia="仿宋" w:cs="Times New Roman"/>
                <w:color w:val="auto"/>
                <w:sz w:val="24"/>
                <w:szCs w:val="24"/>
                <w:highlight w:val="none"/>
              </w:rPr>
              <w:t>起尘量为</w:t>
            </w:r>
            <w:r>
              <w:rPr>
                <w:rFonts w:hint="eastAsia" w:eastAsia="仿宋" w:cs="Times New Roman"/>
                <w:color w:val="auto"/>
                <w:sz w:val="24"/>
                <w:szCs w:val="24"/>
                <w:highlight w:val="none"/>
                <w:lang w:val="en-US" w:eastAsia="zh-CN"/>
              </w:rPr>
              <w:t>113.87</w:t>
            </w:r>
            <w:r>
              <w:rPr>
                <w:rFonts w:hint="default" w:ascii="Times New Roman" w:hAnsi="Times New Roman" w:eastAsia="仿宋" w:cs="Times New Roman"/>
                <w:color w:val="auto"/>
                <w:sz w:val="24"/>
                <w:szCs w:val="24"/>
                <w:highlight w:val="none"/>
              </w:rPr>
              <w:t>mg/s（即</w:t>
            </w:r>
            <w:r>
              <w:rPr>
                <w:rFonts w:hint="eastAsia" w:eastAsia="仿宋" w:cs="Times New Roman"/>
                <w:color w:val="auto"/>
                <w:sz w:val="24"/>
                <w:szCs w:val="24"/>
                <w:highlight w:val="none"/>
                <w:lang w:val="en-US" w:eastAsia="zh-CN"/>
              </w:rPr>
              <w:t>0.89</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t/a）。项目</w:t>
            </w:r>
            <w:r>
              <w:rPr>
                <w:rFonts w:hint="default" w:ascii="Times New Roman" w:hAnsi="Times New Roman" w:eastAsia="仿宋" w:cs="Times New Roman"/>
                <w:color w:val="auto"/>
                <w:sz w:val="24"/>
                <w:szCs w:val="24"/>
                <w:highlight w:val="none"/>
                <w:lang w:eastAsia="zh-CN"/>
              </w:rPr>
              <w:t>废石堆场</w:t>
            </w:r>
            <w:r>
              <w:rPr>
                <w:rFonts w:hint="default" w:ascii="Times New Roman" w:hAnsi="Times New Roman" w:eastAsia="仿宋" w:cs="Times New Roman"/>
                <w:color w:val="auto"/>
                <w:sz w:val="24"/>
                <w:szCs w:val="24"/>
                <w:highlight w:val="none"/>
              </w:rPr>
              <w:t>采取</w:t>
            </w:r>
            <w:r>
              <w:rPr>
                <w:rFonts w:hint="eastAsia" w:eastAsia="仿宋" w:cs="Times New Roman"/>
                <w:color w:val="auto"/>
                <w:sz w:val="24"/>
                <w:szCs w:val="24"/>
                <w:highlight w:val="none"/>
                <w:lang w:val="en-US" w:eastAsia="zh-CN"/>
              </w:rPr>
              <w:t>防尘网苫盖</w:t>
            </w:r>
            <w:r>
              <w:rPr>
                <w:rFonts w:hint="default" w:ascii="Times New Roman" w:hAnsi="Times New Roman" w:eastAsia="仿宋" w:cs="Times New Roman"/>
                <w:color w:val="auto"/>
                <w:sz w:val="24"/>
                <w:szCs w:val="24"/>
                <w:highlight w:val="none"/>
              </w:rPr>
              <w:t>+洒水降尘等措施，可抑尘约80%，同时要求厂区加强管理，采取措施后粉尘排放量为</w:t>
            </w:r>
            <w:r>
              <w:rPr>
                <w:rFonts w:hint="eastAsia" w:eastAsia="仿宋" w:cs="Times New Roman"/>
                <w:color w:val="auto"/>
                <w:sz w:val="24"/>
                <w:szCs w:val="24"/>
                <w:highlight w:val="none"/>
                <w:lang w:val="en-US" w:eastAsia="zh-CN"/>
              </w:rPr>
              <w:t>0.18</w:t>
            </w:r>
            <w:r>
              <w:rPr>
                <w:rFonts w:hint="default" w:ascii="Times New Roman" w:hAnsi="Times New Roman" w:eastAsia="仿宋" w:cs="Times New Roman"/>
                <w:color w:val="auto"/>
                <w:sz w:val="24"/>
                <w:szCs w:val="24"/>
                <w:highlight w:val="none"/>
              </w:rPr>
              <w:t>t/a。</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t>）设备和车辆运行时排放废气</w:t>
            </w:r>
          </w:p>
          <w:p>
            <w:pPr>
              <w:adjustRightInd w:val="0"/>
              <w:snapToGrid w:val="0"/>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机械废气包括：各种燃油机械的废气排放，运输车辆产生的尾气等。燃油</w:t>
            </w:r>
          </w:p>
          <w:p>
            <w:pPr>
              <w:adjustRightInd w:val="0"/>
              <w:snapToGrid w:val="0"/>
              <w:spacing w:line="360" w:lineRule="auto"/>
              <w:ind w:left="0" w:leftChars="0" w:firstLine="0" w:firstLineChars="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color w:val="auto"/>
                <w:sz w:val="24"/>
                <w:szCs w:val="24"/>
                <w:highlight w:val="none"/>
                <w:lang w:val="en-US" w:eastAsia="zh-CN"/>
              </w:rPr>
              <w:t>机械和汽车尾气中的污染物主要有CO、NOx及碳氢化合物（HC）等。据交通部公路研究所的测算，以载重卡车为例，测得每辆卡车的尾气中含CO37.23g/km·辆，CnHm15.98g/km·辆，NOx16.83g/km·辆。这些施工机械所排放的废气以无组织面源的形式排放，会对施工区域的大气环境造成轻微影响。</w:t>
            </w:r>
          </w:p>
          <w:p>
            <w:pPr>
              <w:adjustRightInd w:val="0"/>
              <w:snapToGrid w:val="0"/>
              <w:spacing w:line="360" w:lineRule="auto"/>
              <w:ind w:firstLine="0" w:firstLineChars="0"/>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表</w:t>
            </w:r>
            <w:r>
              <w:rPr>
                <w:rFonts w:hint="eastAsia" w:eastAsia="仿宋" w:cs="Times New Roman"/>
                <w:b/>
                <w:bCs/>
                <w:color w:val="auto"/>
                <w:sz w:val="21"/>
                <w:szCs w:val="21"/>
                <w:highlight w:val="none"/>
                <w:lang w:val="en-US" w:eastAsia="zh-CN"/>
              </w:rPr>
              <w:t>4-7</w:t>
            </w:r>
            <w:r>
              <w:rPr>
                <w:rFonts w:hint="default" w:ascii="Times New Roman" w:hAnsi="Times New Roman" w:eastAsia="仿宋" w:cs="Times New Roman"/>
                <w:b/>
                <w:bCs/>
                <w:color w:val="auto"/>
                <w:sz w:val="21"/>
                <w:szCs w:val="21"/>
                <w:highlight w:val="none"/>
                <w:lang w:val="en-US" w:eastAsia="zh-CN"/>
              </w:rPr>
              <w:t xml:space="preserve"> 本工程粉尘排放统计</w:t>
            </w:r>
          </w:p>
          <w:tbl>
            <w:tblPr>
              <w:tblStyle w:val="86"/>
              <w:tblW w:w="4999"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1080"/>
              <w:gridCol w:w="1108"/>
              <w:gridCol w:w="1527"/>
              <w:gridCol w:w="2192"/>
              <w:gridCol w:w="2433"/>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8"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序号</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产污节点</w:t>
                  </w:r>
                </w:p>
              </w:tc>
              <w:tc>
                <w:tcPr>
                  <w:tcW w:w="2229" w:type="pct"/>
                  <w:gridSpan w:val="2"/>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污染物</w:t>
                  </w:r>
                </w:p>
              </w:tc>
              <w:tc>
                <w:tcPr>
                  <w:tcW w:w="1457"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排放量 t/a</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8"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1</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开采工序</w:t>
                  </w:r>
                </w:p>
              </w:tc>
              <w:tc>
                <w:tcPr>
                  <w:tcW w:w="915" w:type="pct"/>
                  <w:vMerge w:val="restart"/>
                  <w:tcBorders>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粉尘</w:t>
                  </w: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7"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15.99</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8"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2</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装卸工序</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7"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0.92</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8"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3</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筛选工序</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7"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19.5</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8"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4</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eastAsia" w:eastAsia="仿宋" w:cs="Times New Roman"/>
                      <w:snapToGrid/>
                      <w:color w:val="auto"/>
                      <w:kern w:val="0"/>
                      <w:sz w:val="21"/>
                      <w:szCs w:val="21"/>
                      <w:highlight w:val="none"/>
                      <w:lang w:val="en-US" w:eastAsia="zh-CN"/>
                    </w:rPr>
                    <w:t>运输</w:t>
                  </w:r>
                  <w:r>
                    <w:rPr>
                      <w:rFonts w:hint="default" w:ascii="Times New Roman" w:hAnsi="Times New Roman" w:eastAsia="仿宋" w:cs="Times New Roman"/>
                      <w:snapToGrid/>
                      <w:color w:val="auto"/>
                      <w:kern w:val="0"/>
                      <w:sz w:val="21"/>
                      <w:szCs w:val="21"/>
                      <w:highlight w:val="none"/>
                      <w:lang w:eastAsia="zh-CN"/>
                    </w:rPr>
                    <w:t>工序</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7"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2.28</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8"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5</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eastAsia" w:eastAsia="仿宋" w:cs="Times New Roman"/>
                      <w:snapToGrid/>
                      <w:color w:val="auto"/>
                      <w:kern w:val="0"/>
                      <w:sz w:val="21"/>
                      <w:szCs w:val="21"/>
                      <w:highlight w:val="none"/>
                      <w:lang w:val="en-US" w:eastAsia="zh-CN"/>
                    </w:rPr>
                    <w:t>堆放</w:t>
                  </w:r>
                  <w:r>
                    <w:rPr>
                      <w:rFonts w:hint="default" w:ascii="Times New Roman" w:hAnsi="Times New Roman" w:eastAsia="仿宋" w:cs="Times New Roman"/>
                      <w:snapToGrid/>
                      <w:color w:val="auto"/>
                      <w:kern w:val="0"/>
                      <w:sz w:val="21"/>
                      <w:szCs w:val="21"/>
                      <w:highlight w:val="none"/>
                      <w:lang w:eastAsia="zh-CN"/>
                    </w:rPr>
                    <w:t>工序</w:t>
                  </w:r>
                </w:p>
              </w:tc>
              <w:tc>
                <w:tcPr>
                  <w:tcW w:w="915" w:type="pct"/>
                  <w:vMerge w:val="continue"/>
                  <w:tcBorders>
                    <w:top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7"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0.18</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1312" w:type="pct"/>
                  <w:gridSpan w:val="2"/>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总量</w:t>
                  </w:r>
                </w:p>
              </w:tc>
              <w:tc>
                <w:tcPr>
                  <w:tcW w:w="915"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2772" w:type="pct"/>
                  <w:gridSpan w:val="2"/>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eastAsia" w:eastAsia="仿宋" w:cs="Times New Roman"/>
                      <w:snapToGrid/>
                      <w:color w:val="auto"/>
                      <w:kern w:val="0"/>
                      <w:sz w:val="21"/>
                      <w:szCs w:val="21"/>
                      <w:highlight w:val="none"/>
                      <w:lang w:val="en-US" w:eastAsia="zh-CN"/>
                    </w:rPr>
                    <w:t>38.87</w:t>
                  </w:r>
                  <w:r>
                    <w:rPr>
                      <w:rFonts w:hint="default" w:ascii="Times New Roman" w:hAnsi="Times New Roman" w:eastAsia="仿宋" w:cs="Times New Roman"/>
                      <w:snapToGrid/>
                      <w:color w:val="auto"/>
                      <w:kern w:val="0"/>
                      <w:sz w:val="21"/>
                      <w:szCs w:val="21"/>
                      <w:highlight w:val="none"/>
                      <w:lang w:eastAsia="zh-CN"/>
                    </w:rPr>
                    <w:t>t/a</w:t>
                  </w:r>
                </w:p>
              </w:tc>
            </w:tr>
          </w:tbl>
          <w:p>
            <w:pPr>
              <w:pStyle w:val="3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7</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食堂</w:t>
            </w:r>
            <w:r>
              <w:rPr>
                <w:rFonts w:hint="default" w:ascii="Times New Roman" w:hAnsi="Times New Roman" w:eastAsia="仿宋" w:cs="Times New Roman"/>
                <w:color w:val="auto"/>
                <w:sz w:val="24"/>
                <w:szCs w:val="24"/>
                <w:highlight w:val="none"/>
              </w:rPr>
              <w:t>油烟</w:t>
            </w:r>
          </w:p>
          <w:p>
            <w:pPr>
              <w:keepNext w:val="0"/>
              <w:keepLines w:val="0"/>
              <w:pageBreakBefore w:val="0"/>
              <w:widowControl w:val="0"/>
              <w:kinsoku/>
              <w:wordWrap/>
              <w:overflowPunct/>
              <w:topLinePunct w:val="0"/>
              <w:autoSpaceDE/>
              <w:autoSpaceDN/>
              <w:bidi w:val="0"/>
              <w:adjustRightInd/>
              <w:snapToGrid/>
              <w:spacing w:line="360" w:lineRule="auto"/>
              <w:ind w:firstLine="422"/>
              <w:jc w:val="both"/>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sz w:val="24"/>
                <w:szCs w:val="24"/>
                <w:highlight w:val="none"/>
              </w:rPr>
              <w:t>项目劳动定员</w:t>
            </w:r>
            <w:r>
              <w:rPr>
                <w:rFonts w:hint="eastAsia" w:eastAsia="仿宋" w:cs="Times New Roman"/>
                <w:color w:val="auto"/>
                <w:sz w:val="24"/>
                <w:szCs w:val="24"/>
                <w:highlight w:val="none"/>
                <w:lang w:val="en-US" w:eastAsia="zh-CN"/>
              </w:rPr>
              <w:t>31人</w:t>
            </w:r>
            <w:r>
              <w:rPr>
                <w:rFonts w:hint="default" w:ascii="Times New Roman" w:hAnsi="Times New Roman" w:eastAsia="仿宋" w:cs="Times New Roman"/>
                <w:color w:val="auto"/>
                <w:sz w:val="24"/>
                <w:szCs w:val="24"/>
                <w:highlight w:val="none"/>
              </w:rPr>
              <w:t>，单位根据班次提供中午餐食，人均食用油用量约为10g/人·d。一般油烟挥发量为总耗油量的2-4%，本次评价取3%计算。项目年运行</w:t>
            </w:r>
            <w:r>
              <w:rPr>
                <w:rFonts w:hint="default" w:ascii="Times New Roman" w:hAnsi="Times New Roman" w:eastAsia="仿宋" w:cs="Times New Roman"/>
                <w:color w:val="auto"/>
                <w:sz w:val="24"/>
                <w:szCs w:val="24"/>
                <w:highlight w:val="none"/>
                <w:lang w:val="en-US" w:eastAsia="zh-CN"/>
              </w:rPr>
              <w:t>270</w:t>
            </w:r>
            <w:r>
              <w:rPr>
                <w:rFonts w:hint="default" w:ascii="Times New Roman" w:hAnsi="Times New Roman" w:eastAsia="仿宋" w:cs="Times New Roman"/>
                <w:color w:val="auto"/>
                <w:sz w:val="24"/>
                <w:szCs w:val="24"/>
                <w:highlight w:val="none"/>
              </w:rPr>
              <w:t>天，油烟产生量为</w:t>
            </w:r>
            <w:r>
              <w:rPr>
                <w:rFonts w:hint="default" w:ascii="Times New Roman" w:hAnsi="Times New Roman" w:eastAsia="仿宋" w:cs="Times New Roman"/>
                <w:color w:val="auto"/>
                <w:sz w:val="24"/>
                <w:szCs w:val="24"/>
                <w:highlight w:val="none"/>
                <w:lang w:val="en-US" w:eastAsia="zh-CN"/>
              </w:rPr>
              <w:t>2.</w:t>
            </w:r>
            <w:r>
              <w:rPr>
                <w:rFonts w:hint="eastAsia" w:eastAsia="仿宋" w:cs="Times New Roman"/>
                <w:color w:val="auto"/>
                <w:sz w:val="24"/>
                <w:szCs w:val="24"/>
                <w:highlight w:val="none"/>
                <w:lang w:val="en-US" w:eastAsia="zh-CN"/>
              </w:rPr>
              <w:t>51</w:t>
            </w:r>
            <w:r>
              <w:rPr>
                <w:rFonts w:hint="default" w:ascii="Times New Roman" w:hAnsi="Times New Roman" w:eastAsia="仿宋" w:cs="Times New Roman"/>
                <w:color w:val="auto"/>
                <w:sz w:val="24"/>
                <w:szCs w:val="24"/>
                <w:highlight w:val="none"/>
              </w:rPr>
              <w:t>kg/a。项目食堂每天平均使用时间约为2个小时，烹饪过程中产生的油烟废气量按照1500m³/h计算，则油烟废气量合计</w:t>
            </w:r>
            <w:r>
              <w:rPr>
                <w:rFonts w:hint="default" w:ascii="Times New Roman" w:hAnsi="Times New Roman" w:eastAsia="仿宋" w:cs="Times New Roman"/>
                <w:color w:val="auto"/>
                <w:sz w:val="24"/>
                <w:szCs w:val="24"/>
                <w:highlight w:val="none"/>
                <w:lang w:val="en-US" w:eastAsia="zh-CN"/>
              </w:rPr>
              <w:t>81</w:t>
            </w:r>
            <w:r>
              <w:rPr>
                <w:rFonts w:hint="default" w:ascii="Times New Roman" w:hAnsi="Times New Roman" w:eastAsia="仿宋" w:cs="Times New Roman"/>
                <w:color w:val="auto"/>
                <w:sz w:val="24"/>
                <w:szCs w:val="24"/>
                <w:highlight w:val="none"/>
              </w:rPr>
              <w:t>万m³/a。油烟的产生浓度为</w:t>
            </w:r>
            <w:r>
              <w:rPr>
                <w:rFonts w:hint="eastAsia" w:eastAsia="仿宋" w:cs="Times New Roman"/>
                <w:color w:val="auto"/>
                <w:sz w:val="24"/>
                <w:szCs w:val="24"/>
                <w:highlight w:val="none"/>
                <w:lang w:val="en-US" w:eastAsia="zh-CN"/>
              </w:rPr>
              <w:t>3.1</w:t>
            </w:r>
            <w:r>
              <w:rPr>
                <w:rFonts w:hint="default" w:ascii="Times New Roman" w:hAnsi="Times New Roman" w:eastAsia="仿宋" w:cs="Times New Roman"/>
                <w:color w:val="auto"/>
                <w:sz w:val="24"/>
                <w:szCs w:val="24"/>
                <w:highlight w:val="none"/>
              </w:rPr>
              <w:t>mg/m³。油烟废气经过油烟净化处理后通过烟道引至屋顶高空排放，油烟净化器的去除效率按照60%计算，则经处理后的油烟排放浓度为</w:t>
            </w:r>
            <w:r>
              <w:rPr>
                <w:rFonts w:hint="default" w:ascii="Times New Roman" w:hAnsi="Times New Roman" w:eastAsia="仿宋" w:cs="Times New Roman"/>
                <w:color w:val="auto"/>
                <w:sz w:val="24"/>
                <w:szCs w:val="24"/>
                <w:highlight w:val="none"/>
                <w:lang w:val="en-US" w:eastAsia="zh-CN"/>
              </w:rPr>
              <w:t>1.</w:t>
            </w:r>
            <w:r>
              <w:rPr>
                <w:rFonts w:hint="eastAsia" w:eastAsia="仿宋" w:cs="Times New Roman"/>
                <w:color w:val="auto"/>
                <w:sz w:val="24"/>
                <w:szCs w:val="24"/>
                <w:highlight w:val="none"/>
                <w:lang w:val="en-US" w:eastAsia="zh-CN"/>
              </w:rPr>
              <w:t>24</w:t>
            </w:r>
            <w:r>
              <w:rPr>
                <w:rFonts w:hint="default" w:ascii="Times New Roman" w:hAnsi="Times New Roman" w:eastAsia="仿宋" w:cs="Times New Roman"/>
                <w:color w:val="auto"/>
                <w:sz w:val="24"/>
                <w:szCs w:val="24"/>
                <w:highlight w:val="none"/>
              </w:rPr>
              <w:t>mg/m³，油烟排放量为</w:t>
            </w:r>
            <w:r>
              <w:rPr>
                <w:rFonts w:hint="eastAsia" w:eastAsia="仿宋" w:cs="Times New Roman"/>
                <w:color w:val="auto"/>
                <w:sz w:val="24"/>
                <w:szCs w:val="24"/>
                <w:highlight w:val="none"/>
                <w:lang w:val="en-US" w:eastAsia="zh-CN"/>
              </w:rPr>
              <w:t>1.04</w:t>
            </w:r>
            <w:r>
              <w:rPr>
                <w:rFonts w:hint="default" w:ascii="Times New Roman" w:hAnsi="Times New Roman" w:eastAsia="仿宋" w:cs="Times New Roman"/>
                <w:color w:val="auto"/>
                <w:sz w:val="24"/>
                <w:szCs w:val="24"/>
                <w:highlight w:val="none"/>
              </w:rPr>
              <w:t>kg/a。油烟排放浓度满足《饮食业油烟排放标准（试行）</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（GB18483-2001）油烟最高允许排放浓度≤2mg/m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标准。</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bCs w:val="0"/>
                <w:color w:val="auto"/>
                <w:sz w:val="24"/>
                <w:szCs w:val="24"/>
                <w:highlight w:val="none"/>
                <w:lang w:val="en-US" w:eastAsia="zh-CN"/>
              </w:rPr>
            </w:pPr>
            <w:r>
              <w:rPr>
                <w:rFonts w:hint="default" w:ascii="Times New Roman" w:hAnsi="Times New Roman" w:eastAsia="仿宋" w:cs="Times New Roman"/>
                <w:b/>
                <w:bCs w:val="0"/>
                <w:color w:val="auto"/>
                <w:sz w:val="24"/>
                <w:szCs w:val="24"/>
                <w:highlight w:val="none"/>
                <w:lang w:val="en-US" w:eastAsia="zh-CN"/>
              </w:rPr>
              <w:t>2.2废气处理措施及其可行性分析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 w:cs="Times New Roman"/>
                <w:b/>
                <w:color w:val="auto"/>
                <w:sz w:val="24"/>
                <w:szCs w:val="24"/>
                <w:highlight w:val="yellow"/>
              </w:rPr>
            </w:pPr>
            <w:r>
              <w:rPr>
                <w:rFonts w:hint="default" w:ascii="Times New Roman" w:hAnsi="Times New Roman" w:eastAsia="仿宋" w:cs="Times New Roman"/>
                <w:b w:val="0"/>
                <w:bCs/>
                <w:color w:val="auto"/>
                <w:sz w:val="24"/>
                <w:szCs w:val="24"/>
                <w:highlight w:val="none"/>
                <w:lang w:val="en-US" w:eastAsia="zh-CN"/>
              </w:rPr>
              <w:t>本项目采取采装作业面洒水增湿，采装作业利用雾炮喷淋设施进行降尘；矿区运输道路每日洒水2次，运输车辆篷布遮盖，限速等措施后能够</w:t>
            </w:r>
            <w:r>
              <w:rPr>
                <w:rFonts w:hint="default" w:ascii="Times New Roman" w:hAnsi="Times New Roman" w:eastAsia="仿宋" w:cs="Times New Roman"/>
                <w:b w:val="0"/>
                <w:bCs/>
                <w:color w:val="auto"/>
                <w:sz w:val="24"/>
                <w:szCs w:val="24"/>
                <w:highlight w:val="none"/>
              </w:rPr>
              <w:t>有效减少无组织废气排放，未被收集的粉尘经自然沉降后，厂内颗粒物浓度可满足《大气污染物综合排放标准》（GB16297- 1996）无组织排放限值要求</w:t>
            </w:r>
            <w:r>
              <w:rPr>
                <w:rFonts w:hint="default" w:ascii="Times New Roman" w:hAnsi="Times New Roman" w:eastAsia="仿宋" w:cs="Times New Roman"/>
                <w:b w:val="0"/>
                <w:bCs/>
                <w:color w:val="auto"/>
                <w:sz w:val="24"/>
                <w:szCs w:val="24"/>
                <w:highlight w:val="none"/>
                <w:lang w:eastAsia="zh-CN"/>
              </w:rPr>
              <w:t>，</w:t>
            </w:r>
            <w:r>
              <w:rPr>
                <w:rFonts w:hint="default" w:ascii="Times New Roman" w:hAnsi="Times New Roman" w:eastAsia="仿宋" w:cs="Times New Roman"/>
                <w:color w:val="auto"/>
                <w:sz w:val="24"/>
                <w:szCs w:val="24"/>
                <w:highlight w:val="none"/>
              </w:rPr>
              <w:t>油烟废气经过油烟净化处理后通过烟道引至屋顶高空排放</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满足</w:t>
            </w:r>
            <w:r>
              <w:rPr>
                <w:rFonts w:hint="default" w:ascii="Times New Roman" w:hAnsi="Times New Roman" w:eastAsia="仿宋" w:cs="Times New Roman"/>
                <w:color w:val="auto"/>
                <w:sz w:val="24"/>
                <w:szCs w:val="24"/>
                <w:highlight w:val="none"/>
              </w:rPr>
              <w:t>《饮食业油烟排放标准（试行）</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（GB18483-2001）油烟最高允许排放浓度≤2mg/m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标准，</w:t>
            </w:r>
            <w:r>
              <w:rPr>
                <w:rFonts w:hint="default" w:ascii="Times New Roman" w:hAnsi="Times New Roman" w:eastAsia="仿宋" w:cs="Times New Roman"/>
                <w:b w:val="0"/>
                <w:bCs/>
                <w:color w:val="auto"/>
                <w:sz w:val="24"/>
                <w:szCs w:val="24"/>
                <w:highlight w:val="none"/>
              </w:rPr>
              <w:t>本项目各生产环节废气治理</w:t>
            </w:r>
            <w:r>
              <w:rPr>
                <w:rFonts w:hint="default" w:ascii="Times New Roman" w:hAnsi="Times New Roman" w:eastAsia="仿宋" w:cs="Times New Roman"/>
                <w:b w:val="0"/>
                <w:bCs/>
                <w:color w:val="auto"/>
                <w:sz w:val="24"/>
                <w:szCs w:val="24"/>
                <w:highlight w:val="none"/>
                <w:lang w:val="en-US" w:eastAsia="zh-CN"/>
              </w:rPr>
              <w:t>措施</w:t>
            </w:r>
            <w:r>
              <w:rPr>
                <w:rFonts w:hint="default" w:ascii="Times New Roman" w:hAnsi="Times New Roman" w:eastAsia="仿宋" w:cs="Times New Roman"/>
                <w:b w:val="0"/>
                <w:bCs/>
                <w:color w:val="auto"/>
                <w:sz w:val="24"/>
                <w:szCs w:val="24"/>
                <w:highlight w:val="none"/>
              </w:rPr>
              <w:t>是可行的</w:t>
            </w:r>
            <w:r>
              <w:rPr>
                <w:rFonts w:hint="default" w:ascii="Times New Roman" w:hAnsi="Times New Roman" w:eastAsia="仿宋" w:cs="Times New Roman"/>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3、水环境影响分析</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firstLine="474" w:firstLineChars="200"/>
              <w:textAlignment w:val="auto"/>
              <w:rPr>
                <w:rFonts w:hint="default" w:ascii="Times New Roman" w:hAnsi="Times New Roman" w:eastAsia="仿宋" w:cs="Times New Roman"/>
                <w:b/>
                <w:bCs/>
                <w:color w:val="auto"/>
                <w:spacing w:val="-2"/>
              </w:rPr>
            </w:pPr>
            <w:r>
              <w:rPr>
                <w:rFonts w:hint="default" w:ascii="Times New Roman" w:hAnsi="Times New Roman" w:eastAsia="仿宋" w:cs="Times New Roman"/>
                <w:b/>
                <w:bCs/>
                <w:color w:val="auto"/>
                <w:spacing w:val="-2"/>
              </w:rPr>
              <w:t>3.1水环境影响分析</w:t>
            </w:r>
          </w:p>
          <w:p>
            <w:pPr>
              <w:pStyle w:val="8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rPr>
              <w:t>（1）地表水评价等级确定</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jc w:val="both"/>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rPr>
              <w:t>根据废水来源分析，本项目生产废水主要为降尘用水，经蒸发后，不外排；</w:t>
            </w: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default" w:ascii="Times New Roman" w:hAnsi="Times New Roman" w:eastAsia="仿宋" w:cs="Times New Roman"/>
                <w:color w:val="auto"/>
                <w:spacing w:val="3"/>
              </w:rPr>
              <w:t>，不排入地表水体；因此确定为废水间接排放。根据《环境</w:t>
            </w:r>
            <w:r>
              <w:rPr>
                <w:rFonts w:hint="default" w:ascii="Times New Roman" w:hAnsi="Times New Roman" w:eastAsia="仿宋" w:cs="Times New Roman"/>
                <w:color w:val="auto"/>
                <w:spacing w:val="2"/>
              </w:rPr>
              <w:t>影响评价</w:t>
            </w:r>
            <w:r>
              <w:rPr>
                <w:rFonts w:hint="default" w:ascii="Times New Roman" w:hAnsi="Times New Roman" w:eastAsia="仿宋" w:cs="Times New Roman"/>
                <w:color w:val="auto"/>
                <w:spacing w:val="-1"/>
              </w:rPr>
              <w:t>技术导则地表水环</w:t>
            </w:r>
            <w:r>
              <w:rPr>
                <w:rFonts w:hint="default" w:ascii="Times New Roman" w:hAnsi="Times New Roman" w:eastAsia="仿宋" w:cs="Times New Roman"/>
                <w:color w:val="auto"/>
                <w:kern w:val="2"/>
                <w:sz w:val="24"/>
                <w:szCs w:val="24"/>
                <w:lang w:val="en-US" w:eastAsia="zh-CN" w:bidi="ar-SA"/>
              </w:rPr>
              <w:t>境》中规定，按三级B评价。</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（2）地表水环境影响分析</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1）生产废水</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本项目生产用水主要为开采、生产、堆场、道路等降尘洒水，经矿石吸收、部分自然蒸发，不排放。</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sz w:val="24"/>
                <w:szCs w:val="24"/>
                <w:highlight w:val="none"/>
                <w:lang w:val="en-US" w:eastAsia="zh-CN"/>
              </w:rPr>
              <w:t>砂石料</w:t>
            </w:r>
            <w:r>
              <w:rPr>
                <w:rFonts w:hint="default" w:ascii="Times New Roman" w:hAnsi="Times New Roman" w:eastAsia="仿宋" w:cs="Times New Roman"/>
                <w:color w:val="auto"/>
                <w:sz w:val="24"/>
                <w:szCs w:val="24"/>
                <w:highlight w:val="none"/>
                <w:lang w:val="en-US" w:eastAsia="zh-CN"/>
              </w:rPr>
              <w:t>水洗废水经</w:t>
            </w:r>
            <w:r>
              <w:rPr>
                <w:rFonts w:hint="eastAsia" w:eastAsia="仿宋" w:cs="Times New Roman"/>
                <w:color w:val="auto"/>
                <w:sz w:val="24"/>
                <w:szCs w:val="24"/>
                <w:highlight w:val="none"/>
                <w:lang w:val="en-US" w:eastAsia="zh-CN"/>
              </w:rPr>
              <w:t>防渗沉淀池</w:t>
            </w:r>
            <w:r>
              <w:rPr>
                <w:rFonts w:hint="default" w:ascii="Times New Roman" w:hAnsi="Times New Roman" w:eastAsia="仿宋" w:cs="Times New Roman"/>
                <w:color w:val="auto"/>
                <w:sz w:val="24"/>
                <w:szCs w:val="24"/>
                <w:highlight w:val="none"/>
                <w:lang w:val="en-US" w:eastAsia="zh-CN"/>
              </w:rPr>
              <w:t>可循环利用</w:t>
            </w:r>
            <w:r>
              <w:rPr>
                <w:rFonts w:hint="eastAsia" w:ascii="Times New Roman" w:hAnsi="Times New Roman" w:eastAsia="仿宋" w:cs="Times New Roman"/>
                <w:color w:val="auto"/>
                <w:sz w:val="24"/>
                <w:szCs w:val="24"/>
                <w:highlight w:val="none"/>
                <w:lang w:val="en-US" w:eastAsia="zh-CN"/>
              </w:rPr>
              <w:t>，建设过程中池底及四周应采用混凝土结构，防止水土流失。</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lang w:val="en-US" w:eastAsia="zh-CN" w:bidi="ar-SA"/>
              </w:rPr>
              <w:t>2）生活污</w:t>
            </w:r>
            <w:r>
              <w:rPr>
                <w:rFonts w:hint="default" w:ascii="Times New Roman" w:hAnsi="Times New Roman" w:eastAsia="仿宋" w:cs="Times New Roman"/>
                <w:color w:val="auto"/>
                <w:kern w:val="2"/>
                <w:sz w:val="24"/>
                <w:szCs w:val="24"/>
                <w:highlight w:val="none"/>
                <w:lang w:val="en-US" w:eastAsia="zh-CN" w:bidi="ar-SA"/>
              </w:rPr>
              <w:t>水</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本项目运营期间产生废水为生活污水，无生产废水产生。本项目生活污水量为1.</w:t>
            </w:r>
            <w:r>
              <w:rPr>
                <w:rFonts w:hint="eastAsia" w:eastAsia="仿宋" w:cs="Times New Roman"/>
                <w:color w:val="auto"/>
                <w:kern w:val="2"/>
                <w:sz w:val="24"/>
                <w:szCs w:val="24"/>
                <w:highlight w:val="none"/>
                <w:lang w:val="en-US" w:eastAsia="zh-CN" w:bidi="ar-SA"/>
              </w:rPr>
              <w:t>98</w:t>
            </w:r>
            <w:r>
              <w:rPr>
                <w:rFonts w:hint="default" w:ascii="Times New Roman" w:hAnsi="Times New Roman" w:eastAsia="仿宋" w:cs="Times New Roman"/>
                <w:color w:val="auto"/>
                <w:kern w:val="2"/>
                <w:sz w:val="24"/>
                <w:szCs w:val="24"/>
                <w:highlight w:val="none"/>
                <w:lang w:val="en-US" w:eastAsia="zh-CN" w:bidi="ar-SA"/>
              </w:rPr>
              <w:t>m</w:t>
            </w:r>
            <w:r>
              <w:rPr>
                <w:rFonts w:hint="default" w:ascii="Times New Roman" w:hAnsi="Times New Roman" w:eastAsia="仿宋" w:cs="Times New Roman"/>
                <w:color w:val="auto"/>
                <w:kern w:val="2"/>
                <w:sz w:val="24"/>
                <w:szCs w:val="24"/>
                <w:highlight w:val="none"/>
                <w:vertAlign w:val="superscript"/>
                <w:lang w:val="en-US" w:eastAsia="zh-CN" w:bidi="ar-SA"/>
              </w:rPr>
              <w:t>3</w:t>
            </w:r>
            <w:r>
              <w:rPr>
                <w:rFonts w:hint="default" w:ascii="Times New Roman" w:hAnsi="Times New Roman" w:eastAsia="仿宋" w:cs="Times New Roman"/>
                <w:color w:val="auto"/>
                <w:kern w:val="2"/>
                <w:sz w:val="24"/>
                <w:szCs w:val="24"/>
                <w:highlight w:val="none"/>
                <w:lang w:val="en-US" w:eastAsia="zh-CN" w:bidi="ar-SA"/>
              </w:rPr>
              <w:t>/d（</w:t>
            </w:r>
            <w:r>
              <w:rPr>
                <w:rFonts w:hint="eastAsia" w:eastAsia="仿宋" w:cs="Times New Roman"/>
                <w:color w:val="auto"/>
                <w:kern w:val="2"/>
                <w:sz w:val="24"/>
                <w:szCs w:val="24"/>
                <w:highlight w:val="none"/>
                <w:lang w:val="en-US" w:eastAsia="zh-CN" w:bidi="ar-SA"/>
              </w:rPr>
              <w:t>535.68</w:t>
            </w:r>
            <w:r>
              <w:rPr>
                <w:rFonts w:hint="default" w:ascii="Times New Roman" w:hAnsi="Times New Roman" w:eastAsia="仿宋" w:cs="Times New Roman"/>
                <w:color w:val="auto"/>
                <w:kern w:val="2"/>
                <w:sz w:val="24"/>
                <w:szCs w:val="24"/>
                <w:highlight w:val="none"/>
                <w:lang w:val="en-US" w:eastAsia="zh-CN" w:bidi="ar-SA"/>
              </w:rPr>
              <w:t>m</w:t>
            </w:r>
            <w:r>
              <w:rPr>
                <w:rFonts w:hint="default" w:ascii="Times New Roman" w:hAnsi="Times New Roman" w:eastAsia="仿宋" w:cs="Times New Roman"/>
                <w:color w:val="auto"/>
                <w:kern w:val="2"/>
                <w:sz w:val="24"/>
                <w:szCs w:val="24"/>
                <w:highlight w:val="none"/>
                <w:vertAlign w:val="superscript"/>
                <w:lang w:val="en-US" w:eastAsia="zh-CN" w:bidi="ar-SA"/>
              </w:rPr>
              <w:t>3</w:t>
            </w:r>
            <w:r>
              <w:rPr>
                <w:rFonts w:hint="default" w:ascii="Times New Roman" w:hAnsi="Times New Roman" w:eastAsia="仿宋" w:cs="Times New Roman"/>
                <w:color w:val="auto"/>
                <w:kern w:val="2"/>
                <w:sz w:val="24"/>
                <w:szCs w:val="24"/>
                <w:highlight w:val="none"/>
                <w:lang w:val="en-US" w:eastAsia="zh-CN" w:bidi="ar-SA"/>
              </w:rPr>
              <w:t>/a），</w:t>
            </w: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default" w:ascii="Times New Roman" w:hAnsi="Times New Roman" w:eastAsia="仿宋" w:cs="Times New Roman"/>
                <w:color w:val="auto"/>
                <w:kern w:val="2"/>
                <w:sz w:val="24"/>
                <w:szCs w:val="24"/>
                <w:lang w:val="en-US" w:eastAsia="zh-CN" w:bidi="ar-SA"/>
              </w:rPr>
              <w:t>，对区域水环境基本无影响。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综上，本项目投产运行实现废水零排放，生活污水妥善处理，对区域地表水环境基本无影响。</w:t>
            </w:r>
          </w:p>
          <w:p>
            <w:pPr>
              <w:pStyle w:val="85"/>
              <w:keepNext w:val="0"/>
              <w:keepLines w:val="0"/>
              <w:pageBreakBefore w:val="0"/>
              <w:widowControl w:val="0"/>
              <w:kinsoku/>
              <w:wordWrap/>
              <w:overflowPunct/>
              <w:topLinePunct w:val="0"/>
              <w:autoSpaceDE/>
              <w:autoSpaceDN/>
              <w:bidi w:val="0"/>
              <w:adjustRightInd/>
              <w:snapToGrid/>
              <w:spacing w:line="219" w:lineRule="auto"/>
              <w:textAlignment w:val="auto"/>
              <w:outlineLvl w:val="2"/>
              <w:rPr>
                <w:rFonts w:hint="default" w:ascii="Times New Roman" w:hAnsi="Times New Roman" w:eastAsia="仿宋" w:cs="Times New Roman"/>
                <w:b/>
                <w:bCs w:val="0"/>
                <w:color w:val="auto"/>
                <w:kern w:val="2"/>
                <w:sz w:val="24"/>
                <w:szCs w:val="24"/>
                <w:lang w:val="en-US" w:eastAsia="zh-CN" w:bidi="ar-SA"/>
              </w:rPr>
            </w:pPr>
            <w:r>
              <w:rPr>
                <w:rFonts w:hint="default" w:ascii="Times New Roman" w:hAnsi="Times New Roman" w:eastAsia="仿宋" w:cs="Times New Roman"/>
                <w:b/>
                <w:bCs w:val="0"/>
                <w:color w:val="auto"/>
                <w:kern w:val="2"/>
                <w:sz w:val="24"/>
                <w:szCs w:val="24"/>
                <w:lang w:val="en-US" w:eastAsia="zh-CN" w:bidi="ar-SA"/>
              </w:rPr>
              <w:t>3.2地下水环境影响分析</w:t>
            </w:r>
          </w:p>
          <w:p>
            <w:pPr>
              <w:pStyle w:val="85"/>
              <w:spacing w:before="183" w:line="359" w:lineRule="auto"/>
              <w:ind w:left="0" w:leftChars="0" w:right="103"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根据《环境影响评价技术导则地下水环境》（HJ610-2016）一般性原则和附录A，确定本项目属于J非金属矿采选及制品制造中的第54项，属于Ⅳ类项目，可不开展地下水环境影响评价。</w:t>
            </w:r>
          </w:p>
          <w:p>
            <w:pPr>
              <w:pStyle w:val="21"/>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本项目对区域地下水环境产生的影响主要表现为</w:t>
            </w:r>
            <w:r>
              <w:rPr>
                <w:rFonts w:hint="eastAsia" w:eastAsia="仿宋" w:cs="Times New Roman"/>
                <w:bCs/>
                <w:color w:val="auto"/>
                <w:kern w:val="2"/>
                <w:sz w:val="24"/>
                <w:szCs w:val="24"/>
                <w:lang w:val="en-US" w:eastAsia="zh-CN" w:bidi="ar-SA"/>
              </w:rPr>
              <w:t>防渗化粪池</w:t>
            </w:r>
            <w:r>
              <w:rPr>
                <w:rFonts w:hint="default" w:ascii="Times New Roman" w:hAnsi="Times New Roman" w:eastAsia="仿宋" w:cs="Times New Roman"/>
                <w:bCs/>
                <w:color w:val="auto"/>
                <w:kern w:val="2"/>
                <w:sz w:val="24"/>
                <w:szCs w:val="24"/>
                <w:lang w:val="en-US" w:eastAsia="zh-CN" w:bidi="ar-SA"/>
              </w:rPr>
              <w:t>污水事故排放渗入地下和废矿物油泄漏渗入地下，如果缺少必要的地下水防护措施或者防护措施不到位，项目在长期的运营过程中，生活污水中的污染物势必会渗透至土壤，穿过包气带，渗入含水层污染地下水。为防止浅层地下水污染，</w:t>
            </w:r>
            <w:r>
              <w:rPr>
                <w:rFonts w:hint="eastAsia" w:eastAsia="仿宋" w:cs="Times New Roman"/>
                <w:bCs/>
                <w:color w:val="auto"/>
                <w:kern w:val="2"/>
                <w:sz w:val="24"/>
                <w:szCs w:val="24"/>
                <w:lang w:val="en-US" w:eastAsia="zh-CN" w:bidi="ar-SA"/>
              </w:rPr>
              <w:t>防渗化粪池</w:t>
            </w:r>
            <w:r>
              <w:rPr>
                <w:rFonts w:hint="default" w:ascii="Times New Roman" w:hAnsi="Times New Roman" w:eastAsia="仿宋" w:cs="Times New Roman"/>
                <w:bCs/>
                <w:color w:val="auto"/>
                <w:kern w:val="2"/>
                <w:sz w:val="24"/>
                <w:szCs w:val="24"/>
                <w:lang w:val="en-US" w:eastAsia="zh-CN" w:bidi="ar-SA"/>
              </w:rPr>
              <w:t>应采取防渗措施存放废矿物油，防止污水及废矿物油渗漏污染地下水。</w:t>
            </w:r>
          </w:p>
          <w:p>
            <w:pPr>
              <w:pStyle w:val="21"/>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本项目矿体普查报告内容：矿区气候干燥，年降水量较少，蒸发强烈，地表水系不发育。该矿开采水平高于地下水位，不会对矿体开采造成影响。但由于每年6～8月份偶有暴雨，形成的洪流汇入沟谷排泄，但很快被地表吸收，消失在戈壁滩。</w:t>
            </w:r>
          </w:p>
          <w:p>
            <w:pPr>
              <w:pStyle w:val="21"/>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根据地下水的赋存条件、水理性质，矿床地下水为第四系松散岩类空隙潜水。主要赋存于区内第四系洪积层中，含水层岩性主要为砂砾石、粉砂为主，单位涌水量20-200立方米/天</w:t>
            </w:r>
            <w:r>
              <w:rPr>
                <w:rFonts w:hint="eastAsia" w:eastAsia="仿宋" w:cs="Times New Roman"/>
                <w:bCs/>
                <w:color w:val="auto"/>
                <w:kern w:val="2"/>
                <w:sz w:val="24"/>
                <w:szCs w:val="24"/>
                <w:lang w:val="en-US" w:eastAsia="zh-CN" w:bidi="ar-SA"/>
              </w:rPr>
              <w:t>.</w:t>
            </w:r>
            <w:r>
              <w:rPr>
                <w:rFonts w:hint="default" w:ascii="Times New Roman" w:hAnsi="Times New Roman" w:eastAsia="仿宋" w:cs="Times New Roman"/>
                <w:bCs/>
                <w:color w:val="auto"/>
                <w:kern w:val="2"/>
                <w:sz w:val="24"/>
                <w:szCs w:val="24"/>
                <w:lang w:val="en-US" w:eastAsia="zh-CN" w:bidi="ar-SA"/>
              </w:rPr>
              <w:t>米；矿井涌水</w:t>
            </w:r>
            <w:r>
              <w:rPr>
                <w:rFonts w:hint="eastAsia" w:eastAsia="仿宋" w:cs="Times New Roman"/>
                <w:bCs/>
                <w:color w:val="auto"/>
                <w:kern w:val="2"/>
                <w:sz w:val="24"/>
                <w:szCs w:val="24"/>
                <w:lang w:val="en-US" w:eastAsia="zh-CN" w:bidi="ar-SA"/>
              </w:rPr>
              <w:t>经</w:t>
            </w:r>
            <w:r>
              <w:rPr>
                <w:rFonts w:hint="default" w:ascii="Times New Roman" w:hAnsi="Times New Roman" w:eastAsia="仿宋" w:cs="Times New Roman"/>
                <w:bCs/>
                <w:color w:val="auto"/>
                <w:kern w:val="2"/>
                <w:sz w:val="24"/>
                <w:szCs w:val="24"/>
                <w:lang w:val="en-US" w:eastAsia="zh-CN" w:bidi="ar-SA"/>
              </w:rPr>
              <w:t>沉淀池处理后部分用于矿井生产，剩余部分外排导流沟</w:t>
            </w:r>
            <w:r>
              <w:rPr>
                <w:rFonts w:hint="eastAsia" w:eastAsia="仿宋" w:cs="Times New Roman"/>
                <w:bCs/>
                <w:color w:val="auto"/>
                <w:kern w:val="2"/>
                <w:sz w:val="24"/>
                <w:szCs w:val="24"/>
                <w:lang w:val="en-US" w:eastAsia="zh-CN" w:bidi="ar-SA"/>
              </w:rPr>
              <w:t>。</w:t>
            </w:r>
          </w:p>
          <w:p>
            <w:pPr>
              <w:pStyle w:val="21"/>
              <w:spacing w:line="360" w:lineRule="auto"/>
              <w:ind w:firstLine="480" w:firstLineChars="200"/>
              <w:jc w:val="both"/>
              <w:rPr>
                <w:rFonts w:hint="default" w:ascii="Times New Roman" w:hAnsi="Times New Roman" w:eastAsia="仿宋" w:cs="Times New Roman"/>
                <w:color w:val="auto"/>
                <w:sz w:val="24"/>
                <w:highlight w:val="yellow"/>
                <w:lang w:eastAsia="zh-CN"/>
              </w:rPr>
            </w:pPr>
            <w:r>
              <w:rPr>
                <w:rFonts w:hint="default" w:ascii="Times New Roman" w:hAnsi="Times New Roman" w:eastAsia="仿宋" w:cs="Times New Roman"/>
                <w:bCs/>
                <w:color w:val="auto"/>
                <w:kern w:val="2"/>
                <w:sz w:val="24"/>
                <w:szCs w:val="24"/>
                <w:lang w:val="en-US" w:eastAsia="zh-CN" w:bidi="ar-SA"/>
              </w:rPr>
              <w:t>综上，本项目投产运行不对区域地下水造成不利影响。</w:t>
            </w:r>
          </w:p>
          <w:p>
            <w:pPr>
              <w:keepNext w:val="0"/>
              <w:keepLines w:val="0"/>
              <w:pageBreakBefore w:val="0"/>
              <w:widowControl w:val="0"/>
              <w:kinsoku/>
              <w:wordWrap/>
              <w:overflowPunct/>
              <w:topLinePunct w:val="0"/>
              <w:autoSpaceDE w:val="0"/>
              <w:autoSpaceDN w:val="0"/>
              <w:bidi w:val="0"/>
              <w:adjustRightInd/>
              <w:snapToGrid/>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4、声环境影响分析</w:t>
            </w:r>
          </w:p>
          <w:p>
            <w:pPr>
              <w:pStyle w:val="7"/>
              <w:keepNext w:val="0"/>
              <w:keepLines w:val="0"/>
              <w:pageBreakBefore w:val="0"/>
              <w:widowControl w:val="0"/>
              <w:kinsoku/>
              <w:wordWrap/>
              <w:overflowPunct/>
              <w:topLinePunct w:val="0"/>
              <w:bidi w:val="0"/>
              <w:adjustRightInd/>
              <w:snapToGrid/>
              <w:spacing w:beforeLines="0" w:afterLines="0"/>
              <w:ind w:firstLine="42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（1）噪声源强分析</w:t>
            </w:r>
          </w:p>
          <w:p>
            <w:pPr>
              <w:keepNext w:val="0"/>
              <w:keepLines w:val="0"/>
              <w:pageBreakBefore w:val="0"/>
              <w:widowControl w:val="0"/>
              <w:kinsoku/>
              <w:wordWrap/>
              <w:overflowPunct/>
              <w:topLinePunct w:val="0"/>
              <w:autoSpaceDE w:val="0"/>
              <w:autoSpaceDN w:val="0"/>
              <w:bidi w:val="0"/>
              <w:adjustRightInd/>
              <w:snapToGrid/>
              <w:ind w:firstLine="420"/>
              <w:jc w:val="left"/>
              <w:textAlignment w:val="auto"/>
              <w:rPr>
                <w:rFonts w:hint="default" w:ascii="Times New Roman" w:hAnsi="Times New Roman" w:eastAsia="仿宋" w:cs="Times New Roman"/>
                <w:color w:val="auto"/>
                <w:kern w:val="0"/>
                <w:sz w:val="24"/>
                <w:szCs w:val="24"/>
                <w:lang w:bidi="zh-CN"/>
              </w:rPr>
            </w:pPr>
            <w:r>
              <w:rPr>
                <w:rFonts w:hint="default" w:ascii="Times New Roman" w:hAnsi="Times New Roman" w:eastAsia="仿宋" w:cs="Times New Roman"/>
                <w:color w:val="auto"/>
                <w:sz w:val="24"/>
                <w:szCs w:val="24"/>
              </w:rPr>
              <w:t>根据本项目工程分析，本项目运营期噪声源为开采作业噪声和运输车辆噪声，</w:t>
            </w:r>
            <w:r>
              <w:rPr>
                <w:rFonts w:hint="default" w:ascii="Times New Roman" w:hAnsi="Times New Roman" w:eastAsia="仿宋" w:cs="Times New Roman"/>
                <w:color w:val="auto"/>
                <w:kern w:val="0"/>
                <w:sz w:val="24"/>
                <w:szCs w:val="24"/>
                <w:lang w:bidi="zh-CN"/>
              </w:rPr>
              <w:t>如挖掘机、洒水车、推土机、运输车辆等设备作业产生的噪声，噪声值在82～90dB（A）之间，均为流动不稳定声源，具体见表4-</w:t>
            </w:r>
            <w:r>
              <w:rPr>
                <w:rFonts w:hint="eastAsia" w:eastAsia="仿宋" w:cs="Times New Roman"/>
                <w:color w:val="auto"/>
                <w:kern w:val="0"/>
                <w:sz w:val="24"/>
                <w:szCs w:val="24"/>
                <w:lang w:val="en-US" w:bidi="zh-CN"/>
              </w:rPr>
              <w:t>8</w:t>
            </w:r>
            <w:r>
              <w:rPr>
                <w:rFonts w:hint="default" w:ascii="Times New Roman" w:hAnsi="Times New Roman" w:eastAsia="仿宋" w:cs="Times New Roman"/>
                <w:color w:val="auto"/>
                <w:kern w:val="0"/>
                <w:sz w:val="24"/>
                <w:szCs w:val="24"/>
                <w:lang w:bidi="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rPr>
            </w:pP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rPr>
            </w:pP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表4-</w:t>
            </w:r>
            <w:r>
              <w:rPr>
                <w:rFonts w:hint="eastAsia" w:eastAsia="仿宋" w:cs="Times New Roman"/>
                <w:b/>
                <w:color w:val="auto"/>
                <w:kern w:val="0"/>
                <w:sz w:val="21"/>
                <w:szCs w:val="21"/>
                <w:highlight w:val="none"/>
                <w:lang w:val="en-US" w:eastAsia="zh-CN"/>
              </w:rPr>
              <w:t>8</w:t>
            </w:r>
            <w:r>
              <w:rPr>
                <w:rFonts w:hint="default" w:ascii="Times New Roman" w:hAnsi="Times New Roman" w:eastAsia="仿宋" w:cs="Times New Roman"/>
                <w:b/>
                <w:color w:val="auto"/>
                <w:kern w:val="0"/>
                <w:sz w:val="21"/>
                <w:szCs w:val="21"/>
                <w:highlight w:val="none"/>
              </w:rPr>
              <w:t>营期噪声值统计表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9"/>
              <w:gridCol w:w="1675"/>
              <w:gridCol w:w="872"/>
              <w:gridCol w:w="1386"/>
              <w:gridCol w:w="36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1002"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声源</w:t>
                  </w:r>
                </w:p>
              </w:tc>
              <w:tc>
                <w:tcPr>
                  <w:tcW w:w="522"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数量</w:t>
                  </w:r>
                </w:p>
              </w:tc>
              <w:tc>
                <w:tcPr>
                  <w:tcW w:w="829"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噪声值dB（A）</w:t>
                  </w:r>
                </w:p>
              </w:tc>
              <w:tc>
                <w:tcPr>
                  <w:tcW w:w="2155"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噪声减缓措施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1</w:t>
                  </w:r>
                </w:p>
              </w:tc>
              <w:tc>
                <w:tcPr>
                  <w:tcW w:w="1002"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挖掘机</w:t>
                  </w:r>
                </w:p>
              </w:tc>
              <w:tc>
                <w:tcPr>
                  <w:tcW w:w="52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eastAsia" w:eastAsia="仿宋" w:cs="Times New Roman"/>
                      <w:color w:val="auto"/>
                      <w:kern w:val="0"/>
                      <w:sz w:val="21"/>
                      <w:szCs w:val="21"/>
                      <w:highlight w:val="none"/>
                      <w:lang w:val="en-US" w:bidi="zh-CN"/>
                    </w:rPr>
                    <w:t>3</w:t>
                  </w:r>
                </w:p>
              </w:tc>
              <w:tc>
                <w:tcPr>
                  <w:tcW w:w="829"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5"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2</w:t>
                  </w:r>
                </w:p>
              </w:tc>
              <w:tc>
                <w:tcPr>
                  <w:tcW w:w="1002"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en-US" w:bidi="zh-CN"/>
                    </w:rPr>
                    <w:t>装载机</w:t>
                  </w:r>
                </w:p>
              </w:tc>
              <w:tc>
                <w:tcPr>
                  <w:tcW w:w="52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val="en-US" w:bidi="zh-CN"/>
                    </w:rPr>
                    <w:t>2</w:t>
                  </w:r>
                </w:p>
              </w:tc>
              <w:tc>
                <w:tcPr>
                  <w:tcW w:w="829"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5"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3</w:t>
                  </w:r>
                </w:p>
              </w:tc>
              <w:tc>
                <w:tcPr>
                  <w:tcW w:w="1002"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运输车辆</w:t>
                  </w:r>
                </w:p>
              </w:tc>
              <w:tc>
                <w:tcPr>
                  <w:tcW w:w="52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val="zh-CN" w:bidi="zh-CN"/>
                    </w:rPr>
                  </w:pPr>
                  <w:r>
                    <w:rPr>
                      <w:rFonts w:hint="eastAsia" w:eastAsia="仿宋" w:cs="Times New Roman"/>
                      <w:color w:val="auto"/>
                      <w:kern w:val="0"/>
                      <w:sz w:val="21"/>
                      <w:szCs w:val="21"/>
                      <w:highlight w:val="none"/>
                      <w:lang w:val="en-US" w:bidi="zh-CN"/>
                    </w:rPr>
                    <w:t>8</w:t>
                  </w:r>
                </w:p>
              </w:tc>
              <w:tc>
                <w:tcPr>
                  <w:tcW w:w="829"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90</w:t>
                  </w:r>
                </w:p>
              </w:tc>
              <w:tc>
                <w:tcPr>
                  <w:tcW w:w="2155"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sz w:val="21"/>
                      <w:szCs w:val="21"/>
                      <w:highlight w:val="none"/>
                    </w:rPr>
                    <w:t>4</w:t>
                  </w:r>
                </w:p>
              </w:tc>
              <w:tc>
                <w:tcPr>
                  <w:tcW w:w="1002"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en-US" w:bidi="zh-CN"/>
                    </w:rPr>
                  </w:pPr>
                  <w:r>
                    <w:rPr>
                      <w:rFonts w:hint="eastAsia" w:ascii="Times New Roman" w:eastAsia="仿宋" w:cs="Times New Roman"/>
                      <w:b w:val="0"/>
                      <w:color w:val="auto"/>
                      <w:sz w:val="21"/>
                      <w:szCs w:val="21"/>
                      <w:highlight w:val="none"/>
                      <w:lang w:val="en-US" w:bidi="zh-CN"/>
                    </w:rPr>
                    <w:t>筛分机</w:t>
                  </w:r>
                </w:p>
              </w:tc>
              <w:tc>
                <w:tcPr>
                  <w:tcW w:w="522" w:type="pct"/>
                  <w:vAlign w:val="center"/>
                </w:tcPr>
                <w:p>
                  <w:pPr>
                    <w:autoSpaceDE w:val="0"/>
                    <w:autoSpaceDN w:val="0"/>
                    <w:spacing w:line="240" w:lineRule="auto"/>
                    <w:ind w:firstLine="0" w:firstLineChars="0"/>
                    <w:jc w:val="center"/>
                    <w:rPr>
                      <w:rFonts w:hint="default" w:eastAsia="仿宋" w:cs="Times New Roman"/>
                      <w:color w:val="auto"/>
                      <w:kern w:val="0"/>
                      <w:sz w:val="21"/>
                      <w:szCs w:val="21"/>
                      <w:highlight w:val="none"/>
                      <w:lang w:val="en-US" w:bidi="zh-CN"/>
                    </w:rPr>
                  </w:pPr>
                  <w:r>
                    <w:rPr>
                      <w:rFonts w:hint="eastAsia" w:eastAsia="仿宋" w:cs="Times New Roman"/>
                      <w:color w:val="auto"/>
                      <w:kern w:val="0"/>
                      <w:sz w:val="21"/>
                      <w:szCs w:val="21"/>
                      <w:highlight w:val="none"/>
                      <w:lang w:val="en-US" w:bidi="zh-CN"/>
                    </w:rPr>
                    <w:t>2</w:t>
                  </w:r>
                </w:p>
              </w:tc>
              <w:tc>
                <w:tcPr>
                  <w:tcW w:w="829"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85</w:t>
                  </w:r>
                </w:p>
              </w:tc>
              <w:tc>
                <w:tcPr>
                  <w:tcW w:w="2155" w:type="pct"/>
                  <w:vAlign w:val="center"/>
                </w:tcPr>
                <w:p>
                  <w:pPr>
                    <w:adjustRightInd/>
                    <w:snapToGrid/>
                    <w:spacing w:line="240" w:lineRule="auto"/>
                    <w:ind w:firstLine="420" w:firstLineChars="20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sz w:val="21"/>
                      <w:szCs w:val="21"/>
                      <w:highlight w:val="none"/>
                    </w:rPr>
                    <w:t>5</w:t>
                  </w:r>
                </w:p>
              </w:tc>
              <w:tc>
                <w:tcPr>
                  <w:tcW w:w="1002"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en-US" w:bidi="zh-CN"/>
                    </w:rPr>
                  </w:pPr>
                  <w:r>
                    <w:rPr>
                      <w:rFonts w:hint="eastAsia" w:ascii="Times New Roman" w:eastAsia="仿宋" w:cs="Times New Roman"/>
                      <w:b w:val="0"/>
                      <w:color w:val="auto"/>
                      <w:sz w:val="21"/>
                      <w:szCs w:val="21"/>
                      <w:highlight w:val="none"/>
                      <w:lang w:val="en-US" w:bidi="zh-CN"/>
                    </w:rPr>
                    <w:t>洗砂机</w:t>
                  </w:r>
                </w:p>
              </w:tc>
              <w:tc>
                <w:tcPr>
                  <w:tcW w:w="522" w:type="pct"/>
                  <w:vAlign w:val="center"/>
                </w:tcPr>
                <w:p>
                  <w:pPr>
                    <w:autoSpaceDE w:val="0"/>
                    <w:autoSpaceDN w:val="0"/>
                    <w:spacing w:line="240" w:lineRule="auto"/>
                    <w:ind w:firstLine="0" w:firstLineChars="0"/>
                    <w:jc w:val="center"/>
                    <w:rPr>
                      <w:rFonts w:hint="default" w:eastAsia="仿宋" w:cs="Times New Roman"/>
                      <w:color w:val="auto"/>
                      <w:kern w:val="0"/>
                      <w:sz w:val="21"/>
                      <w:szCs w:val="21"/>
                      <w:highlight w:val="none"/>
                      <w:lang w:val="en-US" w:bidi="zh-CN"/>
                    </w:rPr>
                  </w:pPr>
                  <w:r>
                    <w:rPr>
                      <w:rFonts w:hint="eastAsia" w:eastAsia="仿宋" w:cs="Times New Roman"/>
                      <w:color w:val="auto"/>
                      <w:kern w:val="0"/>
                      <w:sz w:val="21"/>
                      <w:szCs w:val="21"/>
                      <w:highlight w:val="none"/>
                      <w:lang w:val="en-US" w:bidi="zh-CN"/>
                    </w:rPr>
                    <w:t>2</w:t>
                  </w:r>
                </w:p>
              </w:tc>
              <w:tc>
                <w:tcPr>
                  <w:tcW w:w="829"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85</w:t>
                  </w:r>
                </w:p>
              </w:tc>
              <w:tc>
                <w:tcPr>
                  <w:tcW w:w="2155" w:type="pct"/>
                  <w:vAlign w:val="center"/>
                </w:tcPr>
                <w:p>
                  <w:pPr>
                    <w:adjustRightInd/>
                    <w:snapToGrid/>
                    <w:spacing w:line="240" w:lineRule="auto"/>
                    <w:ind w:firstLine="420" w:firstLineChars="20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en-US" w:eastAsia="zh-CN"/>
                    </w:rPr>
                  </w:pPr>
                  <w:r>
                    <w:rPr>
                      <w:rFonts w:hint="eastAsia" w:ascii="Times New Roman" w:eastAsia="仿宋" w:cs="Times New Roman"/>
                      <w:b w:val="0"/>
                      <w:color w:val="auto"/>
                      <w:sz w:val="21"/>
                      <w:szCs w:val="21"/>
                      <w:highlight w:val="none"/>
                      <w:lang w:val="en-US" w:eastAsia="zh-CN"/>
                    </w:rPr>
                    <w:t>6</w:t>
                  </w:r>
                </w:p>
              </w:tc>
              <w:tc>
                <w:tcPr>
                  <w:tcW w:w="1002"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洒水车</w:t>
                  </w:r>
                </w:p>
              </w:tc>
              <w:tc>
                <w:tcPr>
                  <w:tcW w:w="52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1</w:t>
                  </w:r>
                </w:p>
              </w:tc>
              <w:tc>
                <w:tcPr>
                  <w:tcW w:w="829"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90</w:t>
                  </w:r>
                </w:p>
              </w:tc>
              <w:tc>
                <w:tcPr>
                  <w:tcW w:w="2155"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限制车速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2"/>
                    <w:spacing w:beforeLines="0" w:afterLines="0" w:line="240" w:lineRule="auto"/>
                    <w:ind w:firstLine="0" w:firstLineChars="0"/>
                    <w:jc w:val="both"/>
                    <w:rPr>
                      <w:rFonts w:hint="default" w:ascii="Times New Roman" w:hAnsi="Times New Roman" w:eastAsia="仿宋" w:cs="Times New Roman"/>
                      <w:b w:val="0"/>
                      <w:color w:val="auto"/>
                      <w:sz w:val="21"/>
                      <w:szCs w:val="21"/>
                      <w:highlight w:val="none"/>
                    </w:rPr>
                  </w:pPr>
                  <w:r>
                    <w:rPr>
                      <w:rFonts w:hint="eastAsia" w:ascii="Times New Roman" w:eastAsia="仿宋" w:cs="Times New Roman"/>
                      <w:b w:val="0"/>
                      <w:color w:val="auto"/>
                      <w:sz w:val="21"/>
                      <w:szCs w:val="21"/>
                      <w:highlight w:val="none"/>
                      <w:lang w:val="en-US" w:eastAsia="zh-CN"/>
                    </w:rPr>
                    <w:t>7</w:t>
                  </w:r>
                </w:p>
              </w:tc>
              <w:tc>
                <w:tcPr>
                  <w:tcW w:w="1002" w:type="pct"/>
                  <w:vAlign w:val="center"/>
                </w:tcPr>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雾炮机</w:t>
                  </w:r>
                </w:p>
                <w:p>
                  <w:pPr>
                    <w:pStyle w:val="42"/>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（可移动）</w:t>
                  </w:r>
                </w:p>
              </w:tc>
              <w:tc>
                <w:tcPr>
                  <w:tcW w:w="52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2</w:t>
                  </w:r>
                </w:p>
              </w:tc>
              <w:tc>
                <w:tcPr>
                  <w:tcW w:w="829"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5" w:type="pct"/>
                  <w:vAlign w:val="center"/>
                </w:tcPr>
                <w:p>
                  <w:pPr>
                    <w:pStyle w:val="69"/>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减震</w:t>
                  </w:r>
                </w:p>
              </w:tc>
            </w:tr>
          </w:tbl>
          <w:p>
            <w:pPr>
              <w:pStyle w:val="7"/>
              <w:keepNext w:val="0"/>
              <w:keepLines w:val="0"/>
              <w:pageBreakBefore w:val="0"/>
              <w:widowControl w:val="0"/>
              <w:kinsoku/>
              <w:wordWrap/>
              <w:overflowPunct/>
              <w:topLinePunct w:val="0"/>
              <w:autoSpaceDE/>
              <w:autoSpaceDN/>
              <w:bidi w:val="0"/>
              <w:adjustRightInd/>
              <w:snapToGrid/>
              <w:spacing w:before="157" w:beforeLines="50" w:afterLines="0"/>
              <w:ind w:firstLine="420"/>
              <w:textAlignment w:val="auto"/>
              <w:rPr>
                <w:rFonts w:hint="default" w:ascii="Times New Roman" w:hAnsi="Times New Roman" w:eastAsia="仿宋" w:cs="Times New Roman"/>
                <w:b w:val="0"/>
                <w:bCs w:val="0"/>
                <w:snapToGrid w:val="0"/>
                <w:color w:val="auto"/>
                <w:sz w:val="24"/>
                <w:szCs w:val="24"/>
                <w:highlight w:val="none"/>
              </w:rPr>
            </w:pPr>
            <w:r>
              <w:rPr>
                <w:rFonts w:hint="default" w:ascii="Times New Roman" w:hAnsi="Times New Roman" w:eastAsia="仿宋" w:cs="Times New Roman"/>
                <w:b w:val="0"/>
                <w:bCs w:val="0"/>
                <w:snapToGrid w:val="0"/>
                <w:color w:val="auto"/>
                <w:sz w:val="24"/>
                <w:szCs w:val="24"/>
                <w:highlight w:val="none"/>
              </w:rPr>
              <w:t>（2）噪声污染预测</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影响噪声从声源到关心点的传播途径特性的主要因素有：距离衰减、建筑围护结构和遮挡物引起的衰减，各种介质的吸收与反射等。根据采取的治理措施和围护结构的降噪效果，采用《环境影响评价技术导则声环境》（HJ2.4-2021）推荐的工业噪声预测模式，预测本工程对周围声环境的影响。</w:t>
            </w:r>
          </w:p>
          <w:p>
            <w:pPr>
              <w:ind w:firstLine="42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采用《环境影响评价技术导则声环境》（HJ2.4-2021）预测模式</w:t>
            </w:r>
            <w:r>
              <w:rPr>
                <w:rFonts w:hint="default" w:ascii="Times New Roman" w:hAnsi="Times New Roman" w:eastAsia="仿宋" w:cs="Times New Roman"/>
                <w:color w:val="auto"/>
                <w:sz w:val="24"/>
                <w:szCs w:val="24"/>
                <w:highlight w:val="none"/>
                <w:lang w:eastAsia="zh-CN"/>
              </w:rPr>
              <w:t>：</w:t>
            </w:r>
          </w:p>
          <w:p>
            <w:pPr>
              <w:ind w:firstLine="42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A（r0）</w:t>
            </w:r>
            <w:r>
              <w:rPr>
                <w:rFonts w:hint="default" w:ascii="Times New Roman" w:hAnsi="Times New Roman" w:eastAsia="仿宋" w:cs="Times New Roman"/>
                <w:color w:val="auto"/>
                <w:sz w:val="24"/>
                <w:szCs w:val="24"/>
                <w:highlight w:val="none"/>
                <w:vertAlign w:val="baseline"/>
                <w:lang w:val="en-US" w:eastAsia="zh-CN"/>
              </w:rPr>
              <w:t>+Dc</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atm</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gr</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bar</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misc</w:t>
            </w:r>
          </w:p>
          <w:p>
            <w:pPr>
              <w:ind w:firstLine="42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式中：</w:t>
            </w: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w:t>
            </w:r>
            <w:r>
              <w:rPr>
                <w:rFonts w:hint="default" w:ascii="Times New Roman" w:hAnsi="Times New Roman" w:eastAsia="仿宋" w:cs="Times New Roman"/>
                <w:color w:val="auto"/>
                <w:kern w:val="0"/>
                <w:sz w:val="24"/>
                <w:szCs w:val="24"/>
                <w:highlight w:val="none"/>
              </w:rPr>
              <w:t>为距声源r处的A声级；</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A（r0）</w:t>
            </w:r>
            <w:r>
              <w:rPr>
                <w:rFonts w:hint="default" w:ascii="Times New Roman" w:hAnsi="Times New Roman" w:eastAsia="仿宋" w:cs="Times New Roman"/>
                <w:color w:val="auto"/>
                <w:kern w:val="0"/>
                <w:sz w:val="24"/>
                <w:szCs w:val="24"/>
                <w:highlight w:val="none"/>
              </w:rPr>
              <w:t>为参考位置r0的A声级；</w:t>
            </w:r>
          </w:p>
          <w:p>
            <w:pPr>
              <w:ind w:firstLine="42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vertAlign w:val="baseline"/>
                <w:lang w:val="en-US" w:eastAsia="zh-CN"/>
              </w:rPr>
              <w:t>Dc</w:t>
            </w:r>
            <w:r>
              <w:rPr>
                <w:rFonts w:hint="default" w:ascii="Times New Roman" w:hAnsi="Times New Roman" w:eastAsia="仿宋" w:cs="Times New Roman"/>
                <w:color w:val="auto"/>
                <w:kern w:val="0"/>
                <w:sz w:val="24"/>
                <w:szCs w:val="24"/>
                <w:highlight w:val="none"/>
              </w:rPr>
              <w:t>为指向性校正，它描述点声源的等效连续声压级与产生声功率级Lw的全向点声源在规定方向的声级的偏差程度，dB，取0；</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rPr>
              <w:t>为声波几何发散引起的A声级衰减量；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atm</w:t>
            </w:r>
            <w:r>
              <w:rPr>
                <w:rFonts w:hint="default" w:ascii="Times New Roman" w:hAnsi="Times New Roman" w:eastAsia="仿宋" w:cs="Times New Roman"/>
                <w:color w:val="auto"/>
                <w:kern w:val="0"/>
                <w:sz w:val="24"/>
                <w:szCs w:val="24"/>
                <w:highlight w:val="none"/>
              </w:rPr>
              <w:t>为大气吸收引起的A声级衰减量；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gr</w:t>
            </w:r>
            <w:r>
              <w:rPr>
                <w:rFonts w:hint="default" w:ascii="Times New Roman" w:hAnsi="Times New Roman" w:eastAsia="仿宋" w:cs="Times New Roman"/>
                <w:color w:val="auto"/>
                <w:kern w:val="0"/>
                <w:sz w:val="24"/>
                <w:szCs w:val="24"/>
                <w:highlight w:val="none"/>
              </w:rPr>
              <w:t>为地面效应引起的A声级衰减量；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bar</w:t>
            </w:r>
            <w:r>
              <w:rPr>
                <w:rFonts w:hint="default" w:ascii="Times New Roman" w:hAnsi="Times New Roman" w:eastAsia="仿宋" w:cs="Times New Roman"/>
                <w:color w:val="auto"/>
                <w:kern w:val="0"/>
                <w:sz w:val="24"/>
                <w:szCs w:val="24"/>
                <w:highlight w:val="none"/>
              </w:rPr>
              <w:t>为声屏障引起的A声级衰减量；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misc</w:t>
            </w:r>
            <w:r>
              <w:rPr>
                <w:rFonts w:hint="default" w:ascii="Times New Roman" w:hAnsi="Times New Roman" w:eastAsia="仿宋" w:cs="Times New Roman"/>
                <w:color w:val="auto"/>
                <w:kern w:val="0"/>
                <w:sz w:val="24"/>
                <w:szCs w:val="24"/>
                <w:highlight w:val="none"/>
              </w:rPr>
              <w:t>为其他多方面效应引起的A声级衰减量。</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由于工业场地平整后地势较平坦，为保守起见，并根据工程特点，本次预测仅考虑噪声随距离的衰减，未考虑地面效应、大气吸收和其他多方面效应引起的A声级衰减量，仅考虑Adiv的衰减量，来预测本工程主要噪声源对周围声环境的影响几何发散引起的A声级衰减量的计算公式如下：</w:t>
            </w:r>
          </w:p>
          <w:p>
            <w:pPr>
              <w:ind w:firstLine="42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vertAlign w:val="baseline"/>
                <w:lang w:val="en-US" w:eastAsia="zh-CN"/>
              </w:rPr>
              <w:t>=</w:t>
            </w:r>
            <w:r>
              <w:rPr>
                <w:rFonts w:hint="default" w:ascii="Times New Roman" w:hAnsi="Times New Roman" w:eastAsia="仿宋" w:cs="Times New Roman"/>
                <w:color w:val="auto"/>
                <w:kern w:val="0"/>
                <w:sz w:val="24"/>
                <w:szCs w:val="24"/>
                <w:highlight w:val="none"/>
              </w:rPr>
              <w:t>20lg（</w:t>
            </w:r>
            <w:r>
              <w:rPr>
                <w:rFonts w:hint="default" w:ascii="Times New Roman" w:hAnsi="Times New Roman" w:eastAsia="仿宋" w:cs="Times New Roman"/>
                <w:i/>
                <w:color w:val="auto"/>
                <w:kern w:val="0"/>
                <w:sz w:val="24"/>
                <w:szCs w:val="24"/>
                <w:highlight w:val="none"/>
              </w:rPr>
              <w:t>r</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i/>
                <w:color w:val="auto"/>
                <w:kern w:val="0"/>
                <w:sz w:val="24"/>
                <w:szCs w:val="24"/>
                <w:highlight w:val="none"/>
              </w:rPr>
              <w:t>r</w:t>
            </w:r>
            <w:r>
              <w:rPr>
                <w:rFonts w:hint="default" w:ascii="Times New Roman" w:hAnsi="Times New Roman" w:eastAsia="仿宋" w:cs="Times New Roman"/>
                <w:color w:val="auto"/>
                <w:kern w:val="0"/>
                <w:sz w:val="24"/>
                <w:szCs w:val="24"/>
                <w:highlight w:val="none"/>
                <w:vertAlign w:val="subscript"/>
              </w:rPr>
              <w:t>0</w:t>
            </w:r>
            <w:r>
              <w:rPr>
                <w:rFonts w:hint="default" w:ascii="Times New Roman" w:hAnsi="Times New Roman" w:eastAsia="仿宋" w:cs="Times New Roman"/>
                <w:color w:val="auto"/>
                <w:kern w:val="0"/>
                <w:sz w:val="24"/>
                <w:szCs w:val="24"/>
                <w:highlight w:val="none"/>
              </w:rPr>
              <w:t>）</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对多个声源同时存在时，其总A声级用下式计算：</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highlight w:val="none"/>
              </w:rPr>
              <w:drawing>
                <wp:inline distT="0" distB="0" distL="114300" distR="114300">
                  <wp:extent cx="1252855" cy="367665"/>
                  <wp:effectExtent l="0" t="0" r="4445" b="1333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3"/>
                          <a:stretch>
                            <a:fillRect/>
                          </a:stretch>
                        </pic:blipFill>
                        <pic:spPr>
                          <a:xfrm>
                            <a:off x="0" y="0"/>
                            <a:ext cx="1252855" cy="367665"/>
                          </a:xfrm>
                          <a:prstGeom prst="rect">
                            <a:avLst/>
                          </a:prstGeom>
                          <a:noFill/>
                          <a:ln>
                            <a:noFill/>
                          </a:ln>
                        </pic:spPr>
                      </pic:pic>
                    </a:graphicData>
                  </a:graphic>
                </wp:inline>
              </w:drawing>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式中：Leqg为本工程声源在预测点的等效声级贡献值，dB（A）；</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L</w:t>
            </w:r>
            <w:r>
              <w:rPr>
                <w:rFonts w:hint="default" w:ascii="Times New Roman" w:hAnsi="Times New Roman" w:eastAsia="仿宋" w:cs="Times New Roman"/>
                <w:color w:val="auto"/>
                <w:sz w:val="24"/>
                <w:szCs w:val="24"/>
                <w:highlight w:val="none"/>
                <w:vertAlign w:val="subscript"/>
              </w:rPr>
              <w:t>Ai</w:t>
            </w:r>
            <w:r>
              <w:rPr>
                <w:rFonts w:hint="default" w:ascii="Times New Roman" w:hAnsi="Times New Roman" w:eastAsia="仿宋" w:cs="Times New Roman"/>
                <w:color w:val="auto"/>
                <w:sz w:val="24"/>
                <w:szCs w:val="24"/>
                <w:highlight w:val="none"/>
              </w:rPr>
              <w:t>为i声源在预测点产生的A声级，dB（A）；</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T预测计算的时间段，s；</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w:t>
            </w:r>
            <w:r>
              <w:rPr>
                <w:rFonts w:hint="default" w:ascii="Times New Roman" w:hAnsi="Times New Roman" w:eastAsia="仿宋" w:cs="Times New Roman"/>
                <w:color w:val="auto"/>
                <w:sz w:val="24"/>
                <w:szCs w:val="24"/>
                <w:highlight w:val="none"/>
                <w:vertAlign w:val="subscript"/>
              </w:rPr>
              <w:t>i</w:t>
            </w:r>
            <w:r>
              <w:rPr>
                <w:rFonts w:hint="default" w:ascii="Times New Roman" w:hAnsi="Times New Roman" w:eastAsia="仿宋" w:cs="Times New Roman"/>
                <w:color w:val="auto"/>
                <w:sz w:val="24"/>
                <w:szCs w:val="24"/>
                <w:highlight w:val="none"/>
              </w:rPr>
              <w:t>为i声源在T时段内的运行时间，s。</w:t>
            </w:r>
          </w:p>
          <w:p>
            <w:pPr>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预测结果与评价</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根据本工程厂内主要噪声源的位置和噪声级，采用上述预测方法与预测模式选择对东、北、西、南厂界进行预测。具体预测结果见表</w:t>
            </w:r>
            <w:r>
              <w:rPr>
                <w:rFonts w:hint="default" w:ascii="Times New Roman" w:hAnsi="Times New Roman" w:eastAsia="仿宋" w:cs="Times New Roman"/>
                <w:color w:val="auto"/>
                <w:sz w:val="24"/>
                <w:szCs w:val="24"/>
                <w:highlight w:val="none"/>
                <w:lang w:val="en-US" w:eastAsia="zh-CN"/>
              </w:rPr>
              <w:t>4-</w:t>
            </w:r>
            <w:r>
              <w:rPr>
                <w:rFonts w:hint="eastAsia"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lang w:val="en-US" w:eastAsia="zh-CN"/>
              </w:rPr>
            </w:pPr>
            <w:r>
              <w:rPr>
                <w:rFonts w:hint="default" w:ascii="Times New Roman" w:hAnsi="Times New Roman" w:eastAsia="仿宋" w:cs="Times New Roman"/>
                <w:b/>
                <w:color w:val="auto"/>
                <w:kern w:val="0"/>
                <w:sz w:val="21"/>
                <w:szCs w:val="21"/>
                <w:highlight w:val="none"/>
                <w:lang w:val="en-US" w:eastAsia="zh-CN"/>
              </w:rPr>
              <w:t>表4-</w:t>
            </w:r>
            <w:r>
              <w:rPr>
                <w:rFonts w:hint="eastAsia" w:eastAsia="仿宋" w:cs="Times New Roman"/>
                <w:b/>
                <w:color w:val="auto"/>
                <w:kern w:val="0"/>
                <w:sz w:val="21"/>
                <w:szCs w:val="21"/>
                <w:highlight w:val="none"/>
                <w:lang w:val="en-US" w:eastAsia="zh-CN"/>
              </w:rPr>
              <w:t>9</w:t>
            </w:r>
            <w:r>
              <w:rPr>
                <w:rFonts w:hint="default" w:ascii="Times New Roman" w:hAnsi="Times New Roman" w:eastAsia="仿宋" w:cs="Times New Roman"/>
                <w:b/>
                <w:color w:val="auto"/>
                <w:kern w:val="0"/>
                <w:sz w:val="21"/>
                <w:szCs w:val="21"/>
                <w:highlight w:val="none"/>
                <w:lang w:val="en-US" w:eastAsia="zh-CN"/>
              </w:rPr>
              <w:t>厂界噪声贡献值预测结果</w:t>
            </w:r>
          </w:p>
          <w:tbl>
            <w:tblPr>
              <w:tblStyle w:val="26"/>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71"/>
              <w:gridCol w:w="1671"/>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预测点</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时段</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贡献值dB（A）</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标准值dB（A）</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东厂界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39.3</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37.3</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南厂界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37.8</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36.8</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西厂界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39.2</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38.5</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北厂界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39.3</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38.3</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由</w:t>
            </w:r>
            <w:r>
              <w:rPr>
                <w:rFonts w:hint="eastAsia" w:ascii="Times New Roman" w:hAnsi="Times New Roman" w:eastAsia="仿宋" w:cs="Times New Roman"/>
                <w:color w:val="auto"/>
                <w:sz w:val="24"/>
                <w:szCs w:val="24"/>
                <w:highlight w:val="none"/>
                <w:lang w:val="en-US" w:eastAsia="zh-CN"/>
              </w:rPr>
              <w:t>上表</w:t>
            </w:r>
            <w:r>
              <w:rPr>
                <w:rFonts w:hint="default" w:ascii="Times New Roman" w:hAnsi="Times New Roman" w:eastAsia="仿宋" w:cs="Times New Roman"/>
                <w:color w:val="auto"/>
                <w:sz w:val="24"/>
                <w:szCs w:val="24"/>
                <w:highlight w:val="none"/>
              </w:rPr>
              <w:t>可知，项目场界噪声可满足《工业企业厂界环境噪声排放标准》（GB12348-2008）2类标准。</w:t>
            </w:r>
          </w:p>
          <w:p>
            <w:pPr>
              <w:overflowPunct w:val="0"/>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5、固体废物环境影响分析</w:t>
            </w:r>
          </w:p>
          <w:p>
            <w:pPr>
              <w:ind w:firstLine="42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本项目运营期间产生固体废物主要是筛选产生的废砂石</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生活垃圾及</w:t>
            </w:r>
            <w:r>
              <w:rPr>
                <w:rFonts w:hint="default" w:ascii="Times New Roman" w:hAnsi="Times New Roman" w:eastAsia="仿宋" w:cs="Times New Roman"/>
                <w:color w:val="auto"/>
                <w:sz w:val="24"/>
                <w:szCs w:val="24"/>
                <w:lang w:eastAsia="zh-CN"/>
              </w:rPr>
              <w:t>矿山设备运行维护过程会产生废机油，</w:t>
            </w:r>
            <w:r>
              <w:rPr>
                <w:rFonts w:hint="default" w:ascii="Times New Roman" w:hAnsi="Times New Roman" w:eastAsia="仿宋" w:cs="Times New Roman"/>
                <w:color w:val="auto"/>
                <w:sz w:val="24"/>
                <w:szCs w:val="24"/>
                <w:lang w:val="en-US" w:eastAsia="zh-CN"/>
              </w:rPr>
              <w:t>具体分析如下：</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5"/>
              </w:rPr>
              <w:t>（</w:t>
            </w:r>
            <w:r>
              <w:rPr>
                <w:rFonts w:hint="default" w:ascii="Times New Roman" w:hAnsi="Times New Roman" w:eastAsia="仿宋" w:cs="Times New Roman"/>
                <w:color w:val="auto"/>
                <w:spacing w:val="-5"/>
                <w:lang w:val="en-US" w:eastAsia="zh-CN"/>
              </w:rPr>
              <w:t>1</w:t>
            </w:r>
            <w:r>
              <w:rPr>
                <w:rFonts w:hint="default" w:ascii="Times New Roman" w:hAnsi="Times New Roman" w:eastAsia="仿宋" w:cs="Times New Roman"/>
                <w:color w:val="auto"/>
                <w:spacing w:val="-5"/>
              </w:rPr>
              <w:t>）废砂石</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3"/>
              </w:rPr>
              <w:t>本项目矿体直接出露，上无覆盖层</w:t>
            </w:r>
            <w:r>
              <w:rPr>
                <w:rFonts w:hint="eastAsia" w:ascii="Times New Roman" w:hAnsi="Times New Roman" w:eastAsia="仿宋" w:cs="Times New Roman"/>
                <w:color w:val="auto"/>
                <w:spacing w:val="3"/>
                <w:lang w:eastAsia="zh-CN"/>
              </w:rPr>
              <w:t>，</w:t>
            </w:r>
            <w:r>
              <w:rPr>
                <w:rFonts w:hint="eastAsia" w:ascii="Times New Roman" w:hAnsi="Times New Roman" w:eastAsia="仿宋" w:cs="Times New Roman"/>
                <w:color w:val="auto"/>
                <w:spacing w:val="3"/>
                <w:lang w:val="en-US" w:eastAsia="zh-CN"/>
              </w:rPr>
              <w:t>无需进行表土剥离。</w:t>
            </w:r>
            <w:r>
              <w:rPr>
                <w:rFonts w:hint="default" w:ascii="Times New Roman" w:hAnsi="Times New Roman" w:eastAsia="仿宋" w:cs="Times New Roman"/>
                <w:color w:val="auto"/>
                <w:spacing w:val="3"/>
              </w:rPr>
              <w:t>废料主要产生于筛分过程</w:t>
            </w:r>
            <w:r>
              <w:rPr>
                <w:rFonts w:hint="default" w:ascii="Times New Roman" w:hAnsi="Times New Roman" w:eastAsia="仿宋" w:cs="Times New Roman"/>
                <w:color w:val="auto"/>
                <w:spacing w:val="3"/>
                <w:lang w:val="en-US" w:eastAsia="zh-CN"/>
              </w:rPr>
              <w:t>产生废料</w:t>
            </w:r>
            <w:r>
              <w:rPr>
                <w:rFonts w:hint="default" w:ascii="Times New Roman" w:hAnsi="Times New Roman" w:eastAsia="仿宋" w:cs="Times New Roman"/>
                <w:color w:val="auto"/>
                <w:spacing w:val="3"/>
              </w:rPr>
              <w:t>，废料成分主要为不符合成品粒度要求的石块、泥土等，是砂石筛分生产过程不合格固体、沉淀池泥沙，均为一般固体废物</w:t>
            </w: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lang w:val="en-US" w:eastAsia="zh-CN"/>
              </w:rPr>
              <w:t>根据项目开发利用与生态保护修复方案可知，矿石可利用率为81.74%</w:t>
            </w:r>
            <w:r>
              <w:rPr>
                <w:rFonts w:hint="default" w:ascii="Times New Roman" w:hAnsi="Times New Roman" w:eastAsia="仿宋" w:cs="Times New Roman"/>
                <w:color w:val="auto"/>
                <w:spacing w:val="3"/>
              </w:rPr>
              <w:t>，</w:t>
            </w:r>
            <w:r>
              <w:rPr>
                <w:rFonts w:hint="default" w:ascii="Times New Roman" w:hAnsi="Times New Roman" w:eastAsia="仿宋" w:cs="Times New Roman"/>
                <w:color w:val="auto"/>
                <w:spacing w:val="3"/>
                <w:lang w:val="en-US" w:eastAsia="zh-CN"/>
              </w:rPr>
              <w:t>则</w:t>
            </w:r>
            <w:r>
              <w:rPr>
                <w:rFonts w:hint="default" w:ascii="Times New Roman" w:hAnsi="Times New Roman" w:eastAsia="仿宋" w:cs="Times New Roman"/>
                <w:color w:val="auto"/>
                <w:spacing w:val="-5"/>
              </w:rPr>
              <w:t>废料</w:t>
            </w:r>
            <w:r>
              <w:rPr>
                <w:rFonts w:hint="default" w:ascii="Times New Roman" w:hAnsi="Times New Roman" w:eastAsia="仿宋" w:cs="Times New Roman"/>
                <w:color w:val="auto"/>
                <w:spacing w:val="-5"/>
                <w:lang w:val="en-US" w:eastAsia="zh-CN"/>
              </w:rPr>
              <w:t>约</w:t>
            </w:r>
            <w:r>
              <w:rPr>
                <w:rFonts w:hint="eastAsia" w:ascii="Times New Roman" w:hAnsi="Times New Roman" w:eastAsia="仿宋" w:cs="Times New Roman"/>
                <w:color w:val="auto"/>
                <w:spacing w:val="-5"/>
                <w:lang w:val="en-US" w:eastAsia="zh-CN"/>
              </w:rPr>
              <w:t>11.87</w:t>
            </w:r>
            <w:r>
              <w:rPr>
                <w:rFonts w:hint="default" w:ascii="Times New Roman" w:hAnsi="Times New Roman" w:eastAsia="仿宋" w:cs="Times New Roman"/>
                <w:color w:val="auto"/>
                <w:spacing w:val="-5"/>
                <w:lang w:val="en-US" w:eastAsia="zh-CN"/>
              </w:rPr>
              <w:t>万m</w:t>
            </w:r>
            <w:r>
              <w:rPr>
                <w:rFonts w:hint="default" w:ascii="Times New Roman" w:hAnsi="Times New Roman" w:eastAsia="仿宋" w:cs="Times New Roman"/>
                <w:color w:val="auto"/>
                <w:spacing w:val="-5"/>
                <w:vertAlign w:val="superscript"/>
                <w:lang w:val="en-US" w:eastAsia="zh-CN"/>
              </w:rPr>
              <w:t>3</w:t>
            </w:r>
            <w:r>
              <w:rPr>
                <w:rFonts w:hint="default" w:ascii="Times New Roman" w:hAnsi="Times New Roman" w:eastAsia="仿宋" w:cs="Times New Roman"/>
                <w:color w:val="auto"/>
                <w:spacing w:val="-5"/>
                <w:lang w:val="en-US" w:eastAsia="zh-CN"/>
              </w:rPr>
              <w:t>/a，</w:t>
            </w:r>
            <w:r>
              <w:rPr>
                <w:rFonts w:hint="default" w:ascii="Times New Roman" w:hAnsi="Times New Roman" w:eastAsia="仿宋" w:cs="Times New Roman"/>
                <w:color w:val="auto"/>
                <w:spacing w:val="3"/>
              </w:rPr>
              <w:t>堆</w:t>
            </w:r>
            <w:r>
              <w:rPr>
                <w:rFonts w:hint="default" w:ascii="Times New Roman" w:hAnsi="Times New Roman" w:eastAsia="仿宋" w:cs="Times New Roman"/>
                <w:color w:val="auto"/>
                <w:spacing w:val="-1"/>
              </w:rPr>
              <w:t>放于废石堆场和废土堆场，后期用于回填。</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仿宋" w:cs="Times New Roman"/>
                <w:color w:val="auto"/>
                <w:spacing w:val="-1"/>
              </w:rPr>
            </w:pPr>
            <w:r>
              <w:rPr>
                <w:rFonts w:hint="eastAsia" w:ascii="Times New Roman" w:hAnsi="Times New Roman" w:eastAsia="仿宋" w:cs="Times New Roman"/>
                <w:color w:val="auto"/>
                <w:spacing w:val="-1"/>
                <w:lang w:val="en-US" w:eastAsia="zh-CN"/>
              </w:rPr>
              <w:t>根据开发利用方案可知，全矿规划设计一个废石堆放场，原始地形坡度3°，占地面积20000m</w:t>
            </w:r>
            <w:r>
              <w:rPr>
                <w:rFonts w:hint="eastAsia" w:ascii="Times New Roman" w:hAnsi="Times New Roman" w:eastAsia="仿宋" w:cs="Times New Roman"/>
                <w:color w:val="auto"/>
                <w:spacing w:val="-1"/>
                <w:vertAlign w:val="superscript"/>
                <w:lang w:val="en-US" w:eastAsia="zh-CN"/>
              </w:rPr>
              <w:t>2</w:t>
            </w:r>
            <w:r>
              <w:rPr>
                <w:rFonts w:hint="eastAsia" w:ascii="Times New Roman" w:hAnsi="Times New Roman" w:eastAsia="仿宋" w:cs="Times New Roman"/>
                <w:color w:val="auto"/>
                <w:spacing w:val="-1"/>
                <w:lang w:val="en-US" w:eastAsia="zh-CN"/>
              </w:rPr>
              <w:t>。场内废石、泥渣采用分区、分层压实堆放，设计最大堆置高度10米，每层堆高5米，废石堆安息角小于35°，容积15万m³，堆放废石及泥渣体积13.23万m</w:t>
            </w:r>
            <w:r>
              <w:rPr>
                <w:rFonts w:hint="eastAsia" w:ascii="Times New Roman" w:hAnsi="Times New Roman" w:eastAsia="仿宋" w:cs="Times New Roman"/>
                <w:color w:val="auto"/>
                <w:spacing w:val="-1"/>
                <w:vertAlign w:val="superscript"/>
                <w:lang w:val="en-US" w:eastAsia="zh-CN"/>
              </w:rPr>
              <w:t>3</w:t>
            </w:r>
            <w:r>
              <w:rPr>
                <w:rFonts w:hint="eastAsia" w:ascii="Times New Roman" w:hAnsi="Times New Roman" w:eastAsia="仿宋" w:cs="Times New Roman"/>
                <w:color w:val="auto"/>
                <w:spacing w:val="-1"/>
                <w:lang w:val="en-US" w:eastAsia="zh-CN"/>
              </w:rPr>
              <w:t>，可满足矿山1年废石、泥渣量堆放需求</w:t>
            </w:r>
            <w:r>
              <w:rPr>
                <w:rFonts w:hint="default" w:ascii="Times New Roman" w:hAnsi="Times New Roman" w:eastAsia="仿宋" w:cs="Times New Roman"/>
                <w:color w:val="auto"/>
                <w:spacing w:val="-1"/>
                <w:lang w:val="en-US" w:eastAsia="zh-CN"/>
              </w:rPr>
              <w:t>。</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spacing w:val="-3"/>
                <w:highlight w:val="none"/>
                <w:lang w:eastAsia="zh-CN"/>
              </w:rPr>
              <w:t>（</w:t>
            </w:r>
            <w:r>
              <w:rPr>
                <w:rFonts w:hint="default" w:ascii="Times New Roman" w:hAnsi="Times New Roman" w:eastAsia="仿宋" w:cs="Times New Roman"/>
                <w:color w:val="auto"/>
                <w:spacing w:val="-3"/>
                <w:highlight w:val="none"/>
                <w:lang w:val="en-US" w:eastAsia="zh-CN"/>
              </w:rPr>
              <w:t>2</w:t>
            </w:r>
            <w:r>
              <w:rPr>
                <w:rFonts w:hint="default" w:ascii="Times New Roman" w:hAnsi="Times New Roman" w:eastAsia="仿宋" w:cs="Times New Roman"/>
                <w:color w:val="auto"/>
                <w:spacing w:val="-3"/>
                <w:highlight w:val="none"/>
                <w:lang w:eastAsia="zh-CN"/>
              </w:rPr>
              <w:t>）</w:t>
            </w:r>
            <w:r>
              <w:rPr>
                <w:rFonts w:hint="default" w:ascii="Times New Roman" w:hAnsi="Times New Roman" w:eastAsia="仿宋" w:cs="Times New Roman"/>
                <w:color w:val="auto"/>
                <w:spacing w:val="-3"/>
                <w:highlight w:val="none"/>
              </w:rPr>
              <w:t>生活垃圾</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3"/>
                <w:highlight w:val="none"/>
              </w:rPr>
              <w:t>项目职工</w:t>
            </w:r>
            <w:r>
              <w:rPr>
                <w:rFonts w:hint="eastAsia" w:ascii="Times New Roman" w:hAnsi="Times New Roman" w:eastAsia="仿宋" w:cs="Times New Roman"/>
                <w:color w:val="auto"/>
                <w:spacing w:val="-3"/>
                <w:highlight w:val="none"/>
                <w:lang w:val="en-US" w:eastAsia="zh-CN"/>
              </w:rPr>
              <w:t>31人</w:t>
            </w:r>
            <w:r>
              <w:rPr>
                <w:rFonts w:hint="default" w:ascii="Times New Roman" w:hAnsi="Times New Roman" w:eastAsia="仿宋" w:cs="Times New Roman"/>
                <w:color w:val="auto"/>
                <w:spacing w:val="-3"/>
                <w:highlight w:val="none"/>
              </w:rPr>
              <w:t>，按每人每天产生0.5kg生活垃圾计算，生活</w:t>
            </w:r>
            <w:r>
              <w:rPr>
                <w:rFonts w:hint="default" w:ascii="Times New Roman" w:hAnsi="Times New Roman" w:eastAsia="仿宋" w:cs="Times New Roman"/>
                <w:color w:val="auto"/>
                <w:spacing w:val="-4"/>
                <w:highlight w:val="none"/>
              </w:rPr>
              <w:t>垃圾的产生</w:t>
            </w:r>
            <w:r>
              <w:rPr>
                <w:rFonts w:hint="default" w:ascii="Times New Roman" w:hAnsi="Times New Roman" w:eastAsia="仿宋" w:cs="Times New Roman"/>
                <w:color w:val="auto"/>
                <w:spacing w:val="-3"/>
                <w:highlight w:val="none"/>
              </w:rPr>
              <w:t>量约为</w:t>
            </w:r>
            <w:r>
              <w:rPr>
                <w:rFonts w:hint="eastAsia" w:ascii="Times New Roman" w:hAnsi="Times New Roman" w:eastAsia="仿宋" w:cs="Times New Roman"/>
                <w:color w:val="auto"/>
                <w:spacing w:val="-3"/>
                <w:highlight w:val="none"/>
                <w:lang w:val="en-US" w:eastAsia="zh-CN"/>
              </w:rPr>
              <w:t>4.19</w:t>
            </w:r>
            <w:r>
              <w:rPr>
                <w:rFonts w:hint="default" w:ascii="Times New Roman" w:hAnsi="Times New Roman" w:eastAsia="仿宋" w:cs="Times New Roman"/>
                <w:color w:val="auto"/>
                <w:spacing w:val="-3"/>
                <w:highlight w:val="none"/>
              </w:rPr>
              <w:t>t/a。所产生的生活垃圾集</w:t>
            </w:r>
            <w:r>
              <w:rPr>
                <w:rFonts w:hint="default" w:ascii="Times New Roman" w:hAnsi="Times New Roman" w:eastAsia="仿宋" w:cs="Times New Roman"/>
                <w:color w:val="auto"/>
                <w:spacing w:val="-4"/>
                <w:highlight w:val="none"/>
              </w:rPr>
              <w:t>中收集后，定期运至生活垃圾填埋场，</w:t>
            </w:r>
            <w:r>
              <w:rPr>
                <w:rFonts w:hint="default" w:ascii="Times New Roman" w:hAnsi="Times New Roman" w:eastAsia="仿宋" w:cs="Times New Roman"/>
                <w:color w:val="auto"/>
                <w:spacing w:val="-2"/>
                <w:highlight w:val="none"/>
              </w:rPr>
              <w:t>再统一清运处置。</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3</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沉淀池污泥：根据项目开发利用方案可知，沉淀池污泥产生量为26t/a，一般固废900-099-S07，环评提出防渗沉淀池的泥沙自然风干后定期回填至采坑。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lang w:val="en-US" w:eastAsia="zh-CN"/>
              </w:rPr>
              <w:t>）废机油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本项目生产过程中使用的机械设备需定期更换润滑油以保证设备正常 运转，预计每年需更换润滑油</w:t>
            </w:r>
            <w:r>
              <w:rPr>
                <w:rFonts w:hint="default" w:ascii="Times New Roman" w:hAnsi="Times New Roman" w:eastAsia="仿宋" w:cs="Times New Roman"/>
                <w:color w:val="auto"/>
                <w:sz w:val="24"/>
                <w:szCs w:val="24"/>
                <w:highlight w:val="none"/>
                <w:lang w:val="en-US" w:eastAsia="zh-CN"/>
              </w:rPr>
              <w:t>0.</w:t>
            </w:r>
            <w:r>
              <w:rPr>
                <w:rFonts w:hint="eastAsia"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lang w:val="en-US" w:eastAsia="zh-CN"/>
              </w:rPr>
              <w:t>t</w:t>
            </w:r>
            <w:r>
              <w:rPr>
                <w:rFonts w:hint="default" w:ascii="Times New Roman" w:hAnsi="Times New Roman" w:eastAsia="仿宋" w:cs="Times New Roman"/>
                <w:color w:val="auto"/>
                <w:sz w:val="24"/>
                <w:szCs w:val="24"/>
                <w:highlight w:val="none"/>
              </w:rPr>
              <w:t>。根据《国家危险废物名录（2021年版）》，废矿物油为 HW08 类危险废物，废物代码为900-214-08 。本项目产生的废矿物油收集后采用桶装方式暂存于危废暂存间，定期交由有资质的单位处置。</w:t>
            </w:r>
          </w:p>
          <w:p>
            <w:pPr>
              <w:numPr>
                <w:ilvl w:val="0"/>
                <w:numId w:val="3"/>
              </w:numPr>
              <w:adjustRightInd w:val="0"/>
              <w:snapToGrid w:val="0"/>
              <w:ind w:firstLine="460"/>
              <w:jc w:val="left"/>
              <w:rPr>
                <w:rFonts w:hint="eastAsia" w:ascii="Times New Roman" w:hAnsi="Times New Roman" w:eastAsia="仿宋" w:cs="Times New Roman"/>
                <w:bCs/>
                <w:color w:val="auto"/>
                <w:spacing w:val="10"/>
                <w:sz w:val="24"/>
                <w:szCs w:val="24"/>
                <w:highlight w:val="none"/>
                <w:lang w:val="en-US" w:eastAsia="zh-CN"/>
              </w:rPr>
            </w:pPr>
            <w:r>
              <w:rPr>
                <w:rFonts w:hint="eastAsia" w:eastAsia="仿宋" w:cs="Times New Roman"/>
                <w:color w:val="auto"/>
                <w:sz w:val="24"/>
                <w:szCs w:val="24"/>
                <w:lang w:eastAsia="zh-CN"/>
              </w:rPr>
              <w:tab/>
            </w:r>
            <w:r>
              <w:rPr>
                <w:rFonts w:hint="eastAsia" w:ascii="Times New Roman" w:hAnsi="Times New Roman" w:eastAsia="仿宋" w:cs="Times New Roman"/>
                <w:bCs/>
                <w:color w:val="auto"/>
                <w:spacing w:val="10"/>
                <w:sz w:val="24"/>
                <w:szCs w:val="24"/>
                <w:highlight w:val="none"/>
                <w:lang w:val="en-US" w:eastAsia="zh-CN"/>
              </w:rPr>
              <w:t>废机油桶</w:t>
            </w:r>
          </w:p>
          <w:p>
            <w:pPr>
              <w:numPr>
                <w:ilvl w:val="0"/>
                <w:numId w:val="0"/>
              </w:numPr>
              <w:adjustRightInd w:val="0"/>
              <w:snapToGrid w:val="0"/>
              <w:ind w:firstLine="520" w:firstLineChars="20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废机油桶产生量按每个废机油桶20千克计，废机油桶规格为200千克/桶，废机油桶使用量为</w:t>
            </w:r>
            <w:r>
              <w:rPr>
                <w:rFonts w:hint="eastAsia" w:eastAsia="仿宋" w:cs="Times New Roman"/>
                <w:bCs/>
                <w:color w:val="auto"/>
                <w:spacing w:val="10"/>
                <w:sz w:val="24"/>
                <w:szCs w:val="24"/>
                <w:highlight w:val="none"/>
                <w:lang w:val="en-US" w:eastAsia="zh-CN"/>
              </w:rPr>
              <w:t>20</w:t>
            </w:r>
            <w:r>
              <w:rPr>
                <w:rFonts w:hint="default" w:ascii="Times New Roman" w:hAnsi="Times New Roman" w:eastAsia="仿宋" w:cs="Times New Roman"/>
                <w:bCs/>
                <w:color w:val="auto"/>
                <w:spacing w:val="10"/>
                <w:sz w:val="24"/>
                <w:szCs w:val="24"/>
                <w:highlight w:val="none"/>
                <w:lang w:val="en-US" w:eastAsia="zh-CN"/>
              </w:rPr>
              <w:t>个，则废机油桶产生量约为</w:t>
            </w:r>
            <w:r>
              <w:rPr>
                <w:rFonts w:hint="eastAsia" w:eastAsia="仿宋" w:cs="Times New Roman"/>
                <w:bCs/>
                <w:color w:val="auto"/>
                <w:spacing w:val="10"/>
                <w:sz w:val="24"/>
                <w:szCs w:val="24"/>
                <w:highlight w:val="none"/>
                <w:lang w:val="en-US" w:eastAsia="zh-CN"/>
              </w:rPr>
              <w:t>4</w:t>
            </w:r>
            <w:r>
              <w:rPr>
                <w:rFonts w:hint="default" w:ascii="Times New Roman" w:hAnsi="Times New Roman" w:eastAsia="仿宋" w:cs="Times New Roman"/>
                <w:bCs/>
                <w:color w:val="auto"/>
                <w:spacing w:val="10"/>
                <w:sz w:val="24"/>
                <w:szCs w:val="24"/>
                <w:highlight w:val="none"/>
                <w:lang w:val="en-US" w:eastAsia="zh-CN"/>
              </w:rPr>
              <w:t>吨/年。根据《国家危险废物名录》（2021版），废机油桶为危险废物，代码为“900-041-49含有或沾染毒性、感染性危险废物的废弃包装物、容器、过滤吸附介质”，存于厂区危废暂存间内，定期委托有资质单位进行清运处置。</w:t>
            </w:r>
          </w:p>
          <w:p>
            <w:pPr>
              <w:keepNext w:val="0"/>
              <w:keepLines w:val="0"/>
              <w:pageBreakBefore w:val="0"/>
              <w:widowControl w:val="0"/>
              <w:tabs>
                <w:tab w:val="left" w:pos="279"/>
              </w:tabs>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本项目固体废物产生情况见下表：</w:t>
            </w:r>
          </w:p>
          <w:p>
            <w:pPr>
              <w:pStyle w:val="35"/>
              <w:spacing w:line="360" w:lineRule="auto"/>
              <w:ind w:firstLine="0" w:firstLineChars="0"/>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表4-1</w:t>
            </w:r>
            <w:r>
              <w:rPr>
                <w:rFonts w:hint="eastAsia" w:ascii="Times New Roman" w:hAnsi="Times New Roman" w:eastAsia="仿宋" w:cs="Times New Roman"/>
                <w:b/>
                <w:color w:val="auto"/>
                <w:sz w:val="21"/>
                <w:szCs w:val="21"/>
                <w:highlight w:val="none"/>
                <w:lang w:val="en-US" w:eastAsia="zh-CN"/>
              </w:rPr>
              <w:t>0</w:t>
            </w:r>
            <w:r>
              <w:rPr>
                <w:rFonts w:hint="default" w:ascii="Times New Roman" w:hAnsi="Times New Roman" w:eastAsia="仿宋" w:cs="Times New Roman"/>
                <w:b/>
                <w:color w:val="auto"/>
                <w:sz w:val="21"/>
                <w:szCs w:val="21"/>
                <w:highlight w:val="none"/>
              </w:rPr>
              <w:t>固体废物产生信息表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175"/>
              <w:gridCol w:w="1124"/>
              <w:gridCol w:w="2050"/>
              <w:gridCol w:w="182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序号</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固废名称</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产生量</w:t>
                  </w:r>
                </w:p>
              </w:tc>
              <w:tc>
                <w:tcPr>
                  <w:tcW w:w="248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属性鉴别方法</w:t>
                  </w:r>
                </w:p>
              </w:tc>
              <w:tc>
                <w:tcPr>
                  <w:tcW w:w="139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废物代码</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处置方式及去向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1</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生活垃圾</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eastAsia" w:eastAsia="仿宋" w:cs="Times New Roman"/>
                      <w:color w:val="auto"/>
                      <w:kern w:val="0"/>
                      <w:sz w:val="21"/>
                      <w:szCs w:val="21"/>
                      <w:highlight w:val="none"/>
                      <w:lang w:val="en-US" w:eastAsia="zh-CN"/>
                    </w:rPr>
                    <w:t>4.19</w:t>
                  </w:r>
                  <w:r>
                    <w:rPr>
                      <w:rFonts w:hint="default" w:ascii="Times New Roman" w:hAnsi="Times New Roman" w:eastAsia="仿宋" w:cs="Times New Roman"/>
                      <w:color w:val="auto"/>
                      <w:kern w:val="0"/>
                      <w:sz w:val="21"/>
                      <w:szCs w:val="21"/>
                      <w:highlight w:val="none"/>
                    </w:rPr>
                    <w:t>t/a</w:t>
                  </w:r>
                </w:p>
              </w:tc>
              <w:tc>
                <w:tcPr>
                  <w:tcW w:w="248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eastAsia"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highlight w:val="none"/>
                    </w:rPr>
                    <w:t>固体废物分类与代码目录</w:t>
                  </w:r>
                  <w:r>
                    <w:rPr>
                      <w:rFonts w:hint="eastAsia" w:eastAsia="仿宋" w:cs="Times New Roman"/>
                      <w:color w:val="auto"/>
                      <w:kern w:val="0"/>
                      <w:sz w:val="21"/>
                      <w:szCs w:val="21"/>
                      <w:highlight w:val="none"/>
                      <w:lang w:eastAsia="zh-CN"/>
                    </w:rPr>
                    <w:t>》</w:t>
                  </w:r>
                </w:p>
              </w:tc>
              <w:tc>
                <w:tcPr>
                  <w:tcW w:w="139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900-099-S64</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2</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废砂石</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eastAsia" w:eastAsia="仿宋" w:cs="Times New Roman"/>
                      <w:color w:val="auto"/>
                      <w:kern w:val="0"/>
                      <w:sz w:val="21"/>
                      <w:szCs w:val="21"/>
                      <w:highlight w:val="none"/>
                      <w:lang w:val="en-US" w:eastAsia="zh-CN"/>
                    </w:rPr>
                    <w:t>11.87</w:t>
                  </w:r>
                  <w:r>
                    <w:rPr>
                      <w:rFonts w:hint="default" w:ascii="Times New Roman" w:hAnsi="Times New Roman" w:eastAsia="仿宋" w:cs="Times New Roman"/>
                      <w:color w:val="auto"/>
                      <w:kern w:val="0"/>
                      <w:sz w:val="21"/>
                      <w:szCs w:val="21"/>
                      <w:highlight w:val="none"/>
                      <w:lang w:val="en-US" w:eastAsia="zh-CN"/>
                    </w:rPr>
                    <w:t>万m</w:t>
                  </w:r>
                  <w:r>
                    <w:rPr>
                      <w:rFonts w:hint="default" w:ascii="Times New Roman" w:hAnsi="Times New Roman" w:eastAsia="仿宋" w:cs="Times New Roman"/>
                      <w:color w:val="auto"/>
                      <w:kern w:val="0"/>
                      <w:sz w:val="21"/>
                      <w:szCs w:val="21"/>
                      <w:highlight w:val="none"/>
                      <w:vertAlign w:val="superscript"/>
                      <w:lang w:val="en-US" w:eastAsia="zh-CN"/>
                    </w:rPr>
                    <w:t>3</w:t>
                  </w:r>
                  <w:r>
                    <w:rPr>
                      <w:rFonts w:hint="default" w:ascii="Times New Roman" w:hAnsi="Times New Roman" w:eastAsia="仿宋" w:cs="Times New Roman"/>
                      <w:color w:val="auto"/>
                      <w:kern w:val="0"/>
                      <w:sz w:val="21"/>
                      <w:szCs w:val="21"/>
                      <w:highlight w:val="none"/>
                      <w:lang w:val="en-US" w:eastAsia="zh-CN"/>
                    </w:rPr>
                    <w:t>/a</w:t>
                  </w:r>
                </w:p>
              </w:tc>
              <w:tc>
                <w:tcPr>
                  <w:tcW w:w="2481"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eastAsia"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highlight w:val="none"/>
                    </w:rPr>
                    <w:t>固体废物分类与代码目录</w:t>
                  </w:r>
                  <w:r>
                    <w:rPr>
                      <w:rFonts w:hint="eastAsia" w:eastAsia="仿宋" w:cs="Times New Roman"/>
                      <w:color w:val="auto"/>
                      <w:kern w:val="0"/>
                      <w:sz w:val="21"/>
                      <w:szCs w:val="21"/>
                      <w:highlight w:val="none"/>
                      <w:lang w:eastAsia="zh-CN"/>
                    </w:rPr>
                    <w:t>》</w:t>
                  </w:r>
                </w:p>
              </w:tc>
              <w:tc>
                <w:tcPr>
                  <w:tcW w:w="139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109-001-S05</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采矿回填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3</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废机油</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0.</w:t>
                  </w:r>
                  <w:r>
                    <w:rPr>
                      <w:rFonts w:hint="eastAsia" w:eastAsia="仿宋" w:cs="Times New Roman"/>
                      <w:color w:val="auto"/>
                      <w:kern w:val="0"/>
                      <w:sz w:val="21"/>
                      <w:szCs w:val="21"/>
                      <w:highlight w:val="none"/>
                      <w:lang w:val="en-US" w:eastAsia="zh-CN"/>
                    </w:rPr>
                    <w:t>6</w:t>
                  </w:r>
                  <w:r>
                    <w:rPr>
                      <w:rFonts w:hint="default" w:ascii="Times New Roman" w:hAnsi="Times New Roman" w:eastAsia="仿宋" w:cs="Times New Roman"/>
                      <w:color w:val="auto"/>
                      <w:kern w:val="0"/>
                      <w:sz w:val="21"/>
                      <w:szCs w:val="21"/>
                      <w:highlight w:val="none"/>
                    </w:rPr>
                    <w:t>t/a</w:t>
                  </w:r>
                </w:p>
              </w:tc>
              <w:tc>
                <w:tcPr>
                  <w:tcW w:w="2481"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国家危险废物名录》（2021年版）</w:t>
                  </w:r>
                </w:p>
              </w:tc>
              <w:tc>
                <w:tcPr>
                  <w:tcW w:w="139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highlight w:val="none"/>
                    </w:rPr>
                    <w:t>HW08</w:t>
                  </w:r>
                  <w:r>
                    <w:rPr>
                      <w:rFonts w:hint="eastAsia" w:ascii="Times New Roman" w:hAnsi="Times New Roman" w:eastAsia="仿宋" w:cs="Times New Roman"/>
                      <w:color w:val="auto"/>
                      <w:highlight w:val="none"/>
                      <w:lang w:val="en-US" w:eastAsia="zh-CN"/>
                    </w:rPr>
                    <w:t>-900-214-08</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val="zh-CN" w:eastAsia="en-US" w:bidi="zh-CN"/>
                    </w:rPr>
                    <w:t>交由有资质单位处理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4</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废机油桶</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rPr>
                    <w:t>4</w:t>
                  </w:r>
                  <w:r>
                    <w:rPr>
                      <w:rFonts w:hint="default" w:ascii="Times New Roman" w:hAnsi="Times New Roman" w:eastAsia="仿宋" w:cs="Times New Roman"/>
                      <w:color w:val="auto"/>
                      <w:kern w:val="0"/>
                      <w:sz w:val="21"/>
                      <w:szCs w:val="21"/>
                      <w:highlight w:val="none"/>
                      <w:lang w:val="en-US" w:eastAsia="zh-CN"/>
                    </w:rPr>
                    <w:t>吨/年</w:t>
                  </w:r>
                </w:p>
              </w:tc>
              <w:tc>
                <w:tcPr>
                  <w:tcW w:w="2481"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国家危险废物名录》（2021年版）</w:t>
                  </w:r>
                </w:p>
              </w:tc>
              <w:tc>
                <w:tcPr>
                  <w:tcW w:w="139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highlight w:val="none"/>
                    </w:rPr>
                    <w:t>HW08</w:t>
                  </w:r>
                  <w:r>
                    <w:rPr>
                      <w:rFonts w:hint="eastAsia" w:ascii="Times New Roman" w:hAnsi="Times New Roman" w:eastAsia="仿宋" w:cs="Times New Roman"/>
                      <w:color w:val="auto"/>
                      <w:highlight w:val="none"/>
                      <w:lang w:val="en-US" w:eastAsia="zh-CN"/>
                    </w:rPr>
                    <w:t>-</w:t>
                  </w:r>
                  <w:r>
                    <w:rPr>
                      <w:rFonts w:hint="default" w:ascii="Times New Roman" w:hAnsi="Times New Roman" w:eastAsia="仿宋" w:cs="Times New Roman"/>
                      <w:color w:val="auto"/>
                      <w:highlight w:val="none"/>
                      <w:lang w:val="en-US" w:eastAsia="zh-CN"/>
                    </w:rPr>
                    <w:t>900-041-49</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zh-CN" w:eastAsia="en-US" w:bidi="ar-SA"/>
                    </w:rPr>
                  </w:pPr>
                  <w:r>
                    <w:rPr>
                      <w:rFonts w:hint="default" w:ascii="Times New Roman" w:hAnsi="Times New Roman" w:eastAsia="仿宋" w:cs="Times New Roman"/>
                      <w:color w:val="auto"/>
                      <w:kern w:val="0"/>
                      <w:sz w:val="21"/>
                      <w:szCs w:val="21"/>
                      <w:highlight w:val="none"/>
                      <w:lang w:val="zh-CN" w:eastAsia="en-US" w:bidi="zh-CN"/>
                    </w:rPr>
                    <w:t>交由有资质单位处理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5</w:t>
                  </w:r>
                </w:p>
              </w:tc>
              <w:tc>
                <w:tcPr>
                  <w:tcW w:w="0" w:type="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沉淀池污泥</w:t>
                  </w:r>
                </w:p>
              </w:tc>
              <w:tc>
                <w:tcPr>
                  <w:tcW w:w="0" w:type="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26t/a</w:t>
                  </w:r>
                </w:p>
              </w:tc>
              <w:tc>
                <w:tcPr>
                  <w:tcW w:w="2481" w:type="dxa"/>
                  <w:vAlign w:val="center"/>
                </w:tcPr>
                <w:p>
                  <w:pPr>
                    <w:widowControl/>
                    <w:spacing w:line="240" w:lineRule="auto"/>
                    <w:ind w:firstLine="0" w:firstLineChars="0"/>
                    <w:jc w:val="center"/>
                    <w:rPr>
                      <w:rFonts w:hint="default" w:ascii="Times New Roman" w:hAnsi="Times New Roman" w:eastAsia="仿宋" w:cs="Times New Roman"/>
                      <w:color w:val="auto"/>
                      <w:kern w:val="2"/>
                      <w:sz w:val="21"/>
                      <w:szCs w:val="24"/>
                      <w:highlight w:val="none"/>
                      <w:lang w:val="en-US" w:eastAsia="zh-CN" w:bidi="ar-SA"/>
                    </w:rPr>
                  </w:pPr>
                  <w:r>
                    <w:rPr>
                      <w:rFonts w:hint="default" w:ascii="Times New Roman" w:hAnsi="Times New Roman" w:eastAsia="仿宋" w:cs="Times New Roman"/>
                      <w:color w:val="auto"/>
                      <w:kern w:val="2"/>
                      <w:sz w:val="21"/>
                      <w:szCs w:val="24"/>
                      <w:highlight w:val="none"/>
                      <w:lang w:val="en-US" w:eastAsia="zh-CN" w:bidi="ar-SA"/>
                    </w:rPr>
                    <w:t>《固体废物分类与代码目录》</w:t>
                  </w:r>
                </w:p>
              </w:tc>
              <w:tc>
                <w:tcPr>
                  <w:tcW w:w="1393" w:type="dxa"/>
                  <w:vAlign w:val="center"/>
                </w:tcPr>
                <w:p>
                  <w:pPr>
                    <w:widowControl/>
                    <w:spacing w:line="240" w:lineRule="auto"/>
                    <w:ind w:firstLine="0" w:firstLineChars="0"/>
                    <w:jc w:val="center"/>
                    <w:rPr>
                      <w:rFonts w:hint="default" w:ascii="Times New Roman" w:hAnsi="Times New Roman" w:eastAsia="仿宋" w:cs="Times New Roman"/>
                      <w:color w:val="auto"/>
                      <w:kern w:val="2"/>
                      <w:sz w:val="21"/>
                      <w:szCs w:val="24"/>
                      <w:highlight w:val="none"/>
                      <w:lang w:val="en-US" w:eastAsia="zh-CN" w:bidi="ar-SA"/>
                    </w:rPr>
                  </w:pPr>
                  <w:r>
                    <w:rPr>
                      <w:rFonts w:hint="default" w:ascii="Times New Roman" w:hAnsi="Times New Roman" w:eastAsia="仿宋" w:cs="Times New Roman"/>
                      <w:color w:val="auto"/>
                      <w:kern w:val="0"/>
                      <w:sz w:val="21"/>
                      <w:szCs w:val="21"/>
                      <w:highlight w:val="none"/>
                      <w:lang w:val="zh-CN" w:eastAsia="en-US" w:bidi="zh-CN"/>
                    </w:rPr>
                    <w:t>900-099-S07</w:t>
                  </w:r>
                </w:p>
              </w:tc>
              <w:tc>
                <w:tcPr>
                  <w:tcW w:w="0" w:type="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zh-CN" w:eastAsia="en-US" w:bidi="zh-CN"/>
                    </w:rPr>
                  </w:pPr>
                  <w:r>
                    <w:rPr>
                      <w:rFonts w:hint="default" w:ascii="Times New Roman" w:hAnsi="Times New Roman" w:eastAsia="仿宋" w:cs="Times New Roman"/>
                      <w:color w:val="auto"/>
                      <w:kern w:val="0"/>
                      <w:sz w:val="21"/>
                      <w:szCs w:val="21"/>
                      <w:highlight w:val="none"/>
                      <w:lang w:val="zh-CN" w:eastAsia="en-US" w:bidi="zh-CN"/>
                    </w:rPr>
                    <w:t>防渗沉淀池的泥沙自然风干后定期回填至采坑</w:t>
                  </w:r>
                </w:p>
              </w:tc>
            </w:tr>
          </w:tbl>
          <w:p>
            <w:pPr>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 w:val="24"/>
                <w:szCs w:val="24"/>
              </w:rPr>
              <w:t>综上所述，本项目运营期间产生</w:t>
            </w:r>
            <w:r>
              <w:rPr>
                <w:rFonts w:hint="default" w:ascii="Times New Roman" w:hAnsi="Times New Roman" w:eastAsia="仿宋" w:cs="Times New Roman"/>
                <w:color w:val="auto"/>
                <w:sz w:val="24"/>
                <w:szCs w:val="24"/>
                <w:lang w:eastAsia="zh-CN"/>
              </w:rPr>
              <w:t>的</w:t>
            </w:r>
            <w:r>
              <w:rPr>
                <w:rFonts w:hint="default" w:ascii="Times New Roman" w:hAnsi="Times New Roman" w:eastAsia="仿宋" w:cs="Times New Roman"/>
                <w:color w:val="auto"/>
                <w:sz w:val="24"/>
                <w:szCs w:val="24"/>
              </w:rPr>
              <w:t>固体废物均得到及时妥善处置，对周边环境、景观及人群产生影响较小。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35" w:hRule="atLeast"/>
          <w:jc w:val="center"/>
        </w:trPr>
        <w:tc>
          <w:tcPr>
            <w:tcW w:w="621" w:type="dxa"/>
            <w:vAlign w:val="center"/>
          </w:tcPr>
          <w:p>
            <w:pPr>
              <w:pStyle w:val="20"/>
              <w:adjustRightInd w:val="0"/>
              <w:snapToGrid w:val="0"/>
              <w:spacing w:before="0" w:beforeAutospacing="0" w:after="0" w:afterAutospacing="0"/>
              <w:ind w:firstLine="0" w:firstLineChars="0"/>
              <w:jc w:val="center"/>
              <w:rPr>
                <w:rFonts w:hint="default" w:ascii="Times New Roman" w:hAnsi="Times New Roman" w:eastAsia="仿宋" w:cs="Times New Roman"/>
                <w:bCs/>
                <w:color w:val="auto"/>
                <w:kern w:val="2"/>
                <w:sz w:val="21"/>
                <w:szCs w:val="21"/>
              </w:rPr>
            </w:pPr>
            <w:r>
              <w:rPr>
                <w:rFonts w:hint="default" w:ascii="Times New Roman" w:hAnsi="Times New Roman" w:eastAsia="仿宋" w:cs="Times New Roman"/>
                <w:bCs/>
                <w:color w:val="auto"/>
                <w:kern w:val="2"/>
                <w:sz w:val="21"/>
                <w:szCs w:val="21"/>
              </w:rPr>
              <w:t>选址选线环境合理性分析</w:t>
            </w:r>
          </w:p>
        </w:tc>
        <w:tc>
          <w:tcPr>
            <w:tcW w:w="8558" w:type="dxa"/>
          </w:tcPr>
          <w:p>
            <w:pPr>
              <w:keepNext w:val="0"/>
              <w:keepLines w:val="0"/>
              <w:pageBreakBefore w:val="0"/>
              <w:widowControl w:val="0"/>
              <w:kinsoku/>
              <w:wordWrap/>
              <w:overflowPunct w:val="0"/>
              <w:topLinePunct w:val="0"/>
              <w:autoSpaceDE/>
              <w:autoSpaceDN/>
              <w:bidi w:val="0"/>
              <w:adjustRightInd/>
              <w:snapToGrid/>
              <w:spacing w:before="157" w:beforeLines="50"/>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本项目位于</w:t>
            </w:r>
            <w:r>
              <w:rPr>
                <w:rFonts w:hint="default" w:ascii="Times New Roman" w:hAnsi="Times New Roman" w:eastAsia="仿宋" w:cs="Times New Roman"/>
                <w:color w:val="auto"/>
                <w:sz w:val="24"/>
                <w:szCs w:val="24"/>
                <w:lang w:val="en-US" w:eastAsia="zh-CN"/>
              </w:rPr>
              <w:t>新疆维吾尔自治区吐鲁番地区七克台镇北东56°方向直线距离36.5千米处</w:t>
            </w:r>
            <w:r>
              <w:rPr>
                <w:rFonts w:hint="eastAsia" w:eastAsia="仿宋" w:cs="Times New Roman"/>
                <w:color w:val="auto"/>
                <w:sz w:val="24"/>
                <w:szCs w:val="24"/>
                <w:lang w:eastAsia="zh-CN"/>
              </w:rPr>
              <w:t>，</w:t>
            </w:r>
            <w:r>
              <w:rPr>
                <w:rFonts w:hint="default" w:ascii="Times New Roman" w:hAnsi="Times New Roman" w:eastAsia="仿宋" w:cs="Times New Roman"/>
                <w:color w:val="auto"/>
                <w:kern w:val="0"/>
                <w:sz w:val="24"/>
                <w:szCs w:val="24"/>
              </w:rPr>
              <w:t>根据《矿山生态环境保护与恢复治理技术规范（试行）》（HJ651-2013），禁止在依法划定自然保护区、风景名胜区、森林公园、饮用水水源保护区、重要湖泊周边、文物古迹所在地、地质遗迹保护区、基本农田保护区等重要生态保护地及其他法律法规规定禁采区内采矿；禁止在铁路、重要道路、航道两侧及重要生态敏感目标直观可视范围内进行对景观破坏明显的露天开采；禁止在地质灾害危险区内开采矿产资源。</w:t>
            </w:r>
          </w:p>
          <w:p>
            <w:pPr>
              <w:autoSpaceDE w:val="0"/>
              <w:autoSpaceDN w:val="0"/>
              <w:adjustRightInd w:val="0"/>
              <w:snapToGrid w:val="0"/>
              <w:ind w:firstLine="420"/>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新疆维吾尔自治区重点行业环境准入条件（修订）》（2017年1月）指出：“铁路、高速公路、国道、省道等重要交通干线两侧200米范围以内，居民聚集区1千米以内禁止建设非金属矿采选项目”，“重要河流源头区、水环境功能区划为Ⅰ、Ⅱ类和具有饮用功能的Ⅲ类水体岸边1000米以内，其它Ⅲ类水体岸边200米以内，禁止新建或改扩建非金属矿选矿工程”。</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《新疆维吾尔自治区矿产资源总体规划（20</w:t>
            </w:r>
            <w:r>
              <w:rPr>
                <w:rFonts w:hint="default" w:ascii="Times New Roman" w:hAnsi="Times New Roman" w:eastAsia="仿宋" w:cs="Times New Roman"/>
                <w:color w:val="auto"/>
                <w:kern w:val="0"/>
                <w:sz w:val="24"/>
                <w:szCs w:val="24"/>
                <w:lang w:val="en-US" w:eastAsia="zh-CN"/>
              </w:rPr>
              <w:t>21</w:t>
            </w:r>
            <w:r>
              <w:rPr>
                <w:rFonts w:hint="default" w:ascii="Times New Roman" w:hAnsi="Times New Roman" w:eastAsia="仿宋" w:cs="Times New Roman"/>
                <w:color w:val="auto"/>
                <w:kern w:val="0"/>
                <w:sz w:val="24"/>
                <w:szCs w:val="24"/>
              </w:rPr>
              <w:t>-202</w:t>
            </w:r>
            <w:r>
              <w:rPr>
                <w:rFonts w:hint="default" w:ascii="Times New Roman" w:hAnsi="Times New Roman" w:eastAsia="仿宋" w:cs="Times New Roman"/>
                <w:color w:val="auto"/>
                <w:kern w:val="0"/>
                <w:sz w:val="24"/>
                <w:szCs w:val="24"/>
                <w:lang w:val="en-US" w:eastAsia="zh-CN"/>
              </w:rPr>
              <w:t>5</w:t>
            </w:r>
            <w:r>
              <w:rPr>
                <w:rFonts w:hint="default" w:ascii="Times New Roman" w:hAnsi="Times New Roman" w:eastAsia="仿宋" w:cs="Times New Roman"/>
                <w:color w:val="auto"/>
                <w:kern w:val="0"/>
                <w:sz w:val="24"/>
                <w:szCs w:val="24"/>
              </w:rPr>
              <w:t>年）》中指出“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本项目位于</w:t>
            </w:r>
            <w:r>
              <w:rPr>
                <w:rFonts w:hint="default" w:ascii="Times New Roman" w:hAnsi="Times New Roman" w:eastAsia="仿宋" w:cs="Times New Roman"/>
                <w:color w:val="auto"/>
                <w:sz w:val="24"/>
                <w:szCs w:val="24"/>
                <w:lang w:val="en-US" w:eastAsia="zh-CN"/>
              </w:rPr>
              <w:t>新疆维吾尔自治区吐鲁番地区</w:t>
            </w:r>
            <w:r>
              <w:rPr>
                <w:rFonts w:hint="default" w:ascii="Times New Roman" w:hAnsi="Times New Roman" w:eastAsia="仿宋" w:cs="Times New Roman"/>
                <w:color w:val="auto"/>
                <w:sz w:val="24"/>
                <w:szCs w:val="24"/>
                <w:lang w:eastAsia="zh-CN"/>
              </w:rPr>
              <w:t>鄯善县七克台镇北东56°方向直线距离36.5千米处</w:t>
            </w:r>
            <w:r>
              <w:rPr>
                <w:rFonts w:hint="default" w:ascii="Times New Roman" w:hAnsi="Times New Roman" w:eastAsia="仿宋" w:cs="Times New Roman"/>
                <w:color w:val="auto"/>
                <w:kern w:val="0"/>
                <w:sz w:val="24"/>
                <w:szCs w:val="24"/>
              </w:rPr>
              <w:t>，远离建设规划范围，无任何矿业权纠纷，不在</w:t>
            </w:r>
            <w:r>
              <w:rPr>
                <w:rFonts w:hint="default" w:ascii="Times New Roman" w:hAnsi="Times New Roman" w:eastAsia="仿宋" w:cs="Times New Roman"/>
                <w:color w:val="auto"/>
                <w:kern w:val="0"/>
                <w:sz w:val="24"/>
                <w:szCs w:val="24"/>
                <w:lang w:val="en-US" w:eastAsia="zh-CN"/>
              </w:rPr>
              <w:t>鄯善县</w:t>
            </w:r>
            <w:r>
              <w:rPr>
                <w:rFonts w:hint="default" w:ascii="Times New Roman" w:hAnsi="Times New Roman" w:eastAsia="仿宋" w:cs="Times New Roman"/>
                <w:color w:val="auto"/>
                <w:kern w:val="0"/>
                <w:sz w:val="24"/>
                <w:szCs w:val="24"/>
              </w:rPr>
              <w:t>生态保护红线区范围内，符合当地矿产资源总体规划。</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现场勘查，本项目所在区域及周边附近区域内无国家级及自治区级珍稀濒危保护植物分布。项目区及周边附近区域内动物以啮齿类、爬行类、昆虫类、鸟类等为主，无国家及自治区级珍稀濒危保护动物活动。项目区周边附近主要为裸露岩砾石地，无自然保护区、风景名胜区、文化和自然遗产地、文物保护单位、大型集中办公居民区、军事基地等环境敏感区。项目区不在铁路、高速公路、国道、省道等重要交通干线两侧200m范围内，不在铁路、重要道路、航道两侧及重要生态敏感目标直观可视范围内，</w:t>
            </w:r>
            <w:r>
              <w:rPr>
                <w:rFonts w:hint="default" w:ascii="Times New Roman" w:hAnsi="Times New Roman" w:eastAsia="仿宋" w:cs="Times New Roman"/>
                <w:color w:val="auto"/>
                <w:kern w:val="0"/>
                <w:sz w:val="24"/>
                <w:szCs w:val="24"/>
                <w:highlight w:val="none"/>
              </w:rPr>
              <w:t>项目区周边3km范围内无地表水体。并</w:t>
            </w:r>
            <w:r>
              <w:rPr>
                <w:rFonts w:hint="default" w:ascii="Times New Roman" w:hAnsi="Times New Roman" w:eastAsia="仿宋" w:cs="Times New Roman"/>
                <w:color w:val="auto"/>
                <w:kern w:val="0"/>
                <w:sz w:val="24"/>
                <w:szCs w:val="24"/>
              </w:rPr>
              <w:t>且本项目服务期满闭矿后将采取地质环境保护与综合治理恢复措施、土地复垦措施、生态保护、减缓和恢复措施等恢复本项目所在区域景观；项目区不属于地质灾害危险区，项目区未占用基本农田、林地、办公居住用地、公共用地等，也未压覆矿藏、墓葬、文物古迹等。因此，本符合《矿山生态环境保护与恢复治理技术规范（试行）》（HJ651-2013）和《新疆维吾尔自治区重点行业环境准入条件（修订）》（2017年1月）要求。</w:t>
            </w:r>
          </w:p>
          <w:p>
            <w:pPr>
              <w:overflowPunct w:val="0"/>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综上所述，本项目选址合理、可行，用地合法；本项目外环境没有明显的外环境制约因素，并且与区域环境具有相容性，因此，本项目选址合理可行。</w:t>
            </w:r>
          </w:p>
          <w:p>
            <w:pPr>
              <w:adjustRightInd w:val="0"/>
              <w:snapToGrid w:val="0"/>
              <w:ind w:firstLine="0" w:firstLineChars="0"/>
              <w:rPr>
                <w:rFonts w:hint="default" w:ascii="Times New Roman" w:hAnsi="Times New Roman" w:eastAsia="仿宋" w:cs="Times New Roman"/>
                <w:bCs/>
                <w:color w:val="auto"/>
                <w:szCs w:val="21"/>
              </w:rPr>
            </w:pPr>
          </w:p>
        </w:tc>
      </w:tr>
    </w:tbl>
    <w:p>
      <w:pPr>
        <w:pStyle w:val="20"/>
        <w:jc w:val="both"/>
        <w:rPr>
          <w:rFonts w:hint="default" w:ascii="Times New Roman" w:hAnsi="Times New Roman" w:eastAsia="仿宋" w:cs="Times New Roman"/>
          <w:snapToGrid w:val="0"/>
          <w:color w:val="auto"/>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五、主要生态环境保护措施</w:t>
      </w:r>
    </w:p>
    <w:tbl>
      <w:tblPr>
        <w:tblStyle w:val="25"/>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753" w:type="dxa"/>
            <w:tcMar>
              <w:left w:w="28" w:type="dxa"/>
              <w:right w:w="28" w:type="dxa"/>
            </w:tcMar>
            <w:vAlign w:val="center"/>
          </w:tcPr>
          <w:p>
            <w:pPr>
              <w:adjustRightInd w:val="0"/>
              <w:snapToGrid w:val="0"/>
              <w:ind w:firstLine="0" w:firstLineChars="0"/>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pacing w:val="10"/>
                <w:szCs w:val="21"/>
              </w:rPr>
              <w:t>施工期生态环境保护措施</w:t>
            </w:r>
          </w:p>
        </w:tc>
        <w:tc>
          <w:tcPr>
            <w:tcW w:w="8457"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1、生态环境保护措施</w:t>
            </w:r>
          </w:p>
          <w:p>
            <w:pPr>
              <w:pStyle w:val="19"/>
              <w:adjustRightInd w:val="0"/>
              <w:snapToGrid w:val="0"/>
              <w:spacing w:after="0"/>
              <w:ind w:left="0" w:leftChars="0"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生态环境影响的避免应通过采取适当的措施，尽可能在最大程度上避免潜在的不利生态影响。在施工期注意采取一定的生态环境保护措施，则有利于项目建成后的生态环境恢复和建设。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①对于施工过程中产生的废弃土石，要合理堆入堆土场。不得将废弃土石任意裸露弃置，以免遇强降雨引起严重的水土流失。</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②合理制定施工计划，以便在暴雨前进行临时应急防护，减缓暴雨对开挖坡面的剧烈冲刷，防止水土流失。</w:t>
            </w:r>
          </w:p>
          <w:p>
            <w:pPr>
              <w:adjustRightInd w:val="0"/>
              <w:snapToGrid w:val="0"/>
              <w:ind w:firstLine="42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③在工程建设过程中，必须做好水土流失的预防工作，认真贯彻“谁造成水土流失，谁投资治理，谁造成新的危害，谁负责赔偿”和“治理与生产建设相结合”的原则。严格划定生产区域，加强管理，减少对土地的扰动作用，控制水土流失</w:t>
            </w:r>
            <w:r>
              <w:rPr>
                <w:rFonts w:hint="default" w:ascii="Times New Roman" w:hAnsi="Times New Roman" w:eastAsia="仿宋" w:cs="Times New Roman"/>
                <w:color w:val="auto"/>
                <w:sz w:val="24"/>
                <w:szCs w:val="24"/>
                <w:lang w:eastAsia="zh-CN"/>
              </w:rPr>
              <w:t>。</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④实际施工中要充分考虑本地风沙大的特点，在进行土方开挖时，应特别注意施工扬尘的防治问题，须制定必要的防治措施，以减少施工扬尘对周围环境的影响。</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⑤施工中应加强施工管理，尽量缩小施工范围，各种施工活动应严格控制在施工区域内，将临时占地面积控制在最低限度，尽可能地不破坏原有的地表植被和土壤，以免造成土壤与植被的大面积破坏，而使本来就脆弱的生态系统受到威胁。</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⑥加强施工期环境管理，强化施工人员环保意识，规范施工。教育职工爱护环境，保护施工场所周围的一草一木，不随意折木，严禁砍伐、破坏施工区以外的作物和树木。向职工发放施工手册并组织施工人员认真学习。</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⑦划定施工作业范围，不得随意扩大，按规定进行操作。严格控制和管理运输车辆及重型机械施工作业范围，尽可能减少对区域植被的破坏。严禁施工材料乱堆乱放，划定适宜的堆料场，以防对植物的破坏范围扩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⑧提高工程施工效率，缩短施工时间，减少裸地的暴露时间。</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⑨对于堆土场和临时占地及新开辟的临时便道等破坏区，项目建设结束后应按照国务院《土地复垦条例》进行环境治理和植被重建工作。凡受到施工车辆、机械破坏的地方均要进行土地平整，有植被恢复条件的在适当季节进行植被恢复，以保持地表原有的稳定状态。</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⑩</w:t>
            </w:r>
            <w:r>
              <w:rPr>
                <w:rFonts w:hint="default" w:ascii="Times New Roman" w:hAnsi="Times New Roman" w:eastAsia="仿宋" w:cs="Times New Roman"/>
                <w:color w:val="auto"/>
                <w:sz w:val="24"/>
                <w:szCs w:val="24"/>
              </w:rPr>
              <w:t>施工完毕后，要及时运走废弃施工材料和多余土石方，在施工中破坏植被的地段，施工结束后，必须及时进行植被恢复工作。</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⑪本项目</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过程中严格控制</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范围和机械及人员活动范围，堆料场控制在</w:t>
            </w:r>
            <w:r>
              <w:rPr>
                <w:rFonts w:hint="default" w:ascii="Times New Roman" w:hAnsi="Times New Roman" w:eastAsia="仿宋" w:cs="Times New Roman"/>
                <w:color w:val="auto"/>
                <w:sz w:val="24"/>
                <w:szCs w:val="24"/>
                <w:lang w:val="en-US" w:eastAsia="zh-CN"/>
              </w:rPr>
              <w:t>永久占地</w:t>
            </w:r>
            <w:r>
              <w:rPr>
                <w:rFonts w:hint="default" w:ascii="Times New Roman" w:hAnsi="Times New Roman" w:eastAsia="仿宋" w:cs="Times New Roman"/>
                <w:color w:val="auto"/>
                <w:sz w:val="24"/>
                <w:szCs w:val="24"/>
              </w:rPr>
              <w:t>范围内，不新增占地，严格控制</w:t>
            </w:r>
            <w:r>
              <w:rPr>
                <w:rFonts w:hint="default" w:ascii="Times New Roman" w:hAnsi="Times New Roman" w:eastAsia="仿宋" w:cs="Times New Roman"/>
                <w:color w:val="auto"/>
                <w:sz w:val="24"/>
                <w:szCs w:val="24"/>
                <w:lang w:val="en-US" w:eastAsia="zh-CN"/>
              </w:rPr>
              <w:t>新增</w:t>
            </w:r>
            <w:r>
              <w:rPr>
                <w:rFonts w:hint="default" w:ascii="Times New Roman" w:hAnsi="Times New Roman" w:eastAsia="仿宋" w:cs="Times New Roman"/>
                <w:color w:val="auto"/>
                <w:sz w:val="24"/>
                <w:szCs w:val="24"/>
              </w:rPr>
              <w:t>占地，避免土地沙化加剧。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⑫本项目</w:t>
            </w:r>
            <w:r>
              <w:rPr>
                <w:rFonts w:hint="default" w:ascii="Times New Roman" w:hAnsi="Times New Roman" w:eastAsia="仿宋" w:cs="Times New Roman"/>
                <w:color w:val="auto"/>
                <w:sz w:val="24"/>
                <w:szCs w:val="24"/>
                <w:lang w:val="en-US" w:eastAsia="zh-CN"/>
              </w:rPr>
              <w:t>施工生产区</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道路等区域</w:t>
            </w:r>
            <w:r>
              <w:rPr>
                <w:rFonts w:hint="default" w:ascii="Times New Roman" w:hAnsi="Times New Roman" w:eastAsia="仿宋" w:cs="Times New Roman"/>
                <w:color w:val="auto"/>
                <w:sz w:val="24"/>
                <w:szCs w:val="24"/>
                <w:lang w:val="en-US" w:eastAsia="zh-CN"/>
              </w:rPr>
              <w:t>施工结束后</w:t>
            </w:r>
            <w:r>
              <w:rPr>
                <w:rFonts w:hint="default" w:ascii="Times New Roman" w:hAnsi="Times New Roman" w:eastAsia="仿宋" w:cs="Times New Roman"/>
                <w:color w:val="auto"/>
                <w:sz w:val="24"/>
                <w:szCs w:val="24"/>
              </w:rPr>
              <w:t>进行植被恢复，</w:t>
            </w:r>
            <w:r>
              <w:rPr>
                <w:rFonts w:hint="eastAsia" w:eastAsia="仿宋" w:cs="Times New Roman"/>
                <w:color w:val="auto"/>
                <w:sz w:val="24"/>
                <w:szCs w:val="24"/>
                <w:lang w:eastAsia="zh-CN"/>
              </w:rPr>
              <w:t>防止</w:t>
            </w:r>
            <w:r>
              <w:rPr>
                <w:rFonts w:hint="default" w:ascii="Times New Roman" w:hAnsi="Times New Roman" w:eastAsia="仿宋" w:cs="Times New Roman"/>
                <w:color w:val="auto"/>
                <w:sz w:val="24"/>
                <w:szCs w:val="24"/>
              </w:rPr>
              <w:t>风蚀加剧，造成土地沙化。</w:t>
            </w:r>
          </w:p>
          <w:p>
            <w:pPr>
              <w:keepNext w:val="0"/>
              <w:keepLines w:val="0"/>
              <w:pageBreakBefore w:val="0"/>
              <w:widowControl w:val="0"/>
              <w:numPr>
                <w:ilvl w:val="0"/>
                <w:numId w:val="4"/>
              </w:numPr>
              <w:kinsoku/>
              <w:wordWrap/>
              <w:overflowPunct/>
              <w:topLinePunct w:val="0"/>
              <w:bidi w:val="0"/>
              <w:adjustRightInd/>
              <w:snapToGrid/>
              <w:ind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废气防治措施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（1）扬尘污染防治措施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为使施工过程中产生的粉尘对周围环境空气的影响降低到最小程度，建议采取以下防治措施：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1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项目在开挖土方和土方回填过程中会产</w:t>
            </w:r>
            <w:r>
              <w:rPr>
                <w:rFonts w:hint="default" w:ascii="Times New Roman" w:hAnsi="Times New Roman" w:eastAsia="仿宋" w:cs="Times New Roman"/>
                <w:bCs/>
                <w:color w:val="auto"/>
                <w:spacing w:val="10"/>
                <w:sz w:val="24"/>
                <w:szCs w:val="24"/>
                <w:lang w:val="en-US" w:eastAsia="zh-CN"/>
              </w:rPr>
              <w:t>生</w:t>
            </w:r>
            <w:r>
              <w:rPr>
                <w:rFonts w:hint="default" w:ascii="Times New Roman" w:hAnsi="Times New Roman" w:eastAsia="仿宋" w:cs="Times New Roman"/>
                <w:bCs/>
                <w:color w:val="auto"/>
                <w:spacing w:val="10"/>
                <w:sz w:val="24"/>
                <w:szCs w:val="24"/>
              </w:rPr>
              <w:t>一定的扬尘，在施工过程中应注意文明施工，做到洒水作业，减少扬尘对周围环境的污染。</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施工过程中的防尘管理。驶出施工现场的机动车辆要冲洗干净底盘和车轮后方可上路行驶，严禁车辆带泥出场。运送土方、渣土和建筑垃圾的车辆必须加盖密闭运输，严禁道路遗撒；车辆进入施工场地后，车速应控制在20km/h以内，减少车辆碾压起尘量。</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3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③</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加强露天堆料场的防尘管理。对于建筑材料堆料场，应采用篷布遮盖，避免作业起尘和风蚀起尘。堆场露天装卸作业时，采取洒水抑尘措施。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4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④</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加强对机械、车辆的维修保养，禁止以柴油为燃料的施工机械超负荷工作，减少烟尘和颗粒物排放。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（2）机械废气</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主要来自施工机械和运输土方等原材料的汽车，其主要成分为CO、NO</w:t>
            </w:r>
            <w:r>
              <w:rPr>
                <w:rFonts w:hint="default" w:ascii="Times New Roman" w:hAnsi="Times New Roman" w:eastAsia="仿宋" w:cs="Times New Roman"/>
                <w:color w:val="auto"/>
                <w:sz w:val="24"/>
                <w:szCs w:val="24"/>
                <w:vertAlign w:val="subscript"/>
              </w:rPr>
              <w:t>X</w:t>
            </w:r>
            <w:r>
              <w:rPr>
                <w:rFonts w:hint="default" w:ascii="Times New Roman" w:hAnsi="Times New Roman" w:eastAsia="仿宋" w:cs="Times New Roman"/>
                <w:color w:val="auto"/>
                <w:sz w:val="24"/>
                <w:szCs w:val="24"/>
              </w:rPr>
              <w:t>以及未完全燃烧的HC等，其特点是排放量小，属间断性无组织排放。由于拟建项目所在地较为开阔，空气流通较好，汽车排放的废气能够较快地扩散，不会对当地的环境空气产生较大影响，但项目建设过程中仍应采取控制措施，加强施工机械的维护，使所有施工车辆、机械的尾气应达到国家规定的尾气排放标准，减小施工机械废气对环境空气的影响。</w:t>
            </w:r>
          </w:p>
          <w:p>
            <w:pPr>
              <w:pStyle w:val="35"/>
              <w:keepNext w:val="0"/>
              <w:keepLines w:val="0"/>
              <w:pageBreakBefore w:val="0"/>
              <w:widowControl w:val="0"/>
              <w:kinsoku/>
              <w:wordWrap/>
              <w:overflowPunct/>
              <w:topLinePunct w:val="0"/>
              <w:bidi w:val="0"/>
              <w:adjustRightInd/>
              <w:snapToGrid/>
              <w:ind w:firstLine="46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pacing w:val="10"/>
                <w:sz w:val="24"/>
                <w:szCs w:val="24"/>
              </w:rPr>
              <w:t>采取上述防治措施，可有效控制施工废气对周围环境的影响，随着施工期的结束，该不利影响也会随之消失。</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3、废水污染防治措施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color w:val="auto"/>
                <w:sz w:val="24"/>
                <w:szCs w:val="24"/>
                <w:highlight w:val="none"/>
              </w:rPr>
              <w:t>施工期废水主要是施工废水和生活污水，这部分废水除含有少量的</w:t>
            </w:r>
            <w:r>
              <w:rPr>
                <w:rFonts w:hint="default" w:ascii="Times New Roman" w:hAnsi="Times New Roman" w:eastAsia="仿宋" w:cs="Times New Roman"/>
                <w:color w:val="auto"/>
                <w:sz w:val="24"/>
                <w:szCs w:val="24"/>
                <w:highlight w:val="none"/>
                <w:lang w:eastAsia="zh-CN"/>
              </w:rPr>
              <w:t>泥沙</w:t>
            </w:r>
            <w:r>
              <w:rPr>
                <w:rFonts w:hint="default" w:ascii="Times New Roman" w:hAnsi="Times New Roman" w:eastAsia="仿宋" w:cs="Times New Roman"/>
                <w:color w:val="auto"/>
                <w:sz w:val="24"/>
                <w:szCs w:val="24"/>
                <w:highlight w:val="none"/>
              </w:rPr>
              <w:t>外，基本没有其他污染指标。施工废水用于施工场地洒水抑尘。</w:t>
            </w:r>
            <w:r>
              <w:rPr>
                <w:rFonts w:hint="default" w:ascii="Times New Roman" w:hAnsi="Times New Roman" w:eastAsia="仿宋" w:cs="Times New Roman"/>
                <w:color w:val="auto"/>
                <w:sz w:val="24"/>
                <w:szCs w:val="24"/>
                <w:highlight w:val="none"/>
                <w:lang w:val="zh-CN"/>
              </w:rPr>
              <w:t>施工期施工人员生活废水</w:t>
            </w:r>
            <w:r>
              <w:rPr>
                <w:rFonts w:hint="default" w:ascii="Times New Roman" w:hAnsi="Times New Roman" w:eastAsia="仿宋" w:cs="Times New Roman"/>
                <w:color w:val="auto"/>
                <w:sz w:val="24"/>
                <w:szCs w:val="24"/>
                <w:highlight w:val="none"/>
                <w:lang w:val="en-US" w:eastAsia="zh-CN"/>
              </w:rPr>
              <w:t>经</w:t>
            </w:r>
            <w:r>
              <w:rPr>
                <w:rFonts w:hint="eastAsia" w:eastAsia="仿宋" w:cs="Times New Roman"/>
                <w:color w:val="auto"/>
                <w:sz w:val="24"/>
                <w:szCs w:val="24"/>
                <w:highlight w:val="none"/>
                <w:lang w:val="en-US" w:eastAsia="zh-CN"/>
              </w:rPr>
              <w:t>防渗化粪池</w:t>
            </w:r>
            <w:r>
              <w:rPr>
                <w:rFonts w:hint="default" w:ascii="Times New Roman" w:hAnsi="Times New Roman" w:eastAsia="仿宋" w:cs="Times New Roman"/>
                <w:color w:val="auto"/>
                <w:sz w:val="24"/>
                <w:szCs w:val="24"/>
                <w:highlight w:val="none"/>
                <w:lang w:val="en-US" w:eastAsia="zh-CN"/>
              </w:rPr>
              <w:t>暂存后定期拉运至鄯善县污水处理厂，</w:t>
            </w:r>
            <w:r>
              <w:rPr>
                <w:rFonts w:hint="default" w:ascii="Times New Roman" w:hAnsi="Times New Roman" w:eastAsia="仿宋" w:cs="Times New Roman"/>
                <w:color w:val="auto"/>
                <w:sz w:val="24"/>
                <w:szCs w:val="24"/>
                <w:highlight w:val="none"/>
              </w:rPr>
              <w:t>不会对周围环境造成影响。</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4、噪声防治措施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施工时涉及的施工机械种类和数目较多，主要有挖掘机、推土机、装载机、卡车等建筑施工机械。项目施工期施工噪声会对周边环境造成一定影响，这种影响是暂时的，随着施工期的结束而消失。为了减轻施工期噪声对环境的影响，可采取以下控制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①合理布局施工场地：避免在同一地点安装大量动力机械设备，避免局部声级过高；</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合理安排施工时间：制定施工计划时，应尽可能避免大量高噪声设备同时施工；</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③降低施工设备噪声：在不影响施工质量的前提下，应采用低噪声、低振动的设备与施工方式，如以液压机械代替燃油机械等；固定机械设备如挖掘机、推土机等，可通过安装排气筒消音器和隔离发动机振动部件的方法降低噪声；对施工设备要经常进行维修保养，保证其正常运行，避免因设备性能减退导致噪声增强的现象发生。</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④夜间运输材料的车辆进入施工现场，严禁鸣笛，装卸材料做到轻拿轻放。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⑤施工期间应合理安排运输时间和运输路线，经过敏感区时应减速慢行，禁止鸣笛，尽量减少交通噪声影响。</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5、固体废物污染防治措施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本项目施工期产生的固体废物主要是建筑废物和施工人员生活垃圾。建筑废物施工废料主要来源于开挖土方、建筑施工中的废物如沙石、石灰、混凝土、废砖等，可采取以下措施减少其对环境的影响：</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①在施工结束后，施工单位应清理场地，施工产生的建筑垃圾运至</w:t>
            </w:r>
            <w:r>
              <w:rPr>
                <w:rFonts w:hint="default" w:ascii="Times New Roman" w:hAnsi="Times New Roman" w:eastAsia="仿宋" w:cs="Times New Roman"/>
                <w:bCs/>
                <w:color w:val="auto"/>
                <w:spacing w:val="10"/>
                <w:sz w:val="24"/>
                <w:szCs w:val="24"/>
                <w:lang w:val="en-US" w:eastAsia="zh-CN"/>
              </w:rPr>
              <w:t>鄯善县</w:t>
            </w:r>
            <w:r>
              <w:rPr>
                <w:rFonts w:hint="default" w:ascii="Times New Roman" w:hAnsi="Times New Roman" w:eastAsia="仿宋" w:cs="Times New Roman"/>
                <w:bCs/>
                <w:color w:val="auto"/>
                <w:spacing w:val="10"/>
                <w:sz w:val="24"/>
                <w:szCs w:val="24"/>
              </w:rPr>
              <w:t>建筑垃圾填埋场处置；</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②施工人员的生活垃圾及时收集到垃圾箱（桶）内，定期集中收集外运至</w:t>
            </w:r>
            <w:r>
              <w:rPr>
                <w:rFonts w:hint="default" w:ascii="Times New Roman" w:hAnsi="Times New Roman" w:eastAsia="仿宋" w:cs="Times New Roman"/>
                <w:bCs/>
                <w:color w:val="auto"/>
                <w:spacing w:val="10"/>
                <w:sz w:val="24"/>
                <w:szCs w:val="24"/>
                <w:lang w:val="en-US" w:eastAsia="zh-CN"/>
              </w:rPr>
              <w:t>鄯善县生活垃圾填埋场</w:t>
            </w:r>
            <w:r>
              <w:rPr>
                <w:rFonts w:hint="default" w:ascii="Times New Roman" w:hAnsi="Times New Roman" w:eastAsia="仿宋" w:cs="Times New Roman"/>
                <w:bCs/>
                <w:color w:val="auto"/>
                <w:spacing w:val="10"/>
                <w:sz w:val="24"/>
                <w:szCs w:val="24"/>
              </w:rPr>
              <w:t>处置；</w:t>
            </w:r>
          </w:p>
          <w:p>
            <w:pPr>
              <w:pStyle w:val="36"/>
              <w:keepNext w:val="0"/>
              <w:keepLines w:val="0"/>
              <w:pageBreakBefore w:val="0"/>
              <w:widowControl w:val="0"/>
              <w:kinsoku/>
              <w:wordWrap/>
              <w:overflowPunct/>
              <w:topLinePunct w:val="0"/>
              <w:bidi w:val="0"/>
              <w:adjustRightInd/>
              <w:snapToGrid/>
              <w:spacing w:line="360" w:lineRule="auto"/>
              <w:ind w:firstLine="520" w:firstLineChars="200"/>
              <w:textAlignment w:val="auto"/>
              <w:rPr>
                <w:rFonts w:hint="default" w:ascii="Times New Roman" w:hAnsi="Times New Roman" w:eastAsia="仿宋" w:cs="Times New Roman"/>
                <w:bCs/>
                <w:color w:val="auto"/>
                <w:spacing w:val="10"/>
                <w:sz w:val="18"/>
                <w:szCs w:val="21"/>
              </w:rPr>
            </w:pPr>
            <w:r>
              <w:rPr>
                <w:rFonts w:hint="default" w:ascii="Times New Roman" w:hAnsi="Times New Roman" w:eastAsia="仿宋" w:cs="Times New Roman"/>
                <w:bCs/>
                <w:color w:val="auto"/>
                <w:spacing w:val="10"/>
                <w:sz w:val="24"/>
                <w:szCs w:val="24"/>
              </w:rPr>
              <w:t>③施工产生的土方用于场地及道路平整，做到土石方开挖平衡，不产生弃土。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753" w:type="dxa"/>
            <w:tcMar>
              <w:left w:w="28" w:type="dxa"/>
              <w:right w:w="28" w:type="dxa"/>
            </w:tcMar>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运营期生态环境保护措施</w:t>
            </w:r>
          </w:p>
        </w:tc>
        <w:tc>
          <w:tcPr>
            <w:tcW w:w="8457" w:type="dxa"/>
          </w:tcPr>
          <w:p>
            <w:pPr>
              <w:adjustRightInd w:val="0"/>
              <w:snapToGrid w:val="0"/>
              <w:ind w:firstLine="462"/>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1、生态环境保护措施</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（1）生态保护措施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①建立严格保护的规章制度，建设单位必须在相关部门划定的临时占地范围内进行生产活动，不得在临时占用的土地上修建永久性建筑物。</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加强管理，严格限制开采机械设备和作业人员的活动范围，合理划定开采和活动范围，减少地表扰动面积；道路利用现有道路，减少新增工程量，降低地表扰动面积；服务期满项目区无用建筑设施拆除，平整地表，恢复原地貌。</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3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③</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减少占地，降低植被破坏量；道路出入口竖立保护植被警示牌，提醒区内人员勿破坏植被；道路铺筑避开植被，车辆在指定道路上行驶，严禁随意行驶以防碾压植被。</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4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④</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color w:val="auto"/>
                <w:sz w:val="24"/>
                <w:szCs w:val="24"/>
              </w:rPr>
              <w:t>项目开采过程中要剥离地表土壤植被层，对剥离的土壤单独堆放，用于复垦期植被恢复，建设单位应对回填的土壤层进行平整、防止雨水冲涮，减少土壤损失。</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（2）水土流失防治措施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在开采区、</w:t>
            </w:r>
            <w:r>
              <w:rPr>
                <w:rFonts w:hint="default" w:ascii="Times New Roman" w:hAnsi="Times New Roman" w:eastAsia="仿宋" w:cs="Times New Roman"/>
                <w:color w:val="auto"/>
                <w:sz w:val="24"/>
                <w:szCs w:val="24"/>
                <w:lang w:eastAsia="zh-CN"/>
              </w:rPr>
              <w:t>废石</w:t>
            </w:r>
            <w:r>
              <w:rPr>
                <w:rFonts w:hint="default" w:ascii="Times New Roman" w:hAnsi="Times New Roman" w:eastAsia="仿宋" w:cs="Times New Roman"/>
                <w:color w:val="auto"/>
                <w:sz w:val="24"/>
                <w:szCs w:val="24"/>
                <w:lang w:val="en-US" w:eastAsia="zh-CN"/>
              </w:rPr>
              <w:t>堆放场</w:t>
            </w:r>
            <w:r>
              <w:rPr>
                <w:rFonts w:hint="default" w:ascii="Times New Roman" w:hAnsi="Times New Roman" w:eastAsia="仿宋" w:cs="Times New Roman"/>
                <w:color w:val="auto"/>
                <w:sz w:val="24"/>
                <w:szCs w:val="24"/>
              </w:rPr>
              <w:t>四周设置截排水沟拦截洪水进入采场，减小洪水对露天采场的冲刷。</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采场内部设置临时排水沟，便于采场内雨水及时排出采场，也防止边坡受雨水浸泡而发生坍塌。</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在采场周边根据地形条件栽植防护林，控制采场区风速以减小风蚀，同时减缓采矿粉尘排放对空气环境的影响。</w:t>
            </w:r>
          </w:p>
          <w:p>
            <w:pPr>
              <w:pStyle w:val="35"/>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eastAsia="zh-CN"/>
              </w:rPr>
              <w:t>废石堆场</w:t>
            </w:r>
            <w:r>
              <w:rPr>
                <w:rFonts w:hint="default" w:ascii="Times New Roman" w:hAnsi="Times New Roman" w:eastAsia="仿宋" w:cs="Times New Roman"/>
                <w:color w:val="auto"/>
                <w:sz w:val="24"/>
                <w:szCs w:val="24"/>
              </w:rPr>
              <w:t>四周采用填土草袋围护，顶部采用篷布遮盖，减少雨水的冲蚀，降低水土流失量。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及时关注天气变化，暴雨来临前对开采作业面、堆土场进行遮盖，减少水土流失量。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（3）矿山地质环境保护</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严格控制工作面台段高度、工作面坡面角、安全平台宽度等，严格控废料场堆放高度、坡度等参数。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严禁重载车辆在开采平台外缘行驶，防止压垮边坡。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规划的废料场应就近集中堆放，避免洪水冲击，合理地形及安息角的原则，保证弃土岩石不因滚石、滑坡、塌方等威胁采矿场和其他矿山设施及建筑。不宜设在工程地质或水文地质条件不良的地带，如地基不良而影响安全时，应采取有效措施，甚至弃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露天采矿过程中，严格按划定的矿区范围开挖，不得随意扩大开挖范围，按设计要求开挖采场边坡，禁止超过设计边坡稳定角。</w:t>
            </w:r>
          </w:p>
          <w:p>
            <w:pPr>
              <w:adjustRightInd w:val="0"/>
              <w:snapToGrid w:val="0"/>
              <w:ind w:firstLine="42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（4）</w:t>
            </w:r>
            <w:r>
              <w:rPr>
                <w:rFonts w:hint="default" w:ascii="Times New Roman" w:hAnsi="Times New Roman" w:eastAsia="仿宋" w:cs="Times New Roman"/>
                <w:color w:val="auto"/>
                <w:sz w:val="24"/>
                <w:szCs w:val="24"/>
                <w:lang w:val="en-US" w:eastAsia="zh-CN"/>
              </w:rPr>
              <w:t>生态复垦方案</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①</w:t>
            </w:r>
            <w:r>
              <w:rPr>
                <w:rFonts w:hint="default" w:ascii="Times New Roman" w:hAnsi="Times New Roman" w:eastAsia="仿宋" w:cs="Times New Roman"/>
                <w:color w:val="auto"/>
                <w:sz w:val="24"/>
                <w:szCs w:val="24"/>
              </w:rPr>
              <w:t>根据采矿地质条件、发展远景及当地具体情况，制定矿山土地恢复计划。该计划要纳入矿山设计中的开采、排弃计划，其内容包括利用土地的方式、采矿恢复方法、回填岩石顺序等，且与生产建设统一规划，边开采边恢复。</w:t>
            </w:r>
          </w:p>
          <w:p>
            <w:pPr>
              <w:adjustRightInd w:val="0"/>
              <w:snapToGrid w:val="0"/>
              <w:ind w:firstLine="42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②矿山共占用及破坏土地面积</w:t>
            </w:r>
            <w:r>
              <w:rPr>
                <w:rFonts w:hint="default" w:ascii="Times New Roman" w:hAnsi="Times New Roman" w:eastAsia="仿宋" w:cs="Times New Roman"/>
                <w:color w:val="auto"/>
                <w:sz w:val="24"/>
                <w:szCs w:val="24"/>
              </w:rPr>
              <w:t>为</w:t>
            </w:r>
            <w:r>
              <w:rPr>
                <w:rFonts w:hint="eastAsia" w:eastAsia="仿宋" w:cs="Times New Roman"/>
                <w:color w:val="auto"/>
                <w:sz w:val="24"/>
                <w:szCs w:val="24"/>
                <w:lang w:val="en-US" w:eastAsia="zh-CN"/>
              </w:rPr>
              <w:t>299200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复垦土地范围</w:t>
            </w:r>
            <w:r>
              <w:rPr>
                <w:rFonts w:hint="eastAsia" w:eastAsia="仿宋" w:cs="Times New Roman"/>
                <w:color w:val="auto"/>
                <w:sz w:val="24"/>
                <w:szCs w:val="24"/>
                <w:lang w:val="en-US" w:eastAsia="zh-CN"/>
              </w:rPr>
              <w:t>包括</w:t>
            </w:r>
            <w:r>
              <w:rPr>
                <w:rFonts w:hint="default" w:ascii="Times New Roman" w:hAnsi="Times New Roman" w:eastAsia="仿宋" w:cs="Times New Roman"/>
                <w:color w:val="auto"/>
                <w:sz w:val="24"/>
                <w:szCs w:val="24"/>
                <w:lang w:val="en-US" w:eastAsia="zh-CN"/>
              </w:rPr>
              <w:t>采矿场、废石堆放场、生活区、矿山道路等，复垦土地面积为</w:t>
            </w:r>
            <w:r>
              <w:rPr>
                <w:rFonts w:hint="eastAsia" w:eastAsia="仿宋" w:cs="Times New Roman"/>
                <w:color w:val="auto"/>
                <w:sz w:val="24"/>
                <w:szCs w:val="24"/>
                <w:lang w:val="en-US" w:eastAsia="zh-CN"/>
              </w:rPr>
              <w:t>299200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val="en-US" w:eastAsia="zh-CN"/>
              </w:rPr>
              <w:t>。因此，本矿山闭坑后土地复垦率为100%</w:t>
            </w:r>
            <w:r>
              <w:rPr>
                <w:rFonts w:hint="eastAsia" w:eastAsia="仿宋" w:cs="Times New Roman"/>
                <w:color w:val="auto"/>
                <w:sz w:val="24"/>
                <w:szCs w:val="24"/>
                <w:lang w:val="en-US" w:eastAsia="zh-CN"/>
              </w:rPr>
              <w:t>，</w:t>
            </w:r>
            <w:r>
              <w:rPr>
                <w:rFonts w:hint="default" w:ascii="Times New Roman" w:hAnsi="Times New Roman" w:eastAsia="仿宋" w:cs="Times New Roman"/>
                <w:color w:val="auto"/>
                <w:sz w:val="24"/>
                <w:szCs w:val="24"/>
              </w:rPr>
              <w:t>边坡</w:t>
            </w:r>
            <w:r>
              <w:rPr>
                <w:rFonts w:hint="default" w:ascii="Times New Roman" w:hAnsi="Times New Roman" w:eastAsia="仿宋" w:cs="Times New Roman"/>
                <w:color w:val="auto"/>
                <w:sz w:val="24"/>
                <w:szCs w:val="24"/>
                <w:lang w:val="en-US" w:eastAsia="zh-CN"/>
              </w:rPr>
              <w:t>治理率应达到100%。</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土地复垦措施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原则</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按照“谁受益、谁保护、谁治理，边开采边治理恢复、终止采矿活动时必须完成治理恢复”总原则，矿山服务年限为</w:t>
            </w:r>
            <w:r>
              <w:rPr>
                <w:rFonts w:hint="eastAsia" w:eastAsia="仿宋" w:cs="Times New Roman"/>
                <w:color w:val="auto"/>
                <w:sz w:val="24"/>
                <w:szCs w:val="24"/>
                <w:lang w:val="en-US" w:eastAsia="zh-CN"/>
              </w:rPr>
              <w:t>2.74</w:t>
            </w:r>
            <w:r>
              <w:rPr>
                <w:rFonts w:hint="default" w:ascii="Times New Roman" w:hAnsi="Times New Roman" w:eastAsia="仿宋" w:cs="Times New Roman"/>
                <w:color w:val="auto"/>
                <w:sz w:val="24"/>
                <w:szCs w:val="24"/>
              </w:rPr>
              <w:t>年，根据矿区实际情况制定近期目标远期规划目标，保证矿区生态环境良性发展。具体原则为：</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A、“预防为主”的原则：针对存在的地质环境问题，制定矿区生态环境治理方案，以达到减灾的目的；</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B、“边开采边治理恢复”的原则：在开采过程中加强灾害的检测，对矿山开采造成的地质灾害隐患发现多少处理多少，保护矿区地质环境的安全;</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C、全面规划与重点防治相结合的原则，针对可能发生的地质灾害分布规律，合理规划矿山生产设施布局，对重点地段实施防治工程。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D、“终止采矿时必须完成治理恢复”的原则：矿山开采结束后，要对矿山开采造成的对地质环境的破坏进行全面的治理恢复，最大限度降低矿业开发对地质环境的破坏。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目标</w:t>
            </w:r>
          </w:p>
          <w:p>
            <w:pPr>
              <w:pStyle w:val="35"/>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采矿过程中通过对地质灾害的防治与监测，防止其对采矿设备及人员造成伤害。最终要将采矿区恢复到安全状态，采坑边坡清理、削坡至安全状态（30°）将废渣石堆放场中废渣石回填采矿坑，恢复采场的部分地表形态。清理拆除废旧房屋并清理平整其占地，尽可能恢复原有的地形地貌；恢复治理工作必须符合矿山安全、水土保持和环境保护工作的有关规定。</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复垦责任范围</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w:t>
            </w:r>
            <w:r>
              <w:rPr>
                <w:rFonts w:hint="eastAsia" w:eastAsia="仿宋" w:cs="Times New Roman"/>
                <w:color w:val="auto"/>
                <w:sz w:val="24"/>
                <w:szCs w:val="24"/>
                <w:lang w:val="en-US" w:eastAsia="zh-CN"/>
              </w:rPr>
              <w:t>扰动区</w:t>
            </w:r>
            <w:r>
              <w:rPr>
                <w:rFonts w:hint="default" w:ascii="Times New Roman" w:hAnsi="Times New Roman" w:eastAsia="仿宋" w:cs="Times New Roman"/>
                <w:color w:val="auto"/>
                <w:sz w:val="24"/>
                <w:szCs w:val="24"/>
              </w:rPr>
              <w:t>面积为</w:t>
            </w:r>
            <w:r>
              <w:rPr>
                <w:rFonts w:hint="eastAsia" w:eastAsia="仿宋" w:cs="Times New Roman"/>
                <w:color w:val="auto"/>
                <w:sz w:val="24"/>
                <w:szCs w:val="24"/>
                <w:lang w:val="en-US" w:eastAsia="zh-CN"/>
              </w:rPr>
              <w:t>0.2992</w:t>
            </w:r>
            <w:r>
              <w:rPr>
                <w:rFonts w:hint="default" w:ascii="Times New Roman" w:hAnsi="Times New Roman" w:eastAsia="仿宋" w:cs="Times New Roman"/>
                <w:color w:val="auto"/>
                <w:sz w:val="24"/>
                <w:szCs w:val="24"/>
                <w:lang w:val="en-US" w:eastAsia="zh-CN"/>
              </w:rPr>
              <w:t>km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，对规划的地面建设工程主要包括生活区、工业广场、废石场、矿山道路，主要以占用土地为主，场地较为平整。</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土地复垦适宜性</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土地的复垦方向为恢复土地的适用功能。土地复垦适宜性评价为不适宜。对于矿山开采形成采坑区，可恢复原有地形地貌，土地复垦适宜性为难利用。</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土地复垦质量要求</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根据土地复垦适宜性评价得出，采坑区无植被覆盖。根据《土地复垦质量控制标准》（TD/T1036-2013），指定下列土地复垦质量标准。</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A首先应保证复垦区安全，杜绝地质灾害发生，防护工程要求满足《滑坡防治工程设计与施工技术规范》（DZ/T0220-2006）；</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B有效控制污染和水土流失，保证安全，复垦后无废石和污染物；</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C对露天开采采坑形成的坡面进行平整，禁止形成局部凸起或凹陷，有控制</w:t>
            </w:r>
            <w:r>
              <w:rPr>
                <w:rFonts w:hint="default" w:ascii="Times New Roman" w:hAnsi="Times New Roman" w:eastAsia="仿宋" w:cs="Times New Roman"/>
                <w:color w:val="auto"/>
                <w:sz w:val="24"/>
                <w:szCs w:val="24"/>
                <w:lang w:val="en-US" w:eastAsia="zh-CN"/>
              </w:rPr>
              <w:t>污染</w:t>
            </w:r>
            <w:r>
              <w:rPr>
                <w:rFonts w:hint="default" w:ascii="Times New Roman" w:hAnsi="Times New Roman" w:eastAsia="仿宋" w:cs="Times New Roman"/>
                <w:color w:val="auto"/>
                <w:sz w:val="24"/>
                <w:szCs w:val="24"/>
              </w:rPr>
              <w:t>和水土流失的措施；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D将废石堆场废石拉运至采坑进行回填，确保边坡的稳定。</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E因地制宜，复垦后基本恢复与周边地貌景观相协调及土地使用功能。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矿山地质灾害预防措施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矿山地质灾害主要表现在露天开采形成高陡边坡，可能遭受、引发和加剧的崩塌、滑坡。根据矿区地质灾害特点，有针对性的提出工程治理措施。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A严格控制工作面台段高度、工作面坡面角、安全平台宽度等，严格控废料场堆放高度、坡度等参数。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C严禁重载车辆在开采平台外缘行驶，防止压垮边坡。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D露天采场开采前，按照开发利用方案设计的工作程序及要求，彻底清理矿山采场内外的废渣石，为下步开采设施提供场地。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根据矿山现场表层覆盖物厚度、面积，矿体赋存状况及资源量和地形形态特征，正确、合理估算压覆矿量及剥离量，计算局部地段剥采比，权衡采矿经济效益与破坏土地损失及恢复治理的费用，因地制宜，确定是否弃采。</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F规划的废料场应就近集中堆放，避免洪水冲击，合理地形及安息角的原则，保证弃土岩石不因滚石、滑坡、塌方等威胁采矿场和其他矿山设施及建筑。不宜设在工程地质或水文地质条件不良的地带，如地基不良而影响安全时，应采取有效措施，甚至弃设。弃土堆积安息角应小于30°，废料场地面坡角若大于1：5时，应将地基削成阶梯状，并清除全部软弱层，避免成为矿山泥石流重大危险源，必要时设置拦墙。</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G本矿山运输公路充分利用周边原有的修护加固，如必须新建时，也要尽量避开土壤层，避免因修建压占更多土地。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H完成采场及堆料场修建周边铁丝网围栏及警示牌的设置，达到警示、避绕的目标。</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7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⑦</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土地复垦方案及措施</w:t>
            </w:r>
          </w:p>
          <w:p>
            <w:pPr>
              <w:pStyle w:val="35"/>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通过矿山开采对土地的破坏类型、破坏程度的调查预测，结合矿山所在地区的地址环境条件，矿山土地类型为裸岩石砾地。</w:t>
            </w:r>
          </w:p>
          <w:p>
            <w:pPr>
              <w:pStyle w:val="35"/>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闭矿期对矿区进行土地复垦，其中包括生活区、工业广场、矿山道路等山地上工程进行拆除建筑，平整土地，基本恢复原始地貌状态。矿山开采过程中形成的矿坑，根据矿山地址环境现状及土地规划进行平整。土地复垦方案实施应做到以下几点：</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A组织管理</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依据“谁破坏、谁复垦”的土地复垦原则，自觉承担矿区土地复垦的责任和义务。按照“统一规划、源头控制、防复结合”要求，尽量控制或减少对土地资源不必要的破坏，做到土地复垦与生产建设统一规划，把土地复垦指标纳入生产建设计划。建设单位法人代表即为土地复垦第一责任人，并派专人负责该矿的土地复垦工作。</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B技术服务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土地复垦方案实施阶段，对各种复垦措施进行专项技术施工设计，设计人员进入现场进行指导；土地复垦时采用先进的施工手段和合理的施工工序；加强复垦技术培训工作，提高复垦的管理能力，保证土地复垦工作顺利进行，在复垦方案实施后，加强其后期的管理抚育工作，充分体现复垦后的生态效益、经济效益和社会效益。</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表土剥离：表层土壤是经过多年植物作用而形成的熟化土壤，是深层生土所不能替代的，对于植物种子萌发和幼苗生长有着重要作用。露天开采前，把矿区拟破坏的露天采矿场熟化的表土（主要为0~0.5m的表土）进行剥离，用汽车运输至堆料场单独堆放，闭矿后作为露天采场的复垦用土；</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D土地整治</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服务期满后</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rPr>
              <w:t>：采用机械、人工等方式对采场边坡进行清理，清除松动、凸起的碎（块）石，对平台进行人工、机械平整，清除场地内较大石块，对建筑物进行拆除，对运输道路进行平整、回填等；</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E覆土</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服务期满后</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rPr>
              <w:t>：对平整后的平台场地穴状坑及采场边坡平台进行覆土，覆土来源为矿山开采时剥离的表土，也可购买一定量的营养土用于土地复垦；</w:t>
            </w:r>
          </w:p>
          <w:p>
            <w:pPr>
              <w:adjustRightInd w:val="0"/>
              <w:snapToGrid w:val="0"/>
              <w:ind w:firstLine="420"/>
              <w:jc w:val="left"/>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F</w:t>
            </w:r>
            <w:r>
              <w:rPr>
                <w:rFonts w:hint="default" w:ascii="Times New Roman" w:hAnsi="Times New Roman" w:eastAsia="仿宋" w:cs="Times New Roman"/>
                <w:color w:val="auto"/>
                <w:sz w:val="24"/>
                <w:szCs w:val="24"/>
              </w:rPr>
              <w:t>预留复垦费用，建设单位必须留有足够的资金以备闭矿期的土地复垦工作，使</w:t>
            </w:r>
            <w:r>
              <w:rPr>
                <w:rFonts w:hint="eastAsia" w:eastAsia="仿宋" w:cs="Times New Roman"/>
                <w:color w:val="auto"/>
                <w:sz w:val="24"/>
                <w:szCs w:val="24"/>
                <w:lang w:eastAsia="zh-CN"/>
              </w:rPr>
              <w:t>受到破坏</w:t>
            </w:r>
            <w:r>
              <w:rPr>
                <w:rFonts w:hint="default" w:ascii="Times New Roman" w:hAnsi="Times New Roman" w:eastAsia="仿宋" w:cs="Times New Roman"/>
                <w:color w:val="auto"/>
                <w:sz w:val="24"/>
                <w:szCs w:val="24"/>
              </w:rPr>
              <w:t>的土地尽量恢复其本来功能，使矿区开采对区域生态的影响控制在可接受的范围内，保持区域内生态环境的平衡。</w:t>
            </w:r>
          </w:p>
          <w:p>
            <w:pPr>
              <w:adjustRightInd w:val="0"/>
              <w:snapToGrid w:val="0"/>
              <w:ind w:firstLine="42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（5）矿区开采期间的生态恢复建设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采矿场占地是非经治理再无法使用的土地，恢复废弃地的生产力是维护</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可持续发展的重要内容。</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高度重视原有地表对维护本区生态稳定的重要性，加强对施工队伍的宣传、教育和管理。作好施工组织规划工作，严禁将建设施工材料乱堆乱放，划定适宜的堆料场及生活区等临时性场所，以防止破坏的范围增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硬化厂区地面，厂区门口到原料库的道路及厂区内其他区域车辆行驶路线必须硬化，并派专人负责厂区地面的清扫和洒水保湿。加强入厂车辆司机环保意识，严禁厂区机动车辆高速行驶，尽量避免二次扬尘的产生</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③合理安排运输时间，避免夜间运送，限制汽车鸣笛，车辆经过敏感点时要慢行，并且禁鸣，减少车辆噪声对道路沿线的影响。</w:t>
            </w:r>
          </w:p>
          <w:p>
            <w:pPr>
              <w:keepNext w:val="0"/>
              <w:keepLines w:val="0"/>
              <w:pageBreakBefore w:val="0"/>
              <w:widowControl w:val="0"/>
              <w:kinsoku/>
              <w:wordWrap/>
              <w:overflowPunct/>
              <w:topLinePunct w:val="0"/>
              <w:autoSpaceDE/>
              <w:autoSpaceDN/>
              <w:bidi w:val="0"/>
              <w:adjustRightInd/>
              <w:snapToGrid/>
              <w:ind w:firstLine="42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④在开采过程中要做到边开采边恢复，对坑洼地面进行平整，根据项目区特点尽量恢复原有状态。</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6</w:t>
            </w:r>
            <w:r>
              <w:rPr>
                <w:rFonts w:hint="eastAsia" w:ascii="Times New Roman" w:hAnsi="Times New Roman" w:eastAsia="仿宋" w:cs="Times New Roman"/>
                <w:color w:val="auto"/>
                <w:sz w:val="24"/>
                <w:szCs w:val="24"/>
                <w:lang w:eastAsia="zh-CN"/>
              </w:rPr>
              <w:t>）闭矿期生态保护措施</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开采结束即闭矿后为减缓矿区闭矿后的影响，提出如下措施：</w:t>
            </w:r>
          </w:p>
          <w:p>
            <w:pPr>
              <w:numPr>
                <w:ilvl w:val="0"/>
                <w:numId w:val="5"/>
              </w:num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项目闭场后，</w:t>
            </w:r>
            <w:r>
              <w:rPr>
                <w:rFonts w:hint="eastAsia" w:ascii="Times New Roman" w:hAnsi="Times New Roman" w:eastAsia="仿宋" w:cs="Times New Roman"/>
                <w:color w:val="auto"/>
                <w:sz w:val="24"/>
                <w:szCs w:val="24"/>
                <w:lang w:val="en-US" w:eastAsia="zh-CN"/>
              </w:rPr>
              <w:t>对露天采场采取场地平整，避免形成局部凸、凹地形，有效控制水土流失，对于边坡存在的凸出体或不稳定斜坡，及时采用机械</w:t>
            </w:r>
            <w:r>
              <w:rPr>
                <w:rFonts w:hint="eastAsia" w:eastAsia="仿宋" w:cs="Times New Roman"/>
                <w:color w:val="auto"/>
                <w:sz w:val="24"/>
                <w:szCs w:val="24"/>
                <w:lang w:val="en-US" w:eastAsia="zh-CN"/>
              </w:rPr>
              <w:t>定点清除</w:t>
            </w:r>
            <w:r>
              <w:rPr>
                <w:rFonts w:hint="eastAsia" w:ascii="Times New Roman" w:hAnsi="Times New Roman" w:eastAsia="仿宋" w:cs="Times New Roman"/>
                <w:color w:val="auto"/>
                <w:sz w:val="24"/>
                <w:szCs w:val="24"/>
                <w:lang w:val="en-US" w:eastAsia="zh-CN"/>
              </w:rPr>
              <w:t>，减少地质灾害的发生。</w:t>
            </w:r>
          </w:p>
          <w:p>
            <w:pPr>
              <w:numPr>
                <w:ilvl w:val="0"/>
                <w:numId w:val="5"/>
              </w:num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在可能诱发的坍塌、塌陷、滑坡、泥石流的区域外围设立多文字的警示标志和防护网，禁止靠近。</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临建</w:t>
            </w:r>
            <w:r>
              <w:rPr>
                <w:rFonts w:hint="eastAsia" w:ascii="Times New Roman" w:hAnsi="Times New Roman" w:eastAsia="仿宋" w:cs="Times New Roman"/>
                <w:color w:val="auto"/>
                <w:sz w:val="24"/>
                <w:szCs w:val="24"/>
                <w:lang w:eastAsia="zh-CN"/>
              </w:rPr>
              <w:t>道路</w:t>
            </w:r>
            <w:r>
              <w:rPr>
                <w:rFonts w:hint="eastAsia" w:eastAsia="仿宋" w:cs="Times New Roman"/>
                <w:color w:val="auto"/>
                <w:sz w:val="24"/>
                <w:szCs w:val="24"/>
                <w:lang w:eastAsia="zh-CN"/>
              </w:rPr>
              <w:t>进行</w:t>
            </w:r>
            <w:r>
              <w:rPr>
                <w:rFonts w:hint="eastAsia" w:ascii="Times New Roman" w:hAnsi="Times New Roman" w:eastAsia="仿宋" w:cs="Times New Roman"/>
                <w:color w:val="auto"/>
                <w:sz w:val="24"/>
                <w:szCs w:val="24"/>
                <w:lang w:val="en-US" w:eastAsia="zh-CN"/>
              </w:rPr>
              <w:t>土地平整，避免形成局部凸起或凹陷，有效控制水土流失。</w:t>
            </w:r>
          </w:p>
          <w:p>
            <w:pPr>
              <w:numPr>
                <w:ilvl w:val="0"/>
                <w:numId w:val="0"/>
              </w:numPr>
              <w:adjustRightInd w:val="0"/>
              <w:snapToGrid w:val="0"/>
              <w:ind w:leftChars="200"/>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主要环保措施应包含以下内容：</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eastAsia="仿宋" w:cs="Times New Roman"/>
                <w:color w:val="auto"/>
                <w:sz w:val="24"/>
                <w:szCs w:val="24"/>
                <w:lang w:val="en-US" w:eastAsia="zh-CN"/>
              </w:rPr>
              <w:t>①</w:t>
            </w:r>
            <w:r>
              <w:rPr>
                <w:rFonts w:hint="eastAsia" w:ascii="Times New Roman" w:hAnsi="Times New Roman" w:eastAsia="仿宋" w:cs="Times New Roman"/>
                <w:color w:val="auto"/>
                <w:sz w:val="24"/>
                <w:szCs w:val="24"/>
                <w:lang w:eastAsia="zh-CN"/>
              </w:rPr>
              <w:t>企业在闭矿时废石堆场的废石料全部回填至采矿坑，场地平整，边坡修整。</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eastAsia="仿宋" w:cs="Times New Roman"/>
                <w:color w:val="auto"/>
                <w:sz w:val="24"/>
                <w:szCs w:val="24"/>
                <w:lang w:val="en-US" w:eastAsia="zh-CN"/>
              </w:rPr>
              <w:t>②</w:t>
            </w:r>
            <w:r>
              <w:rPr>
                <w:rFonts w:hint="eastAsia" w:ascii="Times New Roman" w:hAnsi="Times New Roman" w:eastAsia="仿宋" w:cs="Times New Roman"/>
                <w:color w:val="auto"/>
                <w:sz w:val="24"/>
                <w:szCs w:val="24"/>
                <w:lang w:eastAsia="zh-CN"/>
              </w:rPr>
              <w:t>闭矿时对软弱岩层边坡尽量推平、压实，压实后，洒水使其结皮，以防风蚀。</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采取以上措施后，闭矿期对环境影响较小。</w:t>
            </w:r>
          </w:p>
          <w:p>
            <w:pPr>
              <w:adjustRightInd w:val="0"/>
              <w:snapToGrid w:val="0"/>
              <w:ind w:firstLine="462"/>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2、大气环境保护措施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eastAsia" w:ascii="Times New Roman" w:hAnsi="Times New Roman"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1</w:t>
            </w:r>
            <w:r>
              <w:rPr>
                <w:rFonts w:hint="eastAsia"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开采粉尘</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开采过程中产生的粉尘，建设单位拟通过设置2台雾炮机在采矿作业时进行洒水，采取湿式作业的方式来降低粉尘的产生量，可实现抑尘率达80%，不会对环境造成明显的影响，处理措施可行。</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eastAsia" w:ascii="Times New Roman" w:hAnsi="Times New Roman"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2</w:t>
            </w:r>
            <w:r>
              <w:rPr>
                <w:rFonts w:hint="eastAsia"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道路扬尘</w:t>
            </w:r>
          </w:p>
          <w:p>
            <w:pPr>
              <w:adjustRightInd w:val="0"/>
              <w:snapToGrid w:val="0"/>
              <w:ind w:firstLine="460"/>
              <w:jc w:val="left"/>
              <w:rPr>
                <w:rFonts w:hint="default" w:ascii="Times New Roman" w:hAnsi="Times New Roman" w:eastAsia="仿宋" w:cs="Times New Roman"/>
                <w:bCs/>
                <w:color w:val="auto"/>
                <w:spacing w:val="10"/>
                <w:sz w:val="24"/>
                <w:szCs w:val="24"/>
                <w:highlight w:val="yellow"/>
              </w:rPr>
            </w:pPr>
            <w:r>
              <w:rPr>
                <w:rFonts w:hint="default" w:ascii="Times New Roman" w:hAnsi="Times New Roman" w:eastAsia="仿宋" w:cs="Times New Roman"/>
                <w:bCs/>
                <w:color w:val="auto"/>
                <w:spacing w:val="10"/>
                <w:sz w:val="24"/>
                <w:szCs w:val="24"/>
                <w:highlight w:val="none"/>
              </w:rPr>
              <w:t>本项目</w:t>
            </w:r>
            <w:r>
              <w:rPr>
                <w:rFonts w:hint="default" w:ascii="Times New Roman" w:hAnsi="Times New Roman" w:eastAsia="仿宋" w:cs="Times New Roman"/>
                <w:bCs/>
                <w:color w:val="auto"/>
                <w:spacing w:val="10"/>
                <w:sz w:val="24"/>
                <w:szCs w:val="24"/>
                <w:highlight w:val="none"/>
                <w:lang w:eastAsia="zh-CN"/>
              </w:rPr>
              <w:t>砂石矿</w:t>
            </w:r>
            <w:r>
              <w:rPr>
                <w:rFonts w:hint="default" w:ascii="Times New Roman" w:hAnsi="Times New Roman" w:eastAsia="仿宋" w:cs="Times New Roman"/>
                <w:bCs/>
                <w:color w:val="auto"/>
                <w:spacing w:val="10"/>
                <w:sz w:val="24"/>
                <w:szCs w:val="24"/>
                <w:highlight w:val="none"/>
              </w:rPr>
              <w:t>采用自卸汽车运输，在运输及装卸车过程中会有扬尘产生，其产生量与物料湿度、大气状况等有关，特别是在少雨、干燥、风速较大时，这类扬尘对空气环境影响较大。本项目对运输道路采用碎石硬化，并用洒水车每日洒水</w:t>
            </w:r>
            <w:r>
              <w:rPr>
                <w:rFonts w:hint="eastAsia" w:ascii="Times New Roman" w:hAnsi="Times New Roman"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rPr>
              <w:t>次，对道路洒水保持润湿，矿石运输时采用</w:t>
            </w:r>
            <w:r>
              <w:rPr>
                <w:rFonts w:hint="default" w:ascii="Times New Roman" w:hAnsi="Times New Roman" w:eastAsia="仿宋" w:cs="Times New Roman"/>
                <w:bCs/>
                <w:color w:val="auto"/>
                <w:spacing w:val="10"/>
                <w:sz w:val="24"/>
                <w:szCs w:val="24"/>
                <w:highlight w:val="none"/>
                <w:lang w:eastAsia="zh-CN"/>
              </w:rPr>
              <w:t>篷布</w:t>
            </w:r>
            <w:r>
              <w:rPr>
                <w:rFonts w:hint="default" w:ascii="Times New Roman" w:hAnsi="Times New Roman" w:eastAsia="仿宋" w:cs="Times New Roman"/>
                <w:bCs/>
                <w:color w:val="auto"/>
                <w:spacing w:val="10"/>
                <w:sz w:val="24"/>
                <w:szCs w:val="24"/>
                <w:highlight w:val="none"/>
              </w:rPr>
              <w:t>遮盖，限制超载，保持低速行驶，在采取以上防治措施后，抑尘率可达80%。</w:t>
            </w:r>
          </w:p>
          <w:p>
            <w:pPr>
              <w:adjustRightInd w:val="0"/>
              <w:snapToGrid w:val="0"/>
              <w:ind w:firstLine="420"/>
              <w:jc w:val="left"/>
              <w:rPr>
                <w:rFonts w:hint="default" w:ascii="Times New Roman" w:hAnsi="Times New Roman" w:eastAsia="仿宋" w:cs="Times New Roman"/>
                <w:bCs/>
                <w:color w:val="auto"/>
                <w:spacing w:val="10"/>
                <w:sz w:val="24"/>
                <w:szCs w:val="24"/>
                <w:highlight w:val="none"/>
              </w:rPr>
            </w:pPr>
            <w:r>
              <w:rPr>
                <w:rFonts w:hint="eastAsia" w:ascii="Times New Roman" w:hAnsi="Times New Roman"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3</w:t>
            </w:r>
            <w:r>
              <w:rPr>
                <w:rFonts w:hint="eastAsia"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装卸车扬尘</w:t>
            </w:r>
          </w:p>
          <w:p>
            <w:pPr>
              <w:pStyle w:val="35"/>
              <w:ind w:firstLine="460"/>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装、卸车扬尘均是由于装、卸过程中的落差产生的。对于大粒径的扬尘来说，扩散的距离不大。建设单位在装卸车时采用雾炮机喷洒降尘，除尘效率约为80%，可明显降低粉尘的产生量。</w:t>
            </w:r>
          </w:p>
          <w:p>
            <w:pPr>
              <w:adjustRightInd w:val="0"/>
              <w:snapToGrid w:val="0"/>
              <w:ind w:firstLine="420"/>
              <w:jc w:val="left"/>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4</w:t>
            </w:r>
            <w:r>
              <w:rPr>
                <w:rFonts w:hint="eastAsia"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color w:val="auto"/>
                <w:sz w:val="24"/>
                <w:szCs w:val="24"/>
                <w:highlight w:val="none"/>
              </w:rPr>
              <w:t>筛分粉尘</w:t>
            </w:r>
          </w:p>
          <w:p>
            <w:pPr>
              <w:pStyle w:val="36"/>
              <w:numPr>
                <w:ilvl w:val="0"/>
                <w:numId w:val="0"/>
              </w:numPr>
              <w:spacing w:line="360" w:lineRule="auto"/>
              <w:ind w:firstLine="480" w:firstLineChars="200"/>
              <w:jc w:val="both"/>
              <w:rPr>
                <w:rFonts w:hint="eastAsia" w:ascii="Times New Roman" w:hAnsi="Times New Roman" w:eastAsia="仿宋" w:cs="Times New Roman"/>
                <w:color w:val="auto"/>
                <w:sz w:val="24"/>
                <w:szCs w:val="24"/>
                <w:highlight w:val="yellow"/>
                <w:lang w:val="en-US" w:eastAsia="zh-CN"/>
              </w:rPr>
            </w:pPr>
            <w:r>
              <w:rPr>
                <w:rFonts w:hint="default" w:ascii="Times New Roman" w:hAnsi="Times New Roman" w:eastAsia="仿宋" w:cs="Times New Roman"/>
                <w:color w:val="auto"/>
                <w:sz w:val="24"/>
                <w:szCs w:val="24"/>
                <w:highlight w:val="none"/>
                <w:lang w:val="en-US" w:eastAsia="zh-CN"/>
              </w:rPr>
              <w:t>项目采取在筛分机设置喷淋设施加大石料表面含水率，同时实行半封闭处理，</w:t>
            </w:r>
            <w:r>
              <w:rPr>
                <w:rFonts w:hint="eastAsia" w:ascii="Times New Roman" w:hAnsi="Times New Roman" w:eastAsia="仿宋" w:cs="Times New Roman"/>
                <w:bCs/>
                <w:color w:val="auto"/>
                <w:spacing w:val="10"/>
                <w:sz w:val="24"/>
                <w:szCs w:val="24"/>
                <w:highlight w:val="none"/>
                <w:lang w:val="en-US" w:eastAsia="zh-CN"/>
              </w:rPr>
              <w:t>筛分工段产生的粉尘采取在受料点、筛分机下料点进行水喷淋，加大砂石料表面含水率，</w:t>
            </w:r>
            <w:r>
              <w:rPr>
                <w:rFonts w:hint="default" w:ascii="Times New Roman" w:hAnsi="Times New Roman" w:eastAsia="仿宋" w:cs="Times New Roman"/>
                <w:color w:val="auto"/>
                <w:sz w:val="24"/>
                <w:szCs w:val="24"/>
                <w:highlight w:val="none"/>
                <w:lang w:val="en-US" w:eastAsia="zh-CN"/>
              </w:rPr>
              <w:t>除尘效率可达到80%</w:t>
            </w:r>
            <w:r>
              <w:rPr>
                <w:rFonts w:hint="eastAsia"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bCs/>
                <w:color w:val="auto"/>
                <w:spacing w:val="10"/>
                <w:sz w:val="24"/>
                <w:szCs w:val="24"/>
                <w:highlight w:val="none"/>
              </w:rPr>
              <w:t>可明显降低粉尘的产生量</w:t>
            </w:r>
            <w:r>
              <w:rPr>
                <w:rFonts w:hint="eastAsia" w:ascii="Times New Roman" w:hAnsi="Times New Roman" w:eastAsia="仿宋" w:cs="Times New Roman"/>
                <w:bCs/>
                <w:color w:val="auto"/>
                <w:spacing w:val="10"/>
                <w:sz w:val="24"/>
                <w:szCs w:val="24"/>
                <w:highlight w:val="none"/>
                <w:lang w:eastAsia="zh-CN"/>
              </w:rPr>
              <w:t>。</w:t>
            </w:r>
          </w:p>
          <w:p>
            <w:pPr>
              <w:adjustRightInd w:val="0"/>
              <w:snapToGrid w:val="0"/>
              <w:ind w:firstLine="420"/>
              <w:jc w:val="left"/>
              <w:rPr>
                <w:rFonts w:hint="default" w:ascii="Times New Roman" w:hAnsi="Times New Roman" w:eastAsia="仿宋" w:cs="Times New Roman"/>
                <w:bCs/>
                <w:color w:val="auto"/>
                <w:spacing w:val="10"/>
                <w:sz w:val="24"/>
                <w:szCs w:val="24"/>
                <w:highlight w:val="none"/>
                <w:lang w:eastAsia="zh-CN"/>
              </w:rPr>
            </w:pPr>
            <w:r>
              <w:rPr>
                <w:rFonts w:hint="eastAsia" w:ascii="Times New Roman" w:hAnsi="Times New Roman"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5</w:t>
            </w:r>
            <w:r>
              <w:rPr>
                <w:rFonts w:hint="eastAsia"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表土堆场、</w:t>
            </w:r>
            <w:r>
              <w:rPr>
                <w:rFonts w:hint="default" w:ascii="Times New Roman" w:hAnsi="Times New Roman" w:eastAsia="仿宋" w:cs="Times New Roman"/>
                <w:bCs/>
                <w:color w:val="auto"/>
                <w:spacing w:val="10"/>
                <w:sz w:val="24"/>
                <w:szCs w:val="24"/>
                <w:highlight w:val="none"/>
                <w:lang w:eastAsia="zh-CN"/>
              </w:rPr>
              <w:t>废石堆场</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本项目在开采区设</w:t>
            </w:r>
            <w:r>
              <w:rPr>
                <w:rFonts w:hint="default" w:ascii="Times New Roman" w:hAnsi="Times New Roman" w:eastAsia="仿宋" w:cs="Times New Roman"/>
                <w:bCs/>
                <w:color w:val="auto"/>
                <w:spacing w:val="10"/>
                <w:sz w:val="24"/>
                <w:szCs w:val="24"/>
                <w:highlight w:val="none"/>
                <w:lang w:eastAsia="zh-CN"/>
              </w:rPr>
              <w:t>废石堆场</w:t>
            </w:r>
            <w:r>
              <w:rPr>
                <w:rFonts w:hint="default" w:ascii="Times New Roman" w:hAnsi="Times New Roman" w:eastAsia="仿宋" w:cs="Times New Roman"/>
                <w:bCs/>
                <w:color w:val="auto"/>
                <w:spacing w:val="10"/>
                <w:sz w:val="24"/>
                <w:szCs w:val="24"/>
                <w:highlight w:val="none"/>
              </w:rPr>
              <w:t>1座</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占地面积</w:t>
            </w:r>
            <w:r>
              <w:rPr>
                <w:rFonts w:hint="eastAsia"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lang w:val="en-US" w:eastAsia="zh-CN"/>
              </w:rPr>
              <w:t>00</w:t>
            </w:r>
            <w:r>
              <w:rPr>
                <w:rFonts w:hint="default" w:ascii="Times New Roman" w:hAnsi="Times New Roman" w:eastAsia="仿宋" w:cs="Times New Roman"/>
                <w:bCs/>
                <w:color w:val="auto"/>
                <w:spacing w:val="10"/>
                <w:sz w:val="24"/>
                <w:szCs w:val="24"/>
                <w:highlight w:val="none"/>
              </w:rPr>
              <w:t>00m</w:t>
            </w:r>
            <w:r>
              <w:rPr>
                <w:rFonts w:hint="default" w:ascii="Times New Roman" w:hAnsi="Times New Roman" w:eastAsia="仿宋" w:cs="Times New Roman"/>
                <w:bCs/>
                <w:color w:val="auto"/>
                <w:spacing w:val="10"/>
                <w:sz w:val="24"/>
                <w:szCs w:val="24"/>
                <w:highlight w:val="none"/>
                <w:vertAlign w:val="superscript"/>
              </w:rPr>
              <w:t>2</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，主要用于废砂石的临时堆存。为了减少</w:t>
            </w:r>
            <w:r>
              <w:rPr>
                <w:rFonts w:hint="default" w:ascii="Times New Roman" w:hAnsi="Times New Roman" w:eastAsia="仿宋" w:cs="Times New Roman"/>
                <w:bCs/>
                <w:color w:val="auto"/>
                <w:spacing w:val="10"/>
                <w:sz w:val="24"/>
                <w:szCs w:val="24"/>
                <w:highlight w:val="none"/>
                <w:lang w:eastAsia="zh-CN"/>
              </w:rPr>
              <w:t>废石堆场</w:t>
            </w:r>
            <w:r>
              <w:rPr>
                <w:rFonts w:hint="default" w:ascii="Times New Roman" w:hAnsi="Times New Roman" w:eastAsia="仿宋" w:cs="Times New Roman"/>
                <w:bCs/>
                <w:color w:val="auto"/>
                <w:spacing w:val="10"/>
                <w:sz w:val="24"/>
                <w:szCs w:val="24"/>
                <w:highlight w:val="none"/>
              </w:rPr>
              <w:t>扬尘对大气环境的污染，对各料堆采用</w:t>
            </w:r>
            <w:r>
              <w:rPr>
                <w:rFonts w:hint="eastAsia" w:eastAsia="仿宋" w:cs="Times New Roman"/>
                <w:bCs/>
                <w:color w:val="auto"/>
                <w:spacing w:val="10"/>
                <w:sz w:val="24"/>
                <w:szCs w:val="24"/>
                <w:highlight w:val="none"/>
                <w:lang w:val="en-US" w:eastAsia="zh-CN"/>
              </w:rPr>
              <w:t>防尘网</w:t>
            </w:r>
            <w:r>
              <w:rPr>
                <w:rFonts w:hint="default" w:ascii="Times New Roman" w:hAnsi="Times New Roman" w:eastAsia="仿宋" w:cs="Times New Roman"/>
                <w:bCs/>
                <w:color w:val="auto"/>
                <w:spacing w:val="10"/>
                <w:sz w:val="24"/>
                <w:szCs w:val="24"/>
                <w:highlight w:val="none"/>
              </w:rPr>
              <w:t>遮盖，同时进行洒水保湿（每天至少洒水1次），抑尘效率可达80%以上。</w:t>
            </w:r>
          </w:p>
          <w:p>
            <w:pPr>
              <w:pStyle w:val="35"/>
              <w:ind w:firstLine="420"/>
              <w:rPr>
                <w:rFonts w:hint="default" w:ascii="Times New Roman" w:hAnsi="Times New Roman" w:eastAsia="仿宋" w:cs="Times New Roman"/>
                <w:bCs/>
                <w:color w:val="auto"/>
                <w:spacing w:val="10"/>
                <w:sz w:val="24"/>
                <w:szCs w:val="24"/>
                <w:highlight w:val="none"/>
              </w:rPr>
            </w:pPr>
            <w:r>
              <w:rPr>
                <w:rFonts w:hint="eastAsia" w:ascii="Times New Roman" w:hAnsi="Times New Roman" w:eastAsia="仿宋" w:cs="Times New Roman"/>
                <w:bCs/>
                <w:color w:val="auto"/>
                <w:spacing w:val="10"/>
                <w:sz w:val="24"/>
                <w:szCs w:val="24"/>
                <w:highlight w:val="none"/>
                <w:lang w:eastAsia="zh-CN"/>
              </w:rPr>
              <w:t>（</w:t>
            </w:r>
            <w:r>
              <w:rPr>
                <w:rFonts w:hint="eastAsia" w:ascii="Times New Roman" w:hAnsi="Times New Roman" w:eastAsia="仿宋" w:cs="Times New Roman"/>
                <w:bCs/>
                <w:color w:val="auto"/>
                <w:spacing w:val="10"/>
                <w:sz w:val="24"/>
                <w:szCs w:val="24"/>
                <w:highlight w:val="none"/>
                <w:lang w:val="en-US" w:eastAsia="zh-CN"/>
              </w:rPr>
              <w:t>6</w:t>
            </w:r>
            <w:r>
              <w:rPr>
                <w:rFonts w:hint="eastAsia"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加强对采矿机械和运输车辆的维护保养，确保燃油的充分燃烧，减少尾气中污染物的排放量。</w:t>
            </w:r>
          </w:p>
          <w:p>
            <w:pPr>
              <w:pStyle w:val="35"/>
              <w:ind w:firstLine="420"/>
              <w:rPr>
                <w:rFonts w:hint="default" w:ascii="Times New Roman" w:hAnsi="Times New Roman" w:eastAsia="仿宋" w:cs="Times New Roman"/>
                <w:bCs/>
                <w:color w:val="auto"/>
                <w:spacing w:val="10"/>
                <w:sz w:val="24"/>
                <w:szCs w:val="24"/>
                <w:highlight w:val="none"/>
              </w:rPr>
            </w:pPr>
            <w:r>
              <w:rPr>
                <w:rFonts w:hint="eastAsia" w:ascii="Times New Roman" w:hAnsi="Times New Roman" w:eastAsia="仿宋" w:cs="Times New Roman"/>
                <w:bCs/>
                <w:color w:val="auto"/>
                <w:spacing w:val="10"/>
                <w:sz w:val="24"/>
                <w:szCs w:val="24"/>
                <w:highlight w:val="none"/>
                <w:lang w:eastAsia="zh-CN"/>
              </w:rPr>
              <w:t>（</w:t>
            </w:r>
            <w:r>
              <w:rPr>
                <w:rFonts w:hint="eastAsia" w:ascii="Times New Roman" w:hAnsi="Times New Roman" w:eastAsia="仿宋" w:cs="Times New Roman"/>
                <w:bCs/>
                <w:color w:val="auto"/>
                <w:spacing w:val="10"/>
                <w:sz w:val="24"/>
                <w:szCs w:val="24"/>
                <w:highlight w:val="none"/>
                <w:lang w:val="en-US" w:eastAsia="zh-CN"/>
              </w:rPr>
              <w:t>7</w:t>
            </w:r>
            <w:r>
              <w:rPr>
                <w:rFonts w:hint="eastAsia" w:ascii="Times New Roman" w:hAnsi="Times New Roman" w:eastAsia="仿宋" w:cs="Times New Roman"/>
                <w:bCs/>
                <w:color w:val="auto"/>
                <w:spacing w:val="10"/>
                <w:sz w:val="24"/>
                <w:szCs w:val="24"/>
                <w:highlight w:val="none"/>
                <w:lang w:eastAsia="zh-CN"/>
              </w:rPr>
              <w:t>）</w:t>
            </w:r>
            <w:r>
              <w:rPr>
                <w:rFonts w:hint="eastAsia" w:ascii="Times New Roman" w:hAnsi="Times New Roman" w:eastAsia="仿宋" w:cs="Times New Roman"/>
                <w:b w:val="0"/>
                <w:bCs w:val="0"/>
                <w:color w:val="auto"/>
                <w:sz w:val="24"/>
                <w:szCs w:val="24"/>
                <w:lang w:val="en-US" w:eastAsia="zh-CN"/>
              </w:rPr>
              <w:t>食堂</w:t>
            </w:r>
            <w:r>
              <w:rPr>
                <w:rFonts w:hint="default" w:ascii="Times New Roman" w:hAnsi="Times New Roman" w:eastAsia="仿宋" w:cs="Times New Roman"/>
                <w:color w:val="auto"/>
                <w:sz w:val="24"/>
                <w:szCs w:val="24"/>
                <w:highlight w:val="none"/>
              </w:rPr>
              <w:t>油烟废气经过油烟净化处理后通过烟道引至屋顶高空排放</w:t>
            </w:r>
          </w:p>
          <w:p>
            <w:pPr>
              <w:pStyle w:val="35"/>
              <w:ind w:firstLine="42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3、防沙治沙措施</w:t>
            </w:r>
          </w:p>
          <w:p>
            <w:pPr>
              <w:pStyle w:val="35"/>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本项目在施工期、运营期及闭矿期要严格按照《中华人民共和国防沙治沙法》（2018）中有关规定执行防沙治沙措施：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露天开采过程中发现土地沙化或者沙化程度加重的，应当及时报告当地人民政府，采取措施，防止土地沙化加剧。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加强封禁的保护力度，切实加强开采区的监管力度，对开采过程进行严格把控，对开采区及时进行洒水，防止由风引起的沙尘；</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本项目开采过程中严格控制开采范围和机械及人员活动范围，堆料场控制在开采范围内，不新增占地，严格控制项目占地，避免土地沙化加剧。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本项目生活区、运矿道路等区域闭矿期全部进行植被恢复，</w:t>
            </w:r>
            <w:r>
              <w:rPr>
                <w:rFonts w:hint="eastAsia" w:eastAsia="仿宋" w:cs="Times New Roman"/>
                <w:color w:val="auto"/>
                <w:sz w:val="24"/>
                <w:szCs w:val="24"/>
                <w:lang w:eastAsia="zh-CN"/>
              </w:rPr>
              <w:t>防止</w:t>
            </w:r>
            <w:r>
              <w:rPr>
                <w:rFonts w:hint="default" w:ascii="Times New Roman" w:hAnsi="Times New Roman" w:eastAsia="仿宋" w:cs="Times New Roman"/>
                <w:color w:val="auto"/>
                <w:sz w:val="24"/>
                <w:szCs w:val="24"/>
              </w:rPr>
              <w:t>风蚀加剧，造成土地沙化。</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道路施工时，划定施工活动范围，严格控制和管理车辆及重型机械的运行范围，所有车辆采用“一”字型作业法，不开辟新路，以减少风蚀沙化活动的范围。</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大雾、大雨、大风</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暴风雨时应停止施工</w:t>
            </w:r>
            <w:r>
              <w:rPr>
                <w:rFonts w:hint="eastAsia" w:ascii="Times New Roman" w:hAnsi="Times New Roman" w:eastAsia="仿宋" w:cs="Times New Roman"/>
                <w:color w:val="auto"/>
                <w:sz w:val="24"/>
                <w:szCs w:val="24"/>
                <w:lang w:val="en-US" w:eastAsia="zh-CN"/>
              </w:rPr>
              <w:t>。</w:t>
            </w:r>
          </w:p>
          <w:p>
            <w:pPr>
              <w:ind w:firstLine="420"/>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⑦</w:t>
            </w:r>
            <w:r>
              <w:rPr>
                <w:rFonts w:hint="default" w:ascii="Times New Roman" w:hAnsi="Times New Roman" w:eastAsia="仿宋" w:cs="Times New Roman"/>
                <w:color w:val="auto"/>
                <w:sz w:val="24"/>
                <w:szCs w:val="24"/>
              </w:rPr>
              <w:t>按照“谁受益、谁保护、谁治理，边开采边治理恢复、终止采矿活动时必须完成治理恢复”总原则，根据砂石料场实际情况制定近期目标远期规划目标，保证砂石料场生态环境良性发展。具体为：针对存在的环境问题，制定砂石料场生态环境治理方案；砂石料场开采结束后，要对砂石料场开采造成的对环境的破坏进行全面的治理恢复。</w:t>
            </w:r>
          </w:p>
          <w:p>
            <w:pPr>
              <w:adjustRightInd w:val="0"/>
              <w:snapToGrid w:val="0"/>
              <w:ind w:firstLine="462"/>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4、水环境保护措施与污染对策</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本项目生产废水主要为降尘废水，经矿石吸收、自然蒸发后排放。</w:t>
            </w:r>
          </w:p>
          <w:p>
            <w:pPr>
              <w:adjustRightInd w:val="0"/>
              <w:snapToGrid w:val="0"/>
              <w:ind w:left="0" w:leftChars="0" w:firstLine="0" w:firstLineChars="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本项目所在区域地处偏僻，无排水管网，应新增</w:t>
            </w:r>
            <w:r>
              <w:rPr>
                <w:rFonts w:hint="eastAsia" w:eastAsia="仿宋" w:cs="Times New Roman"/>
                <w:bCs/>
                <w:color w:val="auto"/>
                <w:spacing w:val="10"/>
                <w:sz w:val="24"/>
                <w:szCs w:val="24"/>
                <w:highlight w:val="none"/>
                <w:lang w:eastAsia="zh-CN"/>
              </w:rPr>
              <w:t>防渗化粪池</w:t>
            </w:r>
            <w:r>
              <w:rPr>
                <w:rFonts w:hint="default" w:ascii="Times New Roman" w:hAnsi="Times New Roman" w:eastAsia="仿宋" w:cs="Times New Roman"/>
                <w:bCs/>
                <w:color w:val="auto"/>
                <w:spacing w:val="10"/>
                <w:sz w:val="24"/>
                <w:szCs w:val="24"/>
                <w:highlight w:val="none"/>
              </w:rPr>
              <w:t>，</w:t>
            </w: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default" w:ascii="Times New Roman" w:hAnsi="Times New Roman" w:eastAsia="仿宋" w:cs="Times New Roman"/>
                <w:bCs/>
                <w:color w:val="auto"/>
                <w:spacing w:val="10"/>
                <w:sz w:val="24"/>
                <w:szCs w:val="24"/>
                <w:highlight w:val="none"/>
              </w:rPr>
              <w:t>，不排入水体。环评要求对</w:t>
            </w:r>
            <w:r>
              <w:rPr>
                <w:rFonts w:hint="eastAsia" w:eastAsia="仿宋" w:cs="Times New Roman"/>
                <w:bCs/>
                <w:color w:val="auto"/>
                <w:spacing w:val="10"/>
                <w:sz w:val="24"/>
                <w:szCs w:val="24"/>
                <w:highlight w:val="none"/>
                <w:lang w:eastAsia="zh-CN"/>
              </w:rPr>
              <w:t>防渗化粪池</w:t>
            </w:r>
            <w:r>
              <w:rPr>
                <w:rFonts w:hint="default" w:ascii="Times New Roman" w:hAnsi="Times New Roman" w:eastAsia="仿宋" w:cs="Times New Roman"/>
                <w:bCs/>
                <w:color w:val="auto"/>
                <w:spacing w:val="10"/>
                <w:sz w:val="24"/>
                <w:szCs w:val="24"/>
                <w:highlight w:val="none"/>
              </w:rPr>
              <w:t>均采取防渗处理，防止地下水污染。</w:t>
            </w:r>
          </w:p>
          <w:p>
            <w:pPr>
              <w:adjustRightInd w:val="0"/>
              <w:snapToGrid w:val="0"/>
              <w:ind w:left="0" w:leftChars="0" w:firstLine="520" w:firstLineChars="200"/>
              <w:jc w:val="both"/>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鄯善县污水处理厂位于鄯善县辟展乡栏杆村东南一公里处，建设规模日处理污水1万吨，由鄯善县住房和城乡建设局建设，服务范围为鄯善县生活污水，设计出水水质为《城镇污水处理厂污染物排放标准》（GB18918-2012）一级A标准和《城市污水再生利用绿地灌溉水质》（GB/T25499-2010）表1中相关水质指标要求。该污水处理厂于2018年9月取得吐鲁番市环境保护局《关于鄯善县城排水改扩建二期（污水处理厂）建设项目环境影响报告表的批复》（文号：吐市环监函﹝2018﹞23号），于2019年9月组织环境保护竣工验收，2019年10月取得吐鲁番市生态环境局出具的固体废物竣工环境保护验收的函。</w:t>
            </w:r>
          </w:p>
          <w:p>
            <w:pPr>
              <w:adjustRightInd w:val="0"/>
              <w:snapToGrid w:val="0"/>
              <w:ind w:left="0" w:leftChars="0" w:firstLine="520" w:firstLineChars="200"/>
              <w:jc w:val="both"/>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本项目区位于鄯善县污水处理厂东北侧</w:t>
            </w:r>
            <w:r>
              <w:rPr>
                <w:rFonts w:hint="eastAsia" w:eastAsia="仿宋" w:cs="Times New Roman"/>
                <w:bCs/>
                <w:color w:val="auto"/>
                <w:spacing w:val="10"/>
                <w:sz w:val="24"/>
                <w:szCs w:val="24"/>
                <w:highlight w:val="none"/>
                <w:lang w:val="en-US" w:eastAsia="zh-CN"/>
              </w:rPr>
              <w:t>76.37</w:t>
            </w:r>
            <w:r>
              <w:rPr>
                <w:rFonts w:hint="default" w:ascii="Times New Roman" w:hAnsi="Times New Roman" w:eastAsia="仿宋" w:cs="Times New Roman"/>
                <w:bCs/>
                <w:color w:val="auto"/>
                <w:spacing w:val="10"/>
                <w:sz w:val="24"/>
                <w:szCs w:val="24"/>
                <w:highlight w:val="none"/>
                <w:lang w:val="en-US" w:eastAsia="zh-CN"/>
              </w:rPr>
              <w:t>km处，生活污水排放量约为</w:t>
            </w:r>
            <w:r>
              <w:rPr>
                <w:rFonts w:hint="eastAsia" w:eastAsia="仿宋" w:cs="Times New Roman"/>
                <w:bCs/>
                <w:color w:val="auto"/>
                <w:spacing w:val="10"/>
                <w:sz w:val="24"/>
                <w:szCs w:val="24"/>
                <w:highlight w:val="none"/>
                <w:lang w:val="en-US" w:eastAsia="zh-CN"/>
              </w:rPr>
              <w:t>1.98</w:t>
            </w:r>
            <w:r>
              <w:rPr>
                <w:rFonts w:hint="default" w:ascii="Times New Roman" w:hAnsi="Times New Roman" w:eastAsia="仿宋" w:cs="Times New Roman"/>
                <w:bCs/>
                <w:color w:val="auto"/>
                <w:spacing w:val="10"/>
                <w:sz w:val="24"/>
                <w:szCs w:val="24"/>
                <w:highlight w:val="none"/>
                <w:lang w:val="en-US" w:eastAsia="zh-CN"/>
              </w:rPr>
              <w:t>m</w:t>
            </w:r>
            <w:r>
              <w:rPr>
                <w:rFonts w:hint="default" w:ascii="Times New Roman" w:hAnsi="Times New Roman" w:eastAsia="仿宋" w:cs="Times New Roman"/>
                <w:bCs/>
                <w:color w:val="auto"/>
                <w:spacing w:val="10"/>
                <w:sz w:val="24"/>
                <w:szCs w:val="24"/>
                <w:highlight w:val="none"/>
                <w:vertAlign w:val="superscript"/>
                <w:lang w:val="en-US" w:eastAsia="zh-CN"/>
              </w:rPr>
              <w:t>3</w:t>
            </w:r>
            <w:r>
              <w:rPr>
                <w:rFonts w:hint="default" w:ascii="Times New Roman" w:hAnsi="Times New Roman" w:eastAsia="仿宋" w:cs="Times New Roman"/>
                <w:bCs/>
                <w:color w:val="auto"/>
                <w:spacing w:val="10"/>
                <w:sz w:val="24"/>
                <w:szCs w:val="24"/>
                <w:highlight w:val="none"/>
                <w:lang w:val="en-US" w:eastAsia="zh-CN"/>
              </w:rPr>
              <w:t>/d，污水处理站处理能力为1万t/d，现已接纳污水处理量约为0.5万t/d，余量约为0.5万t/d，可容纳本项目生活污水。生活污水由</w:t>
            </w:r>
            <w:r>
              <w:rPr>
                <w:rFonts w:hint="eastAsia" w:eastAsia="仿宋" w:cs="Times New Roman"/>
                <w:bCs/>
                <w:color w:val="auto"/>
                <w:spacing w:val="10"/>
                <w:sz w:val="24"/>
                <w:szCs w:val="24"/>
                <w:highlight w:val="none"/>
                <w:lang w:val="en-US" w:eastAsia="zh-CN"/>
              </w:rPr>
              <w:t>防渗化粪池</w:t>
            </w:r>
            <w:r>
              <w:rPr>
                <w:rFonts w:hint="default" w:ascii="Times New Roman" w:hAnsi="Times New Roman" w:eastAsia="仿宋" w:cs="Times New Roman"/>
                <w:bCs/>
                <w:color w:val="auto"/>
                <w:spacing w:val="10"/>
                <w:sz w:val="24"/>
                <w:szCs w:val="24"/>
                <w:highlight w:val="none"/>
                <w:lang w:val="en-US" w:eastAsia="zh-CN"/>
              </w:rPr>
              <w:t>定期拉运至鄯善县污水处理厂集中处理，不会对周围地下水环境产生不利影响。</w:t>
            </w:r>
          </w:p>
          <w:p>
            <w:pPr>
              <w:adjustRightInd w:val="0"/>
              <w:snapToGrid w:val="0"/>
              <w:ind w:left="0" w:leftChars="0" w:firstLine="520" w:firstLineChars="200"/>
              <w:jc w:val="left"/>
              <w:rPr>
                <w:rFonts w:hint="default" w:ascii="Times New Roman" w:hAnsi="Times New Roman" w:eastAsia="仿宋" w:cs="Times New Roman"/>
                <w:color w:val="auto"/>
              </w:rPr>
            </w:pPr>
            <w:r>
              <w:rPr>
                <w:rFonts w:hint="default" w:ascii="Times New Roman" w:hAnsi="Times New Roman" w:eastAsia="仿宋" w:cs="Times New Roman"/>
                <w:bCs/>
                <w:color w:val="auto"/>
                <w:spacing w:val="10"/>
                <w:sz w:val="24"/>
                <w:szCs w:val="24"/>
                <w:highlight w:val="none"/>
                <w:lang w:val="en-US" w:eastAsia="zh-CN"/>
              </w:rPr>
              <w:t>因此，鄯善县污水处理厂能接收本项目废水，本项目污水依托鄯善县污水处理厂处理可行。</w:t>
            </w:r>
          </w:p>
          <w:p>
            <w:pPr>
              <w:keepNext w:val="0"/>
              <w:keepLines w:val="0"/>
              <w:pageBreakBefore w:val="0"/>
              <w:widowControl w:val="0"/>
              <w:kinsoku/>
              <w:wordWrap/>
              <w:overflowPunct/>
              <w:topLinePunct w:val="0"/>
              <w:autoSpaceDE/>
              <w:autoSpaceDN/>
              <w:bidi w:val="0"/>
              <w:adjustRightInd/>
              <w:snapToGrid/>
              <w:ind w:firstLine="422"/>
              <w:jc w:val="left"/>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5、声环境保护措施与污染对策</w:t>
            </w:r>
          </w:p>
          <w:p>
            <w:pPr>
              <w:keepNext w:val="0"/>
              <w:keepLines w:val="0"/>
              <w:pageBreakBefore w:val="0"/>
              <w:widowControl w:val="0"/>
              <w:kinsoku/>
              <w:wordWrap/>
              <w:overflowPunct/>
              <w:topLinePunct w:val="0"/>
              <w:autoSpaceDE/>
              <w:autoSpaceDN/>
              <w:bidi w:val="0"/>
              <w:adjustRightInd/>
              <w:snapToGrid/>
              <w:ind w:firstLine="460"/>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Cs/>
                <w:color w:val="auto"/>
                <w:spacing w:val="10"/>
                <w:sz w:val="24"/>
                <w:szCs w:val="24"/>
              </w:rPr>
              <w:t>项目噪声源主要为挖掘机、装载机、自卸卡车等。其源强值一般在80-90dB（A）之间。针对</w:t>
            </w:r>
            <w:r>
              <w:rPr>
                <w:rFonts w:hint="default" w:ascii="Times New Roman" w:hAnsi="Times New Roman" w:eastAsia="仿宋" w:cs="Times New Roman"/>
                <w:bCs/>
                <w:color w:val="auto"/>
                <w:spacing w:val="10"/>
                <w:sz w:val="24"/>
                <w:szCs w:val="24"/>
                <w:lang w:eastAsia="zh-CN"/>
              </w:rPr>
              <w:t>砂石矿</w:t>
            </w:r>
            <w:r>
              <w:rPr>
                <w:rFonts w:hint="default" w:ascii="Times New Roman" w:hAnsi="Times New Roman" w:eastAsia="仿宋" w:cs="Times New Roman"/>
                <w:bCs/>
                <w:color w:val="auto"/>
                <w:spacing w:val="10"/>
                <w:sz w:val="24"/>
                <w:szCs w:val="24"/>
              </w:rPr>
              <w:t>开采及运输过程产生的噪声，本项目拟采取以下噪声治理措施：</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1</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选用低噪声设备</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目前各设备生产厂家已把低噪声作为衡量设备质量的重要标志。在满足工艺生产的前提下，设计中考虑选用设备精度高、装配质量好、低噪声的设备是必要且可行的，特别是噪声较大的设备如挖掘机、运输车辆等，更应尽可能选用低噪声设备。</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2</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加强生产管理，降低噪声</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如</w:t>
            </w:r>
            <w:r>
              <w:rPr>
                <w:rFonts w:hint="default" w:ascii="Times New Roman" w:hAnsi="Times New Roman" w:eastAsia="仿宋" w:cs="Times New Roman"/>
                <w:bCs/>
                <w:color w:val="auto"/>
                <w:spacing w:val="10"/>
                <w:sz w:val="24"/>
                <w:szCs w:val="24"/>
                <w:lang w:eastAsia="zh-CN"/>
              </w:rPr>
              <w:t>砂石矿</w:t>
            </w:r>
            <w:r>
              <w:rPr>
                <w:rFonts w:hint="default" w:ascii="Times New Roman" w:hAnsi="Times New Roman" w:eastAsia="仿宋" w:cs="Times New Roman"/>
                <w:bCs/>
                <w:color w:val="auto"/>
                <w:spacing w:val="10"/>
                <w:sz w:val="24"/>
                <w:szCs w:val="24"/>
              </w:rPr>
              <w:t>装卸避免较高落差和直接撞击，注意轻放轻移，减弱撞击声。运输车辆限速行驶，禁止场内鸣笛，制定合理的作业时间表和实行严格的环境管理，削减噪声对外环境的干扰。对设备进行日常维护，保障设备的正常运行，并且要求操作人员严格规范操作，防止因设备故障或者操作不当带来的额外噪声。</w:t>
            </w:r>
          </w:p>
          <w:p>
            <w:pPr>
              <w:adjustRightInd w:val="0"/>
              <w:snapToGrid w:val="0"/>
              <w:ind w:firstLine="462"/>
              <w:jc w:val="left"/>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6、固体废物处置措施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1</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生活垃圾</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生活垃圾统一收集到垃圾收集箱，</w:t>
            </w:r>
            <w:r>
              <w:rPr>
                <w:rFonts w:hint="default" w:ascii="Times New Roman" w:hAnsi="Times New Roman" w:eastAsia="仿宋" w:cs="Times New Roman"/>
                <w:bCs/>
                <w:color w:val="auto"/>
                <w:spacing w:val="10"/>
                <w:sz w:val="24"/>
                <w:szCs w:val="24"/>
                <w:highlight w:val="none"/>
                <w:lang w:val="en-US" w:eastAsia="zh-CN"/>
              </w:rPr>
              <w:t>拉运至环卫部门指定地点处置</w:t>
            </w:r>
            <w:r>
              <w:rPr>
                <w:rFonts w:hint="default" w:ascii="Times New Roman" w:hAnsi="Times New Roman" w:eastAsia="仿宋" w:cs="Times New Roman"/>
                <w:bCs/>
                <w:color w:val="auto"/>
                <w:spacing w:val="10"/>
                <w:sz w:val="24"/>
                <w:szCs w:val="24"/>
                <w:highlight w:val="none"/>
              </w:rPr>
              <w:t>。</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废石</w:t>
            </w:r>
          </w:p>
          <w:p>
            <w:pPr>
              <w:keepNext w:val="0"/>
              <w:keepLines w:val="0"/>
              <w:pageBreakBefore w:val="0"/>
              <w:widowControl w:val="0"/>
              <w:kinsoku/>
              <w:wordWrap/>
              <w:overflowPunct/>
              <w:topLinePunct w:val="0"/>
              <w:autoSpaceDE/>
              <w:autoSpaceDN/>
              <w:bidi w:val="0"/>
              <w:adjustRightInd/>
              <w:snapToGrid/>
              <w:ind w:firstLine="460"/>
              <w:jc w:val="both"/>
              <w:textAlignment w:val="auto"/>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开采过程产生的废砂石堆放在</w:t>
            </w:r>
            <w:r>
              <w:rPr>
                <w:rFonts w:hint="default" w:ascii="Times New Roman" w:hAnsi="Times New Roman" w:eastAsia="仿宋" w:cs="Times New Roman"/>
                <w:bCs/>
                <w:color w:val="auto"/>
                <w:spacing w:val="10"/>
                <w:sz w:val="24"/>
                <w:szCs w:val="24"/>
                <w:highlight w:val="none"/>
                <w:lang w:eastAsia="zh-CN"/>
              </w:rPr>
              <w:t>废石堆场</w:t>
            </w:r>
            <w:r>
              <w:rPr>
                <w:rFonts w:hint="default" w:ascii="Times New Roman" w:hAnsi="Times New Roman" w:eastAsia="仿宋" w:cs="Times New Roman"/>
                <w:bCs/>
                <w:color w:val="auto"/>
                <w:spacing w:val="10"/>
                <w:sz w:val="24"/>
                <w:szCs w:val="24"/>
                <w:highlight w:val="none"/>
              </w:rPr>
              <w:t>，闭矿后用于采坑回填。</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（3）</w:t>
            </w:r>
            <w:r>
              <w:rPr>
                <w:rFonts w:hint="eastAsia" w:eastAsia="仿宋" w:cs="Times New Roman"/>
                <w:color w:val="auto"/>
                <w:sz w:val="24"/>
                <w:szCs w:val="24"/>
                <w:lang w:val="en-US" w:eastAsia="zh-CN"/>
              </w:rPr>
              <w:t>防渗沉淀池的泥沙自然风干后定期回填至采坑</w:t>
            </w:r>
            <w:r>
              <w:rPr>
                <w:rFonts w:hint="eastAsia" w:eastAsia="仿宋" w:cs="Times New Roman"/>
                <w:bCs/>
                <w:color w:val="auto"/>
                <w:spacing w:val="1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废机油</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本项目设备运行维护会产生废机油等机修废物量约为0</w:t>
            </w:r>
            <w:r>
              <w:rPr>
                <w:rFonts w:hint="eastAsia" w:ascii="Times New Roman" w:hAnsi="Times New Roman"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t>t/a。环评要求按照</w:t>
            </w:r>
            <w:r>
              <w:rPr>
                <w:rFonts w:hint="default" w:ascii="Times New Roman" w:hAnsi="Times New Roman" w:eastAsia="仿宋"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 w:cs="Times New Roman"/>
                <w:color w:val="auto"/>
                <w:sz w:val="24"/>
                <w:szCs w:val="24"/>
                <w:highlight w:val="none"/>
              </w:rPr>
              <w:t>在矿区收集、暂存后交由有资质的单位处理处置</w:t>
            </w: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本项目危险废物暂存间位于生活区东北侧，占地面积10平方米。</w:t>
            </w:r>
          </w:p>
          <w:p>
            <w:pPr>
              <w:adjustRightInd w:val="0"/>
              <w:snapToGrid w:val="0"/>
              <w:ind w:firstLine="46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w:t>
            </w:r>
            <w:r>
              <w:rPr>
                <w:rFonts w:hint="eastAsia" w:eastAsia="仿宋" w:cs="Times New Roman"/>
                <w:bCs/>
                <w:color w:val="auto"/>
                <w:spacing w:val="10"/>
                <w:sz w:val="24"/>
                <w:szCs w:val="24"/>
                <w:highlight w:val="none"/>
                <w:lang w:val="en-US" w:eastAsia="zh-CN"/>
              </w:rPr>
              <w:t>5</w:t>
            </w:r>
            <w:r>
              <w:rPr>
                <w:rFonts w:hint="default" w:ascii="Times New Roman" w:hAnsi="Times New Roman" w:eastAsia="仿宋" w:cs="Times New Roman"/>
                <w:bCs/>
                <w:color w:val="auto"/>
                <w:spacing w:val="10"/>
                <w:sz w:val="24"/>
                <w:szCs w:val="24"/>
                <w:highlight w:val="none"/>
                <w:lang w:val="en-US" w:eastAsia="zh-CN"/>
              </w:rPr>
              <w:t>）废机油桶</w:t>
            </w:r>
          </w:p>
          <w:p>
            <w:pPr>
              <w:adjustRightInd w:val="0"/>
              <w:snapToGrid w:val="0"/>
              <w:ind w:firstLine="46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废机油桶产生量按每个废机油桶20千克计，废机油桶规格为200千克/桶，废机油桶使用量为</w:t>
            </w:r>
            <w:r>
              <w:rPr>
                <w:rFonts w:hint="eastAsia" w:eastAsia="仿宋" w:cs="Times New Roman"/>
                <w:bCs/>
                <w:color w:val="auto"/>
                <w:spacing w:val="10"/>
                <w:sz w:val="24"/>
                <w:szCs w:val="24"/>
                <w:highlight w:val="none"/>
                <w:lang w:val="en-US" w:eastAsia="zh-CN"/>
              </w:rPr>
              <w:t>20</w:t>
            </w:r>
            <w:r>
              <w:rPr>
                <w:rFonts w:hint="default" w:ascii="Times New Roman" w:hAnsi="Times New Roman" w:eastAsia="仿宋" w:cs="Times New Roman"/>
                <w:bCs/>
                <w:color w:val="auto"/>
                <w:spacing w:val="10"/>
                <w:sz w:val="24"/>
                <w:szCs w:val="24"/>
                <w:highlight w:val="none"/>
                <w:lang w:val="en-US" w:eastAsia="zh-CN"/>
              </w:rPr>
              <w:t>个，则废机油桶产生量约为</w:t>
            </w:r>
            <w:r>
              <w:rPr>
                <w:rFonts w:hint="eastAsia" w:eastAsia="仿宋" w:cs="Times New Roman"/>
                <w:bCs/>
                <w:color w:val="auto"/>
                <w:spacing w:val="10"/>
                <w:sz w:val="24"/>
                <w:szCs w:val="24"/>
                <w:highlight w:val="none"/>
                <w:lang w:val="en-US" w:eastAsia="zh-CN"/>
              </w:rPr>
              <w:t>4</w:t>
            </w:r>
            <w:r>
              <w:rPr>
                <w:rFonts w:hint="default" w:ascii="Times New Roman" w:hAnsi="Times New Roman" w:eastAsia="仿宋" w:cs="Times New Roman"/>
                <w:bCs/>
                <w:color w:val="auto"/>
                <w:spacing w:val="10"/>
                <w:sz w:val="24"/>
                <w:szCs w:val="24"/>
                <w:highlight w:val="none"/>
                <w:lang w:val="en-US" w:eastAsia="zh-CN"/>
              </w:rPr>
              <w:t>吨/年。根据《国家危险废物名录》（2021版），废机油桶为危险废物，代码为“900-041-49含有或沾染毒性、感染性危险废物的废弃包装物、容器、过滤吸附介质”，存于厂区危废暂存间内，定期委托有资质单位进行清运处置。</w:t>
            </w:r>
          </w:p>
          <w:p>
            <w:pPr>
              <w:adjustRightInd w:val="0"/>
              <w:snapToGrid w:val="0"/>
              <w:ind w:firstLine="46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①危险废物的收集</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危险废物在收集时，按《关于加强危险废物交换和转移管理工作的通知》要求，根据危险废物的性质和形态，采用相应材质、容器进行安全包装，并在包装的明显位置附上危险废物标签。通过严格检查，严防在装载、搬迁或运输中出现渗漏、溢出、抛洒或挥发等不利情况。本项目不提供收集服务，收集委托外单位收集。</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②危险废物的暂存</w:t>
            </w:r>
          </w:p>
          <w:p>
            <w:pPr>
              <w:adjustRightInd w:val="0"/>
              <w:snapToGrid w:val="0"/>
              <w:ind w:left="0" w:leftChars="0" w:firstLine="520" w:firstLineChars="20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危险废物设危废暂存间，暂存间严格按</w:t>
            </w:r>
            <w:r>
              <w:rPr>
                <w:rFonts w:hint="default" w:ascii="Times New Roman" w:hAnsi="Times New Roman" w:eastAsia="仿宋"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 w:cs="Times New Roman"/>
                <w:bCs/>
                <w:color w:val="auto"/>
                <w:spacing w:val="10"/>
                <w:sz w:val="24"/>
                <w:szCs w:val="24"/>
                <w:highlight w:val="none"/>
                <w:lang w:val="en-US" w:eastAsia="zh-CN"/>
              </w:rPr>
              <w:t>及危险废物的其他相关规定进行设计建设，对地面防腐防渗，设有导流槽、废液收集池等可收集泄露的液态危险废物，危险废物分类收集，使用专用桶装，项目运营期产生的危险废物对周边大气环境、水环境影响不大。</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③危险废物的运输、转移</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危险废物暂存间地面防腐防渗，设有导流槽、废液收集池等可收集泄露的液态危险废物，场内转移运输过程对环境影响不大，危险废物自危险废物暂存间外运至处置单位的运输过程，由有资质危废处置单位处置，危废处置单位使用专用车辆，至场内收集、转移本项目运营期产生的危险废物，运输过程对环境影响不大。危险废物转移严格按照《危险废物转移联单管理办法》（部令第23号）执行。建立危险废物转移联单制度，在转移危险废物前，须按照国家有关规定报批危险废物转移计划，经批准后，向移出地环境保护行政主管部门申请领取联单，在危险废物转移前三日内报告移出地环境保护行政主管部门，并同时将预期到达时间报告接受地环境保护行政主管部门，每转移一车（次）危险废物，填写一份转移联单，使用专业运输车辆，按规定线路运输，建设单位应保留危险废物转移联单5年，以备环保部门检查。</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④危险废物管理措施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设立企业固废管理台账，规范危险废物情况的记录，记录上须注明危险废物的名称、来源、数量、特性和包装容器的类别、入库日期、存放库位、废物出库日期及接收单位名称，确保厂内所有危险废物流向清楚规范。制定和落实危险废物管理计划，执行危险废物申报登记制度。及时向当地环保部门申报危险废物种类、产生量、流向、处置等资料，办理临时申报登记手续。</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严格执行危险废物交换转移审批制度。所有危险废物交换转移向环保部门提出申请，经环保部门预审后报上级环保部门批准。危险废物交换转移前到当地环保部门网上申请联单。绝不擅自交换、向无危险废物经营许可证单位转移。必须定期对所暂存的危险废物包装容器及暂存设施进行检查，发现破损，应及时采取措施清理更换。</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综上，项目运营期产生的危险废物均按照</w:t>
            </w:r>
            <w:r>
              <w:rPr>
                <w:rFonts w:hint="default" w:ascii="Times New Roman" w:hAnsi="Times New Roman" w:eastAsia="仿宋"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 w:cs="Times New Roman"/>
                <w:bCs/>
                <w:color w:val="auto"/>
                <w:spacing w:val="10"/>
                <w:sz w:val="24"/>
                <w:szCs w:val="24"/>
                <w:highlight w:val="none"/>
                <w:lang w:val="en-US" w:eastAsia="zh-CN"/>
              </w:rPr>
              <w:t>，暂存在危险废物暂存间内部设置符合标准要求的危险废物暂存场所，并委托有危废处置资质的单位处理。</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通过采取上述措施，本项目所产生的固体废物全部得到妥善处置。因此，本项目固体废物处置措施是可行的。</w:t>
            </w:r>
          </w:p>
          <w:p>
            <w:pPr>
              <w:adjustRightInd w:val="0"/>
              <w:snapToGrid w:val="0"/>
              <w:ind w:firstLine="462"/>
              <w:jc w:val="left"/>
              <w:rPr>
                <w:rFonts w:hint="default" w:ascii="Times New Roman" w:hAnsi="Times New Roman" w:eastAsia="仿宋" w:cs="Times New Roman"/>
                <w:b/>
                <w:bCs/>
                <w:color w:val="auto"/>
                <w:spacing w:val="10"/>
                <w:sz w:val="24"/>
                <w:szCs w:val="24"/>
              </w:rPr>
            </w:pPr>
          </w:p>
          <w:p>
            <w:pPr>
              <w:adjustRightInd w:val="0"/>
              <w:snapToGrid w:val="0"/>
              <w:ind w:firstLine="462"/>
              <w:jc w:val="left"/>
              <w:rPr>
                <w:rFonts w:hint="default" w:ascii="Times New Roman" w:hAnsi="Times New Roman" w:eastAsia="仿宋" w:cs="Times New Roman"/>
                <w:b/>
                <w:bCs/>
                <w:color w:val="auto"/>
                <w:spacing w:val="10"/>
                <w:sz w:val="24"/>
                <w:szCs w:val="24"/>
              </w:rPr>
            </w:pPr>
          </w:p>
          <w:p>
            <w:pPr>
              <w:adjustRightInd w:val="0"/>
              <w:snapToGrid w:val="0"/>
              <w:ind w:firstLine="462"/>
              <w:jc w:val="left"/>
              <w:rPr>
                <w:rFonts w:hint="default" w:ascii="Times New Roman" w:hAnsi="Times New Roman" w:eastAsia="仿宋" w:cs="Times New Roman"/>
                <w:b/>
                <w:bCs/>
                <w:color w:val="auto"/>
                <w:spacing w:val="10"/>
                <w:sz w:val="24"/>
                <w:szCs w:val="24"/>
              </w:rPr>
            </w:pPr>
          </w:p>
          <w:p>
            <w:pPr>
              <w:adjustRightInd w:val="0"/>
              <w:snapToGrid w:val="0"/>
              <w:ind w:firstLine="462"/>
              <w:jc w:val="left"/>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7、环境风险</w:t>
            </w:r>
          </w:p>
          <w:p>
            <w:pPr>
              <w:adjustRightInd w:val="0"/>
              <w:snapToGrid w:val="0"/>
              <w:ind w:firstLine="420"/>
              <w:jc w:val="left"/>
              <w:rPr>
                <w:rFonts w:hint="default" w:ascii="Times New Roman" w:hAnsi="Times New Roman" w:eastAsia="仿宋" w:cs="Times New Roman"/>
                <w:b/>
                <w:bCs w:val="0"/>
                <w:color w:val="auto"/>
                <w:spacing w:val="10"/>
                <w:sz w:val="24"/>
                <w:szCs w:val="24"/>
                <w:lang w:eastAsia="zh-CN"/>
              </w:rPr>
            </w:pPr>
            <w:r>
              <w:rPr>
                <w:rFonts w:hint="default" w:ascii="Times New Roman" w:hAnsi="Times New Roman" w:eastAsia="仿宋" w:cs="Times New Roman"/>
                <w:b/>
                <w:bCs w:val="0"/>
                <w:color w:val="auto"/>
                <w:spacing w:val="10"/>
                <w:sz w:val="24"/>
                <w:szCs w:val="24"/>
                <w:lang w:val="en-US" w:eastAsia="zh-CN"/>
              </w:rPr>
              <w:t>7.</w:t>
            </w:r>
            <w:r>
              <w:rPr>
                <w:rFonts w:hint="default" w:ascii="Times New Roman" w:hAnsi="Times New Roman" w:eastAsia="仿宋" w:cs="Times New Roman"/>
                <w:b/>
                <w:bCs w:val="0"/>
                <w:color w:val="auto"/>
                <w:spacing w:val="10"/>
                <w:sz w:val="24"/>
                <w:szCs w:val="24"/>
                <w:lang w:eastAsia="zh-CN"/>
              </w:rPr>
              <w:t>1风险调查</w:t>
            </w:r>
          </w:p>
          <w:p>
            <w:pPr>
              <w:adjustRightInd w:val="0"/>
              <w:snapToGrid w:val="0"/>
              <w:ind w:firstLine="42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参照《建设项目环境风险评价技术导则》(HJ/T169-2018)，本项目不涉及高温、高压、易燃易爆工艺，项目所在地不属于环境敏感地区；项目营运期的废气主要为TSP，无废水产生，危险废物为废矿物油，地质灾害风险为堆场、采场滑坡。本项目不设置柴油储罐，采用罐车拉运方式。</w:t>
            </w:r>
          </w:p>
          <w:p>
            <w:pPr>
              <w:adjustRightInd w:val="0"/>
              <w:snapToGrid w:val="0"/>
              <w:ind w:firstLine="42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因此项目涉及危险物质为废矿物油，可能发生的环境风险事故为矿山地质灾害、地面塌陷事故及废石临时堆场垮塌滑坡等事故，对事故区域及</w:t>
            </w:r>
          </w:p>
          <w:p>
            <w:pPr>
              <w:adjustRightInd w:val="0"/>
              <w:snapToGrid w:val="0"/>
              <w:ind w:left="0" w:leftChars="0" w:firstLine="0" w:firstLineChars="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下游环境质量及人员健康安全产生的影响。</w:t>
            </w:r>
          </w:p>
          <w:p>
            <w:pPr>
              <w:adjustRightInd w:val="0"/>
              <w:snapToGrid w:val="0"/>
              <w:ind w:firstLine="420"/>
              <w:jc w:val="left"/>
              <w:rPr>
                <w:rFonts w:hint="default" w:ascii="Times New Roman" w:hAnsi="Times New Roman" w:eastAsia="仿宋" w:cs="Times New Roman"/>
                <w:b/>
                <w:bCs w:val="0"/>
                <w:color w:val="auto"/>
                <w:spacing w:val="10"/>
                <w:sz w:val="24"/>
                <w:szCs w:val="24"/>
                <w:lang w:eastAsia="zh-CN"/>
              </w:rPr>
            </w:pPr>
            <w:r>
              <w:rPr>
                <w:rFonts w:hint="default" w:ascii="Times New Roman" w:hAnsi="Times New Roman" w:eastAsia="仿宋" w:cs="Times New Roman"/>
                <w:b/>
                <w:bCs w:val="0"/>
                <w:color w:val="auto"/>
                <w:spacing w:val="10"/>
                <w:sz w:val="24"/>
                <w:szCs w:val="24"/>
                <w:lang w:val="en-US" w:eastAsia="zh-CN"/>
              </w:rPr>
              <w:t>7.2</w:t>
            </w:r>
            <w:r>
              <w:rPr>
                <w:rFonts w:hint="default" w:ascii="Times New Roman" w:hAnsi="Times New Roman" w:eastAsia="仿宋" w:cs="Times New Roman"/>
                <w:b/>
                <w:bCs w:val="0"/>
                <w:color w:val="auto"/>
                <w:spacing w:val="10"/>
                <w:sz w:val="24"/>
                <w:szCs w:val="24"/>
                <w:lang w:eastAsia="zh-CN"/>
              </w:rPr>
              <w:t>环境风险潜势初判与评价等级划分</w:t>
            </w:r>
          </w:p>
          <w:p>
            <w:pPr>
              <w:pStyle w:val="85"/>
              <w:keepNext w:val="0"/>
              <w:keepLines w:val="0"/>
              <w:pageBreakBefore w:val="0"/>
              <w:widowControl w:val="0"/>
              <w:kinsoku/>
              <w:wordWrap/>
              <w:overflowPunct/>
              <w:topLinePunct w:val="0"/>
              <w:autoSpaceDE/>
              <w:autoSpaceDN/>
              <w:bidi w:val="0"/>
              <w:adjustRightInd/>
              <w:snapToGrid/>
              <w:spacing w:line="219" w:lineRule="auto"/>
              <w:ind w:left="0" w:leftChars="0" w:firstLine="520" w:firstLineChars="200"/>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（1）环境风险潜势初判</w:t>
            </w:r>
          </w:p>
          <w:p>
            <w:pPr>
              <w:pStyle w:val="85"/>
              <w:spacing w:before="183" w:line="359" w:lineRule="auto"/>
              <w:ind w:left="0" w:leftChars="0" w:right="103" w:firstLine="520" w:firstLineChars="200"/>
              <w:jc w:val="both"/>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计算所涉及的每种环境风险物质在厂界内的最大存在总量（如存在总量呈动态变化，则按公历年度内某一天最大存在总量计算；在不同厂区的同一种物质，按其在厂界内的最大存在总量计算）与其在附录B中对应的临界量的比值Q：当企业只涉及一种环境危险物质时，计算该物质的总数量与其临界量比值，即为Q；</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color w:val="auto"/>
                <w:sz w:val="24"/>
                <w:szCs w:val="24"/>
              </w:rPr>
              <w:drawing>
                <wp:anchor distT="0" distB="0" distL="114300" distR="114300" simplePos="0" relativeHeight="251692032" behindDoc="1" locked="0" layoutInCell="1" allowOverlap="1">
                  <wp:simplePos x="0" y="0"/>
                  <wp:positionH relativeFrom="column">
                    <wp:posOffset>1527810</wp:posOffset>
                  </wp:positionH>
                  <wp:positionV relativeFrom="paragraph">
                    <wp:posOffset>463550</wp:posOffset>
                  </wp:positionV>
                  <wp:extent cx="1833880" cy="625475"/>
                  <wp:effectExtent l="0" t="0" r="13970" b="3175"/>
                  <wp:wrapNone/>
                  <wp:docPr id="1" name="图片 2"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13"/>
                          <pic:cNvPicPr>
                            <a:picLocks noChangeAspect="1"/>
                          </pic:cNvPicPr>
                        </pic:nvPicPr>
                        <pic:blipFill>
                          <a:blip r:embed="rId24"/>
                          <a:stretch>
                            <a:fillRect/>
                          </a:stretch>
                        </pic:blipFill>
                        <pic:spPr>
                          <a:xfrm>
                            <a:off x="0" y="0"/>
                            <a:ext cx="1833880" cy="625475"/>
                          </a:xfrm>
                          <a:prstGeom prst="rect">
                            <a:avLst/>
                          </a:prstGeom>
                          <a:noFill/>
                          <a:ln>
                            <a:noFill/>
                          </a:ln>
                        </pic:spPr>
                      </pic:pic>
                    </a:graphicData>
                  </a:graphic>
                </wp:anchor>
              </w:drawing>
            </w:r>
            <w:r>
              <w:rPr>
                <w:rFonts w:hint="default" w:ascii="Times New Roman" w:hAnsi="Times New Roman" w:eastAsia="仿宋" w:cs="Times New Roman"/>
                <w:bCs/>
                <w:color w:val="auto"/>
                <w:spacing w:val="10"/>
                <w:kern w:val="2"/>
                <w:sz w:val="24"/>
                <w:szCs w:val="24"/>
                <w:lang w:val="en-US" w:eastAsia="zh-CN" w:bidi="ar-SA"/>
              </w:rPr>
              <w:t>当企业存在多种环境危险物质时，则按下式计算物质总量与其临界量比值：</w:t>
            </w: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 w:cs="Times New Roman"/>
                <w:b/>
                <w:bCs w:val="0"/>
                <w:color w:val="auto"/>
                <w:spacing w:val="1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 w:cs="Times New Roman"/>
                <w:b/>
                <w:bCs w:val="0"/>
                <w:color w:val="auto"/>
                <w:spacing w:val="10"/>
                <w:sz w:val="21"/>
                <w:szCs w:val="21"/>
                <w:lang w:val="en-US" w:eastAsia="zh-CN"/>
              </w:rPr>
            </w:pPr>
          </w:p>
          <w:p>
            <w:pPr>
              <w:pStyle w:val="87"/>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按照《建设项目环境风险评价技术导则》（HJ169-2018）附录B，结合各种物质的理化性质及毒理毒性，可识别出本项目的危险物质及临界量。根据下式计算危险物质及临界量的比值Q：</w:t>
            </w:r>
          </w:p>
          <w:p>
            <w:pPr>
              <w:pStyle w:val="87"/>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式中：</w:t>
            </w:r>
          </w:p>
          <w:p>
            <w:pPr>
              <w:pStyle w:val="87"/>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qi，q2，…，qn——每种危险物质的最大存在总量，</w:t>
            </w:r>
            <w:r>
              <w:rPr>
                <w:rFonts w:hint="default" w:ascii="Times New Roman" w:hAnsi="Times New Roman" w:eastAsia="仿宋" w:cs="Times New Roman"/>
                <w:color w:val="auto"/>
                <w:sz w:val="24"/>
                <w:szCs w:val="24"/>
                <w:lang w:val="en-US" w:eastAsia="zh-CN"/>
              </w:rPr>
              <w:t>吨</w:t>
            </w:r>
            <w:r>
              <w:rPr>
                <w:rFonts w:hint="default" w:ascii="Times New Roman" w:hAnsi="Times New Roman" w:eastAsia="仿宋" w:cs="Times New Roman"/>
                <w:color w:val="auto"/>
                <w:sz w:val="24"/>
                <w:szCs w:val="24"/>
              </w:rPr>
              <w:t>；</w:t>
            </w:r>
          </w:p>
          <w:p>
            <w:pPr>
              <w:pStyle w:val="87"/>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Qi，Q2，…，Qn</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t>每种危险物质的临界量，</w:t>
            </w:r>
            <w:r>
              <w:rPr>
                <w:rFonts w:hint="default" w:ascii="Times New Roman" w:hAnsi="Times New Roman" w:eastAsia="仿宋" w:cs="Times New Roman"/>
                <w:color w:val="auto"/>
                <w:sz w:val="24"/>
                <w:szCs w:val="24"/>
                <w:lang w:val="en-US" w:eastAsia="zh-CN"/>
              </w:rPr>
              <w:t>吨</w:t>
            </w:r>
            <w:r>
              <w:rPr>
                <w:rFonts w:hint="default" w:ascii="Times New Roman" w:hAnsi="Times New Roman" w:eastAsia="仿宋" w:cs="Times New Roman"/>
                <w:color w:val="auto"/>
                <w:sz w:val="24"/>
                <w:szCs w:val="24"/>
              </w:rPr>
              <w:t>。</w:t>
            </w:r>
          </w:p>
          <w:p>
            <w:pPr>
              <w:pStyle w:val="87"/>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当Q＜1时，该项目环境风险潜势为Ⅰ。</w:t>
            </w:r>
          </w:p>
          <w:p>
            <w:pPr>
              <w:pStyle w:val="87"/>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当Q≥1时，将Q值划分为：</w:t>
            </w:r>
          </w:p>
          <w:p>
            <w:pPr>
              <w:keepNext w:val="0"/>
              <w:keepLines w:val="0"/>
              <w:pageBreakBefore w:val="0"/>
              <w:widowControl w:val="0"/>
              <w:kinsoku/>
              <w:wordWrap/>
              <w:overflowPunct/>
              <w:topLinePunct w:val="0"/>
              <w:autoSpaceDE/>
              <w:autoSpaceDN/>
              <w:bidi w:val="0"/>
              <w:adjustRightInd/>
              <w:snapToGrid/>
              <w:spacing w:line="360" w:lineRule="auto"/>
              <w:ind w:firstLine="460"/>
              <w:jc w:val="both"/>
              <w:textAlignment w:val="auto"/>
              <w:rPr>
                <w:rFonts w:hint="default" w:ascii="Times New Roman" w:hAnsi="Times New Roman" w:eastAsia="仿宋" w:cs="Times New Roman"/>
                <w:b/>
                <w:bCs w:val="0"/>
                <w:color w:val="auto"/>
                <w:spacing w:val="10"/>
                <w:sz w:val="21"/>
                <w:szCs w:val="21"/>
                <w:lang w:val="en-US" w:eastAsia="zh-CN"/>
              </w:rPr>
            </w:pPr>
            <w:r>
              <w:rPr>
                <w:rFonts w:hint="default" w:ascii="Times New Roman" w:hAnsi="Times New Roman" w:eastAsia="仿宋" w:cs="Times New Roman"/>
                <w:color w:val="auto"/>
                <w:sz w:val="24"/>
                <w:szCs w:val="24"/>
              </w:rPr>
              <w:t>（1）1≤Q＜10；（2）10≤Q＜100；（3）Q≥100。</w:t>
            </w: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eastAsia" w:ascii="Times New Roman" w:hAnsi="Times New Roman" w:eastAsia="仿宋" w:cs="Times New Roman"/>
                <w:b/>
                <w:bCs w:val="0"/>
                <w:color w:val="auto"/>
                <w:spacing w:val="1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 w:cs="Times New Roman"/>
                <w:b/>
                <w:bCs w:val="0"/>
                <w:color w:val="auto"/>
                <w:spacing w:val="10"/>
                <w:sz w:val="21"/>
                <w:szCs w:val="21"/>
                <w:lang w:val="en-US" w:eastAsia="zh-CN"/>
              </w:rPr>
            </w:pPr>
            <w:r>
              <w:rPr>
                <w:rFonts w:hint="eastAsia" w:ascii="Times New Roman" w:hAnsi="Times New Roman" w:eastAsia="仿宋" w:cs="Times New Roman"/>
                <w:b/>
                <w:bCs w:val="0"/>
                <w:color w:val="auto"/>
                <w:spacing w:val="10"/>
                <w:sz w:val="21"/>
                <w:szCs w:val="21"/>
                <w:lang w:val="en-US" w:eastAsia="zh-CN"/>
              </w:rPr>
              <w:t>表5-1</w:t>
            </w:r>
            <w:r>
              <w:rPr>
                <w:rFonts w:hint="default" w:ascii="Times New Roman" w:hAnsi="Times New Roman" w:eastAsia="仿宋" w:cs="Times New Roman"/>
                <w:b/>
                <w:bCs w:val="0"/>
                <w:color w:val="auto"/>
                <w:spacing w:val="10"/>
                <w:sz w:val="21"/>
                <w:szCs w:val="21"/>
                <w:lang w:val="en-US" w:eastAsia="zh-CN"/>
              </w:rPr>
              <w:t>风险物质最大存在量与临界值表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489"/>
              <w:gridCol w:w="2669"/>
              <w:gridCol w:w="1213"/>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eastAsia="zh-CN"/>
                    </w:rPr>
                  </w:pPr>
                  <w:r>
                    <w:rPr>
                      <w:rFonts w:hint="default" w:ascii="Times New Roman" w:hAnsi="Times New Roman" w:eastAsia="仿宋" w:cs="Times New Roman"/>
                      <w:b w:val="0"/>
                      <w:bCs w:val="0"/>
                      <w:color w:val="auto"/>
                      <w:spacing w:val="10"/>
                      <w:sz w:val="21"/>
                      <w:szCs w:val="21"/>
                      <w:vertAlign w:val="baseline"/>
                      <w:lang w:eastAsia="zh-CN"/>
                    </w:rPr>
                    <w:t>序号</w:t>
                  </w:r>
                </w:p>
              </w:tc>
              <w:tc>
                <w:tcPr>
                  <w:tcW w:w="1489"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3"/>
                      <w:sz w:val="21"/>
                      <w:szCs w:val="21"/>
                    </w:rPr>
                    <w:t>名称</w:t>
                  </w:r>
                </w:p>
              </w:tc>
              <w:tc>
                <w:tcPr>
                  <w:tcW w:w="2669"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kern w:val="2"/>
                      <w:sz w:val="21"/>
                      <w:szCs w:val="21"/>
                      <w:vertAlign w:val="baseline"/>
                      <w:lang w:val="en-US" w:eastAsia="zh-CN" w:bidi="ar-SA"/>
                    </w:rPr>
                  </w:pPr>
                  <w:r>
                    <w:rPr>
                      <w:rFonts w:hint="default" w:ascii="Times New Roman" w:hAnsi="Times New Roman" w:eastAsia="仿宋" w:cs="Times New Roman"/>
                      <w:b w:val="0"/>
                      <w:bCs w:val="0"/>
                      <w:color w:val="auto"/>
                      <w:spacing w:val="10"/>
                      <w:sz w:val="21"/>
                      <w:szCs w:val="21"/>
                      <w:vertAlign w:val="baseline"/>
                      <w:lang w:eastAsia="zh-CN"/>
                    </w:rPr>
                    <w:t>风险物质最大存在量（</w:t>
                  </w:r>
                  <w:r>
                    <w:rPr>
                      <w:rFonts w:hint="default" w:ascii="Times New Roman" w:hAnsi="Times New Roman" w:eastAsia="仿宋" w:cs="Times New Roman"/>
                      <w:b w:val="0"/>
                      <w:bCs w:val="0"/>
                      <w:color w:val="auto"/>
                      <w:spacing w:val="10"/>
                      <w:sz w:val="21"/>
                      <w:szCs w:val="21"/>
                      <w:vertAlign w:val="baseline"/>
                      <w:lang w:val="en-US" w:eastAsia="zh-CN"/>
                    </w:rPr>
                    <w:t>t</w:t>
                  </w:r>
                  <w:r>
                    <w:rPr>
                      <w:rFonts w:hint="default" w:ascii="Times New Roman" w:hAnsi="Times New Roman" w:eastAsia="仿宋" w:cs="Times New Roman"/>
                      <w:b w:val="0"/>
                      <w:bCs w:val="0"/>
                      <w:color w:val="auto"/>
                      <w:spacing w:val="10"/>
                      <w:sz w:val="21"/>
                      <w:szCs w:val="21"/>
                      <w:vertAlign w:val="baseline"/>
                      <w:lang w:eastAsia="zh-CN"/>
                    </w:rPr>
                    <w:t>）</w:t>
                  </w:r>
                </w:p>
              </w:tc>
              <w:tc>
                <w:tcPr>
                  <w:tcW w:w="12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kern w:val="2"/>
                      <w:sz w:val="21"/>
                      <w:szCs w:val="21"/>
                      <w:vertAlign w:val="baseline"/>
                      <w:lang w:val="en-US" w:eastAsia="zh-CN" w:bidi="ar-SA"/>
                    </w:rPr>
                  </w:pPr>
                  <w:r>
                    <w:rPr>
                      <w:rFonts w:hint="default" w:ascii="Times New Roman" w:hAnsi="Times New Roman" w:eastAsia="仿宋" w:cs="Times New Roman"/>
                      <w:b w:val="0"/>
                      <w:bCs w:val="0"/>
                      <w:color w:val="auto"/>
                      <w:spacing w:val="10"/>
                      <w:sz w:val="21"/>
                      <w:szCs w:val="21"/>
                      <w:vertAlign w:val="baseline"/>
                      <w:lang w:eastAsia="zh-CN"/>
                    </w:rPr>
                    <w:t>临界量</w:t>
                  </w: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1</w:t>
                  </w:r>
                </w:p>
              </w:tc>
              <w:tc>
                <w:tcPr>
                  <w:tcW w:w="1489" w:type="dxa"/>
                  <w:vAlign w:val="top"/>
                </w:tcPr>
                <w:p>
                  <w:pPr>
                    <w:pStyle w:val="8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b w:val="0"/>
                      <w:bCs w:val="0"/>
                      <w:color w:val="auto"/>
                      <w:spacing w:val="10"/>
                      <w:sz w:val="21"/>
                      <w:szCs w:val="21"/>
                      <w:vertAlign w:val="baseline"/>
                    </w:rPr>
                  </w:pPr>
                  <w:r>
                    <w:rPr>
                      <w:rFonts w:hint="default" w:ascii="Times New Roman" w:hAnsi="Times New Roman" w:eastAsia="仿宋" w:cs="Times New Roman"/>
                      <w:b w:val="0"/>
                      <w:bCs w:val="0"/>
                      <w:color w:val="auto"/>
                      <w:spacing w:val="7"/>
                      <w:sz w:val="21"/>
                      <w:szCs w:val="21"/>
                    </w:rPr>
                    <w:t>废矿物油</w:t>
                  </w:r>
                </w:p>
              </w:tc>
              <w:tc>
                <w:tcPr>
                  <w:tcW w:w="2669"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0.</w:t>
                  </w:r>
                  <w:r>
                    <w:rPr>
                      <w:rFonts w:hint="eastAsia" w:eastAsia="仿宋" w:cs="Times New Roman"/>
                      <w:b w:val="0"/>
                      <w:bCs w:val="0"/>
                      <w:color w:val="auto"/>
                      <w:spacing w:val="10"/>
                      <w:sz w:val="21"/>
                      <w:szCs w:val="21"/>
                      <w:vertAlign w:val="baseline"/>
                      <w:lang w:val="en-US" w:eastAsia="zh-CN"/>
                    </w:rPr>
                    <w:t>6</w:t>
                  </w:r>
                </w:p>
              </w:tc>
              <w:tc>
                <w:tcPr>
                  <w:tcW w:w="1213"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2500</w:t>
                  </w: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0.0002</w:t>
                  </w:r>
                  <w:r>
                    <w:rPr>
                      <w:rFonts w:hint="eastAsia" w:eastAsia="仿宋" w:cs="Times New Roman"/>
                      <w:b w:val="0"/>
                      <w:bCs w:val="0"/>
                      <w:color w:val="auto"/>
                      <w:spacing w:val="10"/>
                      <w:sz w:val="21"/>
                      <w:szCs w:val="21"/>
                      <w:vertAlign w:val="baseline"/>
                      <w:lang w:val="en-US" w:eastAsia="zh-CN"/>
                    </w:rPr>
                    <w:t>4</w:t>
                  </w:r>
                </w:p>
              </w:tc>
            </w:tr>
          </w:tbl>
          <w:p>
            <w:pPr>
              <w:pStyle w:val="85"/>
              <w:spacing w:before="45" w:line="468" w:lineRule="exact"/>
              <w:ind w:left="0" w:leftChars="0" w:firstLine="520" w:firstLineChars="200"/>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Cs/>
                <w:color w:val="auto"/>
                <w:spacing w:val="10"/>
                <w:kern w:val="2"/>
                <w:sz w:val="24"/>
                <w:szCs w:val="24"/>
                <w:lang w:val="en-US" w:eastAsia="zh-CN" w:bidi="ar-SA"/>
              </w:rPr>
              <w:t>根据本项目实际情况，计算得Q值为0.0002</w:t>
            </w:r>
            <w:r>
              <w:rPr>
                <w:rFonts w:hint="eastAsia" w:ascii="Times New Roman" w:hAnsi="Times New Roman" w:eastAsia="仿宋" w:cs="Times New Roman"/>
                <w:bCs/>
                <w:color w:val="auto"/>
                <w:spacing w:val="10"/>
                <w:kern w:val="2"/>
                <w:sz w:val="24"/>
                <w:szCs w:val="24"/>
                <w:lang w:val="en-US" w:eastAsia="zh-CN" w:bidi="ar-SA"/>
              </w:rPr>
              <w:t>4</w:t>
            </w:r>
            <w:r>
              <w:rPr>
                <w:rFonts w:hint="default" w:ascii="Times New Roman" w:hAnsi="Times New Roman" w:eastAsia="仿宋" w:cs="Times New Roman"/>
                <w:bCs/>
                <w:color w:val="auto"/>
                <w:spacing w:val="10"/>
                <w:kern w:val="2"/>
                <w:sz w:val="24"/>
                <w:szCs w:val="24"/>
                <w:lang w:val="en-US" w:eastAsia="zh-CN" w:bidi="ar-SA"/>
              </w:rPr>
              <w:t>，Q＜1，确定项目风险潜势为I。</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rPr>
            </w:pPr>
            <w:r>
              <w:rPr>
                <w:rFonts w:hint="default" w:ascii="Times New Roman" w:hAnsi="Times New Roman" w:eastAsia="仿宋" w:cs="Times New Roman"/>
                <w:b w:val="0"/>
                <w:bCs w:val="0"/>
                <w:color w:val="auto"/>
                <w:spacing w:val="10"/>
                <w:sz w:val="24"/>
                <w:szCs w:val="24"/>
              </w:rPr>
              <w:t>（2）评价等级划分</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rPr>
            </w:pPr>
            <w:r>
              <w:rPr>
                <w:rFonts w:hint="default" w:ascii="Times New Roman" w:hAnsi="Times New Roman" w:eastAsia="仿宋" w:cs="Times New Roman"/>
                <w:b w:val="0"/>
                <w:bCs w:val="0"/>
                <w:color w:val="auto"/>
                <w:spacing w:val="10"/>
                <w:sz w:val="24"/>
                <w:szCs w:val="24"/>
              </w:rPr>
              <w:t>根据《建设项目环境风险评价技术导则》（HJ/T169-2018）确定本项目评价等级，环境风险评价等级划分见表</w:t>
            </w:r>
            <w:r>
              <w:rPr>
                <w:rFonts w:hint="eastAsia" w:ascii="Times New Roman" w:hAnsi="Times New Roman" w:eastAsia="仿宋" w:cs="Times New Roman"/>
                <w:b w:val="0"/>
                <w:bCs w:val="0"/>
                <w:color w:val="auto"/>
                <w:spacing w:val="10"/>
                <w:sz w:val="24"/>
                <w:szCs w:val="24"/>
                <w:lang w:val="en-US" w:eastAsia="zh-CN"/>
              </w:rPr>
              <w:t>5-2</w:t>
            </w:r>
            <w:r>
              <w:rPr>
                <w:rFonts w:hint="default" w:ascii="Times New Roman" w:hAnsi="Times New Roman" w:eastAsia="仿宋" w:cs="Times New Roman"/>
                <w:b w:val="0"/>
                <w:bCs w:val="0"/>
                <w:color w:val="auto"/>
                <w:spacing w:val="1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 w:cs="Times New Roman"/>
                <w:b/>
                <w:bCs w:val="0"/>
                <w:color w:val="auto"/>
                <w:spacing w:val="10"/>
                <w:sz w:val="21"/>
                <w:szCs w:val="21"/>
                <w:lang w:val="en-US" w:eastAsia="zh-CN"/>
              </w:rPr>
            </w:pPr>
            <w:r>
              <w:rPr>
                <w:rFonts w:hint="eastAsia" w:ascii="Times New Roman" w:hAnsi="Times New Roman" w:eastAsia="仿宋" w:cs="Times New Roman"/>
                <w:b/>
                <w:bCs w:val="0"/>
                <w:color w:val="auto"/>
                <w:spacing w:val="10"/>
                <w:sz w:val="21"/>
                <w:szCs w:val="21"/>
                <w:lang w:val="en-US" w:eastAsia="zh-CN"/>
              </w:rPr>
              <w:t>表5-2</w:t>
            </w:r>
            <w:r>
              <w:rPr>
                <w:rFonts w:hint="default" w:ascii="Times New Roman" w:hAnsi="Times New Roman" w:eastAsia="仿宋" w:cs="Times New Roman"/>
                <w:b/>
                <w:bCs w:val="0"/>
                <w:color w:val="auto"/>
                <w:spacing w:val="10"/>
                <w:sz w:val="21"/>
                <w:szCs w:val="21"/>
                <w:lang w:val="en-US" w:eastAsia="zh-CN"/>
              </w:rPr>
              <w:t>环境风险评价等级划分表</w:t>
            </w:r>
          </w:p>
          <w:tbl>
            <w:tblPr>
              <w:tblStyle w:val="2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1902"/>
              <w:gridCol w:w="1733"/>
              <w:gridCol w:w="1532"/>
              <w:gridCol w:w="1618"/>
              <w:gridCol w:w="1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1156" w:type="pct"/>
                  <w:tcBorders>
                    <w:top w:val="single" w:color="auto" w:sz="4" w:space="0"/>
                    <w:left w:val="single" w:color="auto" w:sz="4" w:space="0"/>
                    <w:bottom w:val="nil"/>
                    <w:right w:val="nil"/>
                  </w:tcBorders>
                  <w:vAlign w:val="center"/>
                </w:tcPr>
                <w:p>
                  <w:pPr>
                    <w:pStyle w:val="46"/>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环境风险潜势</w:t>
                  </w:r>
                </w:p>
              </w:tc>
              <w:tc>
                <w:tcPr>
                  <w:tcW w:w="1053" w:type="pct"/>
                  <w:tcBorders>
                    <w:top w:val="single" w:color="auto" w:sz="4" w:space="0"/>
                    <w:left w:val="single" w:color="auto" w:sz="4" w:space="0"/>
                    <w:bottom w:val="nil"/>
                    <w:right w:val="nil"/>
                  </w:tcBorders>
                  <w:vAlign w:val="center"/>
                </w:tcPr>
                <w:p>
                  <w:pPr>
                    <w:pStyle w:val="46"/>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VI、VI+</w:t>
                  </w:r>
                </w:p>
              </w:tc>
              <w:tc>
                <w:tcPr>
                  <w:tcW w:w="931" w:type="pct"/>
                  <w:tcBorders>
                    <w:top w:val="single" w:color="auto" w:sz="4" w:space="0"/>
                    <w:left w:val="single" w:color="auto" w:sz="4" w:space="0"/>
                    <w:bottom w:val="nil"/>
                    <w:right w:val="nil"/>
                  </w:tcBorders>
                  <w:vAlign w:val="center"/>
                </w:tcPr>
                <w:p>
                  <w:pPr>
                    <w:pStyle w:val="46"/>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III</w:t>
                  </w:r>
                </w:p>
              </w:tc>
              <w:tc>
                <w:tcPr>
                  <w:tcW w:w="983" w:type="pct"/>
                  <w:tcBorders>
                    <w:top w:val="single" w:color="auto" w:sz="4" w:space="0"/>
                    <w:left w:val="single" w:color="auto" w:sz="4" w:space="0"/>
                    <w:bottom w:val="nil"/>
                    <w:right w:val="nil"/>
                  </w:tcBorders>
                  <w:vAlign w:val="center"/>
                </w:tcPr>
                <w:p>
                  <w:pPr>
                    <w:pStyle w:val="46"/>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II</w:t>
                  </w:r>
                </w:p>
              </w:tc>
              <w:tc>
                <w:tcPr>
                  <w:tcW w:w="874" w:type="pct"/>
                  <w:tcBorders>
                    <w:top w:val="single" w:color="auto" w:sz="4" w:space="0"/>
                    <w:left w:val="single" w:color="auto" w:sz="4" w:space="0"/>
                    <w:bottom w:val="nil"/>
                    <w:right w:val="single" w:color="auto" w:sz="4" w:space="0"/>
                  </w:tcBorders>
                  <w:vAlign w:val="center"/>
                </w:tcPr>
                <w:p>
                  <w:pPr>
                    <w:pStyle w:val="46"/>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1156" w:type="pct"/>
                  <w:tcBorders>
                    <w:top w:val="single" w:color="auto" w:sz="4" w:space="0"/>
                    <w:left w:val="single" w:color="auto" w:sz="4" w:space="0"/>
                    <w:bottom w:val="single" w:color="auto" w:sz="4" w:space="0"/>
                    <w:right w:val="nil"/>
                  </w:tcBorders>
                  <w:vAlign w:val="center"/>
                </w:tcPr>
                <w:p>
                  <w:pPr>
                    <w:pStyle w:val="46"/>
                    <w:spacing w:line="240" w:lineRule="auto"/>
                    <w:ind w:left="0" w:leftChars="0" w:firstLine="0" w:firstLineChars="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环境风险评价等级</w:t>
                  </w:r>
                </w:p>
              </w:tc>
              <w:tc>
                <w:tcPr>
                  <w:tcW w:w="1053"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一</w:t>
                  </w:r>
                </w:p>
              </w:tc>
              <w:tc>
                <w:tcPr>
                  <w:tcW w:w="931"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w:t>
                  </w:r>
                </w:p>
              </w:tc>
              <w:tc>
                <w:tcPr>
                  <w:tcW w:w="983"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三</w:t>
                  </w:r>
                </w:p>
              </w:tc>
              <w:tc>
                <w:tcPr>
                  <w:tcW w:w="874" w:type="pct"/>
                  <w:tcBorders>
                    <w:top w:val="single" w:color="auto" w:sz="4" w:space="0"/>
                    <w:left w:val="single" w:color="auto" w:sz="4" w:space="0"/>
                    <w:bottom w:val="single" w:color="auto" w:sz="4" w:space="0"/>
                    <w:right w:val="single" w:color="auto" w:sz="4" w:space="0"/>
                  </w:tcBorders>
                  <w:vAlign w:val="center"/>
                </w:tcPr>
                <w:p>
                  <w:pPr>
                    <w:pStyle w:val="46"/>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简单分析</w:t>
                  </w:r>
                  <w:r>
                    <w:rPr>
                      <w:rFonts w:hint="default" w:ascii="Times New Roman" w:hAnsi="Times New Roman" w:eastAsia="仿宋" w:cs="Times New Roman"/>
                      <w:color w:val="auto"/>
                      <w:sz w:val="21"/>
                      <w:szCs w:val="21"/>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6"/>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a</w:t>
                  </w:r>
                  <w:r>
                    <w:rPr>
                      <w:rFonts w:hint="default" w:ascii="Times New Roman" w:hAnsi="Times New Roman" w:eastAsia="仿宋" w:cs="Times New Roman"/>
                      <w:color w:val="auto"/>
                      <w:sz w:val="21"/>
                      <w:szCs w:val="21"/>
                    </w:rPr>
                    <w:t>是相对于详细评价工作内容而言，在描述危险物质、环境影响途径、环境危害后果、风险防范措施等方面给出定性的说明。</w:t>
                  </w:r>
                </w:p>
              </w:tc>
            </w:tr>
          </w:tbl>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color w:val="auto"/>
                <w:sz w:val="24"/>
                <w:szCs w:val="24"/>
              </w:rPr>
              <w:t>根据表</w:t>
            </w:r>
            <w:r>
              <w:rPr>
                <w:rFonts w:hint="eastAsia" w:ascii="Times New Roman" w:hAnsi="Times New Roman" w:eastAsia="仿宋" w:cs="Times New Roman"/>
                <w:color w:val="auto"/>
                <w:sz w:val="24"/>
                <w:szCs w:val="24"/>
                <w:lang w:val="en-US" w:eastAsia="zh-CN"/>
              </w:rPr>
              <w:t>5-2</w:t>
            </w:r>
            <w:r>
              <w:rPr>
                <w:rFonts w:hint="default" w:ascii="Times New Roman" w:hAnsi="Times New Roman" w:eastAsia="仿宋" w:cs="Times New Roman"/>
                <w:color w:val="auto"/>
                <w:sz w:val="24"/>
                <w:szCs w:val="24"/>
              </w:rPr>
              <w:t>风险评价工作级别划分依据，环境风险评价工作等级为“简单分析”。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0" w:firstLineChars="200"/>
              <w:jc w:val="left"/>
              <w:textAlignment w:val="auto"/>
              <w:rPr>
                <w:rFonts w:hint="default" w:ascii="Times New Roman" w:hAnsi="Times New Roman" w:eastAsia="仿宋" w:cs="Times New Roman"/>
                <w:b w:val="0"/>
                <w:bCs w:val="0"/>
                <w:color w:val="auto"/>
                <w:spacing w:val="10"/>
                <w:sz w:val="24"/>
                <w:szCs w:val="24"/>
              </w:rPr>
            </w:pPr>
            <w:r>
              <w:rPr>
                <w:rFonts w:hint="default" w:ascii="Times New Roman" w:hAnsi="Times New Roman" w:eastAsia="仿宋" w:cs="Times New Roman"/>
                <w:b w:val="0"/>
                <w:bCs w:val="0"/>
                <w:color w:val="auto"/>
                <w:spacing w:val="10"/>
                <w:sz w:val="24"/>
                <w:szCs w:val="24"/>
              </w:rPr>
              <w:t>根据简单分析的要求，本项目在描述危险物质、环境影响途径、环境危害后果、风险防范措施等方面给出定性的说明。</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w:t>
            </w:r>
            <w:r>
              <w:rPr>
                <w:rFonts w:hint="default" w:ascii="Times New Roman" w:hAnsi="Times New Roman" w:eastAsia="仿宋" w:cs="Times New Roman"/>
                <w:b w:val="0"/>
                <w:bCs w:val="0"/>
                <w:color w:val="auto"/>
                <w:spacing w:val="10"/>
                <w:sz w:val="24"/>
                <w:szCs w:val="24"/>
                <w:lang w:val="en-US" w:eastAsia="zh-CN"/>
              </w:rPr>
              <w:t>3</w:t>
            </w:r>
            <w:r>
              <w:rPr>
                <w:rFonts w:hint="default" w:ascii="Times New Roman" w:hAnsi="Times New Roman" w:eastAsia="仿宋" w:cs="Times New Roman"/>
                <w:b w:val="0"/>
                <w:bCs w:val="0"/>
                <w:color w:val="auto"/>
                <w:spacing w:val="10"/>
                <w:sz w:val="24"/>
                <w:szCs w:val="24"/>
                <w:lang w:eastAsia="zh-CN"/>
              </w:rPr>
              <w:t>）环境风险识别</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根据《建设项目环境风险评价技术导则》（HJ169-2018）内容，环境风险识别内容如下：</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本工程为砂石料矿开采项目，生产过程中所使用的主要物料不涉及有毒有害危险物质，其所涉及的易燃、易爆物质主要为废矿物油等，存在着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一定的潜在危险和有害因素。危险特性见表</w:t>
            </w:r>
            <w:r>
              <w:rPr>
                <w:rFonts w:hint="eastAsia" w:ascii="Times New Roman" w:hAnsi="Times New Roman" w:eastAsia="仿宋" w:cs="Times New Roman"/>
                <w:b w:val="0"/>
                <w:bCs w:val="0"/>
                <w:color w:val="auto"/>
                <w:spacing w:val="10"/>
                <w:sz w:val="24"/>
                <w:szCs w:val="24"/>
                <w:lang w:val="en-US" w:eastAsia="zh-CN"/>
              </w:rPr>
              <w:t>5-3</w:t>
            </w:r>
            <w:r>
              <w:rPr>
                <w:rFonts w:hint="default" w:ascii="Times New Roman" w:hAnsi="Times New Roman" w:eastAsia="仿宋" w:cs="Times New Roman"/>
                <w:b w:val="0"/>
                <w:bCs w:val="0"/>
                <w:color w:val="auto"/>
                <w:spacing w:val="10"/>
                <w:sz w:val="24"/>
                <w:szCs w:val="24"/>
                <w:lang w:eastAsia="zh-CN"/>
              </w:rPr>
              <w:t>。</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right="0"/>
              <w:jc w:val="center"/>
              <w:textAlignment w:val="auto"/>
              <w:rPr>
                <w:rFonts w:hint="default"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pacing w:val="10"/>
                <w:sz w:val="21"/>
                <w:szCs w:val="21"/>
                <w:lang w:val="en-US" w:eastAsia="zh-CN"/>
              </w:rPr>
              <w:t>表5-3</w:t>
            </w:r>
            <w:r>
              <w:rPr>
                <w:rFonts w:hint="default" w:ascii="Times New Roman" w:hAnsi="Times New Roman" w:eastAsia="仿宋" w:cs="Times New Roman"/>
                <w:b/>
                <w:bCs/>
                <w:color w:val="auto"/>
                <w:spacing w:val="10"/>
                <w:sz w:val="21"/>
                <w:szCs w:val="21"/>
                <w:lang w:eastAsia="zh-CN"/>
              </w:rPr>
              <w:t>危险特性见表</w:t>
            </w:r>
          </w:p>
          <w:tbl>
            <w:tblPr>
              <w:tblStyle w:val="86"/>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13"/>
              <w:gridCol w:w="878"/>
              <w:gridCol w:w="2031"/>
              <w:gridCol w:w="2863"/>
              <w:gridCol w:w="552"/>
              <w:gridCol w:w="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554"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危化品名</w:t>
                  </w:r>
                  <w:r>
                    <w:rPr>
                      <w:rFonts w:hint="default" w:ascii="Times New Roman" w:hAnsi="Times New Roman" w:eastAsia="仿宋" w:cs="Times New Roman"/>
                      <w:color w:val="auto"/>
                      <w:spacing w:val="1"/>
                      <w:sz w:val="21"/>
                      <w:szCs w:val="21"/>
                    </w:rPr>
                    <w:t>称</w:t>
                  </w:r>
                </w:p>
              </w:tc>
              <w:tc>
                <w:tcPr>
                  <w:tcW w:w="533"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危险性类</w:t>
                  </w:r>
                  <w:r>
                    <w:rPr>
                      <w:rFonts w:hint="default" w:ascii="Times New Roman" w:hAnsi="Times New Roman" w:eastAsia="仿宋" w:cs="Times New Roman"/>
                      <w:color w:val="auto"/>
                      <w:sz w:val="21"/>
                      <w:szCs w:val="21"/>
                    </w:rPr>
                    <w:t>别</w:t>
                  </w:r>
                </w:p>
              </w:tc>
              <w:tc>
                <w:tcPr>
                  <w:tcW w:w="123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理化特性</w:t>
                  </w:r>
                </w:p>
              </w:tc>
              <w:tc>
                <w:tcPr>
                  <w:tcW w:w="173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健康危害</w:t>
                  </w:r>
                </w:p>
              </w:tc>
              <w:tc>
                <w:tcPr>
                  <w:tcW w:w="33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3"/>
                      <w:sz w:val="21"/>
                      <w:szCs w:val="21"/>
                    </w:rPr>
                    <w:t>危险</w:t>
                  </w:r>
                  <w:r>
                    <w:rPr>
                      <w:rFonts w:hint="default" w:ascii="Times New Roman" w:hAnsi="Times New Roman" w:eastAsia="仿宋" w:cs="Times New Roman"/>
                      <w:color w:val="auto"/>
                      <w:spacing w:val="4"/>
                      <w:sz w:val="21"/>
                      <w:szCs w:val="21"/>
                    </w:rPr>
                    <w:t>特性</w:t>
                  </w:r>
                </w:p>
              </w:tc>
              <w:tc>
                <w:tcPr>
                  <w:tcW w:w="605" w:type="pct"/>
                  <w:tcBorders>
                    <w:right w:val="single" w:color="000000" w:sz="6"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主要危险</w:t>
                  </w:r>
                  <w:r>
                    <w:rPr>
                      <w:rFonts w:hint="default" w:ascii="Times New Roman" w:hAnsi="Times New Roman" w:eastAsia="仿宋" w:cs="Times New Roman"/>
                      <w:color w:val="auto"/>
                      <w:spacing w:val="7"/>
                      <w:sz w:val="21"/>
                      <w:szCs w:val="21"/>
                    </w:rPr>
                    <w:t>有害因素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554"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废机油</w:t>
                  </w:r>
                </w:p>
              </w:tc>
              <w:tc>
                <w:tcPr>
                  <w:tcW w:w="533"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危险废物</w:t>
                  </w:r>
                </w:p>
              </w:tc>
              <w:tc>
                <w:tcPr>
                  <w:tcW w:w="1232"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外观与性状：油状</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液体，淡黄色至褐</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色，无气味或略带</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异味。相对密度</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position w:val="2"/>
                      <w:sz w:val="21"/>
                      <w:szCs w:val="21"/>
                    </w:rPr>
                    <w:t>(水=1)：0.89(纯</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2"/>
                      <w:sz w:val="21"/>
                      <w:szCs w:val="21"/>
                    </w:rPr>
                    <w:t>品</w:t>
                  </w:r>
                  <w:r>
                    <w:rPr>
                      <w:rFonts w:hint="default" w:ascii="Times New Roman" w:hAnsi="Times New Roman" w:eastAsia="仿宋" w:cs="Times New Roman"/>
                      <w:color w:val="auto"/>
                      <w:spacing w:val="-2"/>
                      <w:sz w:val="21"/>
                      <w:szCs w:val="21"/>
                      <w:lang w:eastAsia="zh-CN"/>
                    </w:rPr>
                    <w:t>）</w:t>
                  </w:r>
                  <w:r>
                    <w:rPr>
                      <w:rFonts w:hint="default" w:ascii="Times New Roman" w:hAnsi="Times New Roman" w:eastAsia="仿宋" w:cs="Times New Roman"/>
                      <w:color w:val="auto"/>
                      <w:spacing w:val="-2"/>
                      <w:sz w:val="21"/>
                      <w:szCs w:val="21"/>
                    </w:rPr>
                    <w:t>沸点：260℃闪</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25"/>
                      <w:sz w:val="21"/>
                      <w:szCs w:val="21"/>
                    </w:rPr>
                    <w:t>点：76℃</w:t>
                  </w:r>
                  <w:r>
                    <w:rPr>
                      <w:rFonts w:hint="default" w:ascii="Times New Roman" w:hAnsi="Times New Roman" w:eastAsia="仿宋" w:cs="Times New Roman"/>
                      <w:color w:val="auto"/>
                      <w:spacing w:val="-25"/>
                      <w:sz w:val="21"/>
                      <w:szCs w:val="21"/>
                      <w:lang w:eastAsia="zh-CN"/>
                    </w:rPr>
                    <w:t>，</w:t>
                  </w:r>
                  <w:r>
                    <w:rPr>
                      <w:rFonts w:hint="default" w:ascii="Times New Roman" w:hAnsi="Times New Roman" w:eastAsia="仿宋" w:cs="Times New Roman"/>
                      <w:color w:val="auto"/>
                      <w:spacing w:val="-25"/>
                      <w:sz w:val="21"/>
                      <w:szCs w:val="21"/>
                    </w:rPr>
                    <w:t>自燃点；</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248℃</w:t>
                  </w:r>
                </w:p>
              </w:tc>
              <w:tc>
                <w:tcPr>
                  <w:tcW w:w="1737"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急性吸入，可出现乏力、头晕、头</w:t>
                  </w:r>
                  <w:r>
                    <w:rPr>
                      <w:rFonts w:hint="default" w:ascii="Times New Roman" w:hAnsi="Times New Roman" w:eastAsia="仿宋" w:cs="Times New Roman"/>
                      <w:color w:val="auto"/>
                      <w:spacing w:val="9"/>
                      <w:sz w:val="21"/>
                      <w:szCs w:val="21"/>
                    </w:rPr>
                    <w:t>痛、恶心，严重者可引起油脂性肺炎。慢接触者，暴露部位可发生油性痤疮和接触性皮炎。可引起神经衰弱综合征，呼吸道和眼刺激症状及慢性油脂性肺炎。有资料报道，接触石油润滑油类的工人，有致癌</w:t>
                  </w:r>
                  <w:r>
                    <w:rPr>
                      <w:rFonts w:hint="default" w:ascii="Times New Roman" w:hAnsi="Times New Roman" w:eastAsia="仿宋" w:cs="Times New Roman"/>
                      <w:color w:val="auto"/>
                      <w:spacing w:val="4"/>
                      <w:sz w:val="21"/>
                      <w:szCs w:val="21"/>
                    </w:rPr>
                    <w:t>的病例报告</w:t>
                  </w:r>
                </w:p>
              </w:tc>
              <w:tc>
                <w:tcPr>
                  <w:tcW w:w="335" w:type="pct"/>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遇明</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火、高</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热可</w:t>
                  </w:r>
                </w:p>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燃</w:t>
                  </w:r>
                </w:p>
              </w:tc>
              <w:tc>
                <w:tcPr>
                  <w:tcW w:w="605" w:type="pct"/>
                  <w:tcBorders>
                    <w:right w:val="single" w:color="000000" w:sz="6" w:space="0"/>
                  </w:tcBorders>
                  <w:vAlign w:val="center"/>
                </w:tcPr>
                <w:p>
                  <w:pPr>
                    <w:pStyle w:val="8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3"/>
                      <w:sz w:val="21"/>
                      <w:szCs w:val="21"/>
                    </w:rPr>
                    <w:t>火灾</w:t>
                  </w:r>
                </w:p>
              </w:tc>
            </w:tr>
          </w:tbl>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2"/>
              </w:rPr>
            </w:pPr>
            <w:r>
              <w:rPr>
                <w:rFonts w:hint="default" w:ascii="Times New Roman" w:hAnsi="Times New Roman" w:eastAsia="仿宋" w:cs="Times New Roman"/>
                <w:color w:val="auto"/>
                <w:spacing w:val="-2"/>
                <w:lang w:val="en-US" w:eastAsia="zh-CN"/>
              </w:rPr>
              <w:t>（4）</w:t>
            </w:r>
            <w:r>
              <w:rPr>
                <w:rFonts w:hint="default" w:ascii="Times New Roman" w:hAnsi="Times New Roman" w:eastAsia="仿宋" w:cs="Times New Roman"/>
                <w:color w:val="auto"/>
                <w:spacing w:val="-2"/>
              </w:rPr>
              <w:t>环境风险影响分析</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lang w:eastAsia="zh-CN"/>
              </w:rPr>
              <w:t>①</w:t>
            </w:r>
            <w:r>
              <w:rPr>
                <w:rFonts w:hint="default" w:ascii="Times New Roman" w:hAnsi="Times New Roman" w:eastAsia="仿宋" w:cs="Times New Roman"/>
                <w:color w:val="auto"/>
                <w:spacing w:val="-2"/>
              </w:rPr>
              <w:t>地质灾害风险分析</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3"/>
              </w:rPr>
              <w:t>地质灾害主要是由于采挖等作业造成的滑坡现象。滑坡是因边坡开挖后，破坏了</w:t>
            </w:r>
            <w:r>
              <w:rPr>
                <w:rFonts w:hint="default" w:ascii="Times New Roman" w:hAnsi="Times New Roman" w:eastAsia="仿宋" w:cs="Times New Roman"/>
                <w:color w:val="auto"/>
                <w:spacing w:val="3"/>
                <w:lang w:eastAsia="zh-CN"/>
              </w:rPr>
              <w:t>砂石</w:t>
            </w:r>
            <w:r>
              <w:rPr>
                <w:rFonts w:hint="default" w:ascii="Times New Roman" w:hAnsi="Times New Roman" w:eastAsia="仿宋" w:cs="Times New Roman"/>
                <w:color w:val="auto"/>
                <w:spacing w:val="3"/>
              </w:rPr>
              <w:t>内部初始应力的平衡引起</w:t>
            </w:r>
            <w:r>
              <w:rPr>
                <w:rFonts w:hint="default" w:ascii="Times New Roman" w:hAnsi="Times New Roman" w:eastAsia="仿宋" w:cs="Times New Roman"/>
                <w:color w:val="auto"/>
                <w:spacing w:val="3"/>
                <w:lang w:eastAsia="zh-CN"/>
              </w:rPr>
              <w:t>砂石</w:t>
            </w:r>
            <w:r>
              <w:rPr>
                <w:rFonts w:hint="default" w:ascii="Times New Roman" w:hAnsi="Times New Roman" w:eastAsia="仿宋" w:cs="Times New Roman"/>
                <w:color w:val="auto"/>
                <w:spacing w:val="3"/>
              </w:rPr>
              <w:t>大规模位移的现象。按破坏形式，滑坡可分为塌落和倾倒式破坏。滑坡发生时对处于危险区的</w:t>
            </w:r>
            <w:r>
              <w:rPr>
                <w:rFonts w:hint="default" w:ascii="Times New Roman" w:hAnsi="Times New Roman" w:eastAsia="仿宋" w:cs="Times New Roman"/>
                <w:color w:val="auto"/>
                <w:spacing w:val="-1"/>
              </w:rPr>
              <w:t>设备、设施可能造成破坏，对处于危险区人员可能构成伤亡。</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rPr>
              <w:t>引起滑坡的主要原因有：不良地质条件；地压过高；</w:t>
            </w:r>
            <w:r>
              <w:rPr>
                <w:rFonts w:hint="default" w:ascii="Times New Roman" w:hAnsi="Times New Roman" w:eastAsia="仿宋" w:cs="Times New Roman"/>
                <w:color w:val="auto"/>
                <w:spacing w:val="3"/>
              </w:rPr>
              <w:t>降水影响；维护加固不当；边坡过高过陡等。本项目废石产生量较少，产生的废石综合利用后堆放在设计的废石堆场内，应</w:t>
            </w:r>
            <w:r>
              <w:rPr>
                <w:rFonts w:hint="eastAsia" w:ascii="Times New Roman" w:hAnsi="Times New Roman" w:eastAsia="仿宋" w:cs="Times New Roman"/>
                <w:color w:val="auto"/>
                <w:spacing w:val="3"/>
                <w:lang w:eastAsia="zh-CN"/>
              </w:rPr>
              <w:t>主要</w:t>
            </w:r>
            <w:r>
              <w:rPr>
                <w:rFonts w:hint="default" w:ascii="Times New Roman" w:hAnsi="Times New Roman" w:eastAsia="仿宋" w:cs="Times New Roman"/>
                <w:color w:val="auto"/>
                <w:spacing w:val="3"/>
              </w:rPr>
              <w:t>关注采场及废石</w:t>
            </w:r>
            <w:r>
              <w:rPr>
                <w:rFonts w:hint="default" w:ascii="Times New Roman" w:hAnsi="Times New Roman" w:eastAsia="仿宋" w:cs="Times New Roman"/>
                <w:color w:val="auto"/>
                <w:spacing w:val="-1"/>
              </w:rPr>
              <w:t>堆场的边坡滑坡、塌方的风险。</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lang w:eastAsia="zh-CN"/>
              </w:rPr>
              <w:t>②</w:t>
            </w:r>
            <w:r>
              <w:rPr>
                <w:rFonts w:hint="default" w:ascii="Times New Roman" w:hAnsi="Times New Roman" w:eastAsia="仿宋" w:cs="Times New Roman"/>
                <w:color w:val="auto"/>
                <w:spacing w:val="-2"/>
              </w:rPr>
              <w:t>堆场灾害风险分析</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val="en-US" w:eastAsia="zh-CN"/>
              </w:rPr>
            </w:pPr>
            <w:r>
              <w:rPr>
                <w:rFonts w:hint="default" w:ascii="Times New Roman" w:hAnsi="Times New Roman" w:eastAsia="仿宋" w:cs="Times New Roman"/>
                <w:b w:val="0"/>
                <w:bCs w:val="0"/>
                <w:color w:val="auto"/>
                <w:spacing w:val="10"/>
                <w:sz w:val="24"/>
                <w:szCs w:val="24"/>
                <w:lang w:val="en-US" w:eastAsia="zh-CN"/>
              </w:rPr>
              <w:t>废石堆场是露天矿组织生产不可缺少的附属工程，它作为露天矿山存放废石的场地，是以人工排入形式把大小各异、形状不同的废石块堆积在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spacing w:val="10"/>
                <w:sz w:val="24"/>
                <w:szCs w:val="24"/>
                <w:lang w:val="en-US" w:eastAsia="zh-CN"/>
              </w:rPr>
              <w:t>一起，这些杂乱无章、离散分布的废石块又承受着上方堆体荷重。废石堆</w:t>
            </w:r>
            <w:r>
              <w:rPr>
                <w:rFonts w:hint="default" w:ascii="Times New Roman" w:hAnsi="Times New Roman" w:eastAsia="仿宋" w:cs="Times New Roman"/>
                <w:b w:val="0"/>
                <w:bCs w:val="0"/>
                <w:color w:val="auto"/>
                <w:spacing w:val="3"/>
                <w:sz w:val="24"/>
                <w:szCs w:val="24"/>
              </w:rPr>
              <w:t>场基底与废石块之间接触是不连续的、离散的蜂窝状，刚性与塑性体之间呈嵌合式接触。特殊的结构极易使岩土体依附于其内在或潜在的软弱结构</w:t>
            </w:r>
            <w:r>
              <w:rPr>
                <w:rFonts w:hint="default" w:ascii="Times New Roman" w:hAnsi="Times New Roman" w:eastAsia="仿宋" w:cs="Times New Roman"/>
                <w:b w:val="0"/>
                <w:bCs w:val="0"/>
                <w:color w:val="auto"/>
                <w:spacing w:val="-3"/>
                <w:sz w:val="24"/>
                <w:szCs w:val="24"/>
              </w:rPr>
              <w:t>面</w:t>
            </w:r>
            <w:r>
              <w:rPr>
                <w:rFonts w:hint="default" w:ascii="Times New Roman" w:hAnsi="Times New Roman" w:eastAsia="仿宋" w:cs="Times New Roman"/>
                <w:b w:val="0"/>
                <w:bCs w:val="0"/>
                <w:color w:val="auto"/>
                <w:spacing w:val="-3"/>
                <w:sz w:val="24"/>
                <w:szCs w:val="24"/>
                <w:lang w:eastAsia="zh-CN"/>
              </w:rPr>
              <w:t>（</w:t>
            </w:r>
            <w:r>
              <w:rPr>
                <w:rFonts w:hint="default" w:ascii="Times New Roman" w:hAnsi="Times New Roman" w:eastAsia="仿宋" w:cs="Times New Roman"/>
                <w:b w:val="0"/>
                <w:bCs w:val="0"/>
                <w:color w:val="auto"/>
                <w:spacing w:val="-3"/>
                <w:sz w:val="24"/>
                <w:szCs w:val="24"/>
              </w:rPr>
              <w:t>带</w:t>
            </w:r>
            <w:r>
              <w:rPr>
                <w:rFonts w:hint="default" w:ascii="Times New Roman" w:hAnsi="Times New Roman" w:eastAsia="仿宋" w:cs="Times New Roman"/>
                <w:b w:val="0"/>
                <w:bCs w:val="0"/>
                <w:color w:val="auto"/>
                <w:spacing w:val="-3"/>
                <w:sz w:val="24"/>
                <w:szCs w:val="24"/>
                <w:lang w:eastAsia="zh-CN"/>
              </w:rPr>
              <w:t>）</w:t>
            </w:r>
            <w:r>
              <w:rPr>
                <w:rFonts w:hint="default" w:ascii="Times New Roman" w:hAnsi="Times New Roman" w:eastAsia="仿宋" w:cs="Times New Roman"/>
                <w:b w:val="0"/>
                <w:bCs w:val="0"/>
                <w:color w:val="auto"/>
                <w:spacing w:val="-3"/>
                <w:sz w:val="24"/>
                <w:szCs w:val="24"/>
              </w:rPr>
              <w:t>，在重力、雨水等综合因素作用下，失去原有的平衡条件</w:t>
            </w:r>
            <w:r>
              <w:rPr>
                <w:rFonts w:hint="default" w:ascii="Times New Roman" w:hAnsi="Times New Roman" w:eastAsia="仿宋" w:cs="Times New Roman"/>
                <w:b w:val="0"/>
                <w:bCs w:val="0"/>
                <w:color w:val="auto"/>
                <w:spacing w:val="-4"/>
                <w:sz w:val="24"/>
                <w:szCs w:val="24"/>
              </w:rPr>
              <w:t>，长期堆放</w:t>
            </w:r>
            <w:r>
              <w:rPr>
                <w:rFonts w:hint="default" w:ascii="Times New Roman" w:hAnsi="Times New Roman" w:eastAsia="仿宋" w:cs="Times New Roman"/>
                <w:b w:val="0"/>
                <w:bCs w:val="0"/>
                <w:color w:val="auto"/>
                <w:spacing w:val="3"/>
                <w:sz w:val="24"/>
                <w:szCs w:val="24"/>
              </w:rPr>
              <w:t>累积形成的废岩边坡失稳，致使松散废岩弃土整体大规模错动、滑移，造成滑坡。废石堆场滑坡的类型通常有：推动式滑坡和牵引式滑坡。前者是生产中排弃工艺不科学，如堆排边坡太大、加载过快、人为干扰</w:t>
            </w:r>
            <w:r>
              <w:rPr>
                <w:rFonts w:hint="eastAsia" w:eastAsia="仿宋" w:cs="Times New Roman"/>
                <w:b w:val="0"/>
                <w:bCs w:val="0"/>
                <w:color w:val="auto"/>
                <w:spacing w:val="3"/>
                <w:sz w:val="24"/>
                <w:szCs w:val="24"/>
                <w:lang w:eastAsia="zh-CN"/>
              </w:rPr>
              <w:t>或</w:t>
            </w:r>
            <w:r>
              <w:rPr>
                <w:rFonts w:hint="default" w:ascii="Times New Roman" w:hAnsi="Times New Roman" w:eastAsia="仿宋" w:cs="Times New Roman"/>
                <w:b w:val="0"/>
                <w:bCs w:val="0"/>
                <w:color w:val="auto"/>
                <w:spacing w:val="3"/>
                <w:sz w:val="24"/>
                <w:szCs w:val="24"/>
              </w:rPr>
              <w:t>自然</w:t>
            </w:r>
            <w:r>
              <w:rPr>
                <w:rFonts w:hint="default" w:ascii="Times New Roman" w:hAnsi="Times New Roman" w:eastAsia="仿宋" w:cs="Times New Roman"/>
                <w:b w:val="0"/>
                <w:bCs w:val="0"/>
                <w:color w:val="auto"/>
                <w:spacing w:val="-2"/>
                <w:sz w:val="24"/>
                <w:szCs w:val="24"/>
              </w:rPr>
              <w:t>不可抗力的作用引起，其活动方式是上部先滑动，而后推动下部一起滑动。</w:t>
            </w:r>
            <w:r>
              <w:rPr>
                <w:rFonts w:hint="default" w:ascii="Times New Roman" w:hAnsi="Times New Roman" w:eastAsia="仿宋" w:cs="Times New Roman"/>
                <w:b w:val="0"/>
                <w:bCs w:val="0"/>
                <w:color w:val="auto"/>
                <w:spacing w:val="4"/>
                <w:sz w:val="24"/>
                <w:szCs w:val="24"/>
              </w:rPr>
              <w:t>后者是基底存在的软弱层在施工期处理不当，或排水设施不健全等原</w:t>
            </w:r>
            <w:r>
              <w:rPr>
                <w:rFonts w:hint="default" w:ascii="Times New Roman" w:hAnsi="Times New Roman" w:eastAsia="仿宋" w:cs="Times New Roman"/>
                <w:b w:val="0"/>
                <w:bCs w:val="0"/>
                <w:color w:val="auto"/>
                <w:spacing w:val="3"/>
                <w:sz w:val="24"/>
                <w:szCs w:val="24"/>
              </w:rPr>
              <w:t>因，致使废石堆场荷载作用下的基底抗剪阻力急剧下降，受荷变形、造成整体</w:t>
            </w:r>
            <w:r>
              <w:rPr>
                <w:rFonts w:hint="default" w:ascii="Times New Roman" w:hAnsi="Times New Roman" w:eastAsia="仿宋" w:cs="Times New Roman"/>
                <w:b w:val="0"/>
                <w:bCs w:val="0"/>
                <w:color w:val="auto"/>
                <w:spacing w:val="-1"/>
                <w:sz w:val="24"/>
                <w:szCs w:val="24"/>
              </w:rPr>
              <w:t>剪切破坏，其活动方式是底部滑动而引发废石堆场整体失去平衡。</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（5）环境风险防范措施</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1）采取公共安全防范措施</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矿区应在总体规划布局时，建立健全的规章制度，加强管理，尤其是要严格对堆场坡脚、开采坡脚防护设施的管理和安全检查，保证安全运行。</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2）地质灾害事故防范措施</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3"/>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highlight w:val="none"/>
                <w:lang w:val="en-US" w:eastAsia="zh-CN" w:bidi="ar-SA"/>
              </w:rPr>
              <w:t>项目区</w:t>
            </w:r>
            <w:r>
              <w:rPr>
                <w:rFonts w:hint="default" w:ascii="Times New Roman" w:hAnsi="Times New Roman" w:eastAsia="仿宋" w:cs="Times New Roman"/>
                <w:color w:val="auto"/>
                <w:sz w:val="24"/>
                <w:szCs w:val="24"/>
                <w:highlight w:val="none"/>
                <w:lang w:val="en-US" w:eastAsia="zh-CN"/>
              </w:rPr>
              <w:t>年降雨量为0.8-5.2㎜，年蒸发量为降雨量的100倍以上</w:t>
            </w:r>
            <w:r>
              <w:rPr>
                <w:rFonts w:hint="default" w:ascii="Times New Roman" w:hAnsi="Times New Roman" w:eastAsia="仿宋" w:cs="Times New Roman"/>
                <w:b w:val="0"/>
                <w:bCs w:val="0"/>
                <w:color w:val="auto"/>
                <w:spacing w:val="4"/>
                <w:kern w:val="2"/>
                <w:sz w:val="24"/>
                <w:szCs w:val="24"/>
                <w:highlight w:val="none"/>
                <w:lang w:val="en-US" w:eastAsia="zh-CN" w:bidi="ar-SA"/>
              </w:rPr>
              <w:t>。</w:t>
            </w:r>
            <w:r>
              <w:rPr>
                <w:rFonts w:hint="default" w:ascii="Times New Roman" w:hAnsi="Times New Roman" w:eastAsia="仿宋" w:cs="Times New Roman"/>
                <w:b w:val="0"/>
                <w:bCs w:val="0"/>
                <w:color w:val="auto"/>
                <w:spacing w:val="4"/>
                <w:kern w:val="2"/>
                <w:sz w:val="24"/>
                <w:szCs w:val="24"/>
                <w:lang w:val="en-US" w:eastAsia="zh-CN" w:bidi="ar-SA"/>
              </w:rPr>
              <w:t>虽然项目区降雨稀少，考虑在夏季有可能发生暴雨。本项目采矿场开采、废料、产品堆放过程中有可能引发采场、堆场边坡滑坡、塌方、泥石流等地质灾害，现提出以下地质灾害预防措施：</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①采取边开采边恢复的方式，缩短堆放时间。</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②在各类物料堆场中进行压实作业。</w:t>
            </w:r>
          </w:p>
          <w:p>
            <w:pPr>
              <w:pStyle w:val="85"/>
              <w:keepNext w:val="0"/>
              <w:keepLines w:val="0"/>
              <w:pageBreakBefore w:val="0"/>
              <w:widowControl w:val="0"/>
              <w:kinsoku/>
              <w:wordWrap/>
              <w:overflowPunct/>
              <w:topLinePunct w:val="0"/>
              <w:autoSpaceDE/>
              <w:autoSpaceDN/>
              <w:bidi w:val="0"/>
              <w:adjustRightInd/>
              <w:snapToGrid/>
              <w:spacing w:line="360" w:lineRule="auto"/>
              <w:ind w:left="0" w:leftChars="0" w:right="0" w:firstLine="496" w:firstLineChars="20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③及时削减边坡角，清理危岩体，定期加强对不稳定边坡的监测，在危险地段设置警示牌及铁丝围栏。</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④矿山开采期间需严格按照设计规范要求开采，并加强边坡稳定巡查排险，及时处理高陡边坡。</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⑤在可能发生地质灾害区段设置警示标志。</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⑥不超挖坡底，不留伞檐，进行科学、合理的采剥。</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⑦严禁采场内台阶上下垂直方向双层作业。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⑧在台阶坡面作业时，必须佩戴安全带。</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⑨大雾、大雨、暴风雨时应停止作业。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3）废矿物油泄漏预防措施</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3）废矿物油泄漏预防措施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96" w:firstLineChars="200"/>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①使用符合标准的容器盛装危险废物；应定期对暂时贮存危险废物包装及设施进行检查，发现破损，及时采取措施清理更换；</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②设有专人负责危险废物维护及管理，避免因危险废物泄漏、乱堆乱弃造成环境污染；</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③应指定专人负责危废的收集、运输管理工作，运输车辆的司机和押运人员应经专业培训。</w:t>
            </w:r>
          </w:p>
          <w:p>
            <w:pPr>
              <w:pStyle w:val="85"/>
              <w:keepNext w:val="0"/>
              <w:keepLines w:val="0"/>
              <w:pageBreakBefore w:val="0"/>
              <w:widowControl w:val="0"/>
              <w:tabs>
                <w:tab w:val="left" w:pos="363"/>
              </w:tabs>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val="0"/>
                <w:bCs w:val="0"/>
                <w:color w:val="auto"/>
                <w:spacing w:val="4"/>
                <w:kern w:val="2"/>
                <w:sz w:val="24"/>
                <w:szCs w:val="24"/>
                <w:lang w:val="en-US" w:eastAsia="zh-CN" w:bidi="ar-SA"/>
              </w:rPr>
            </w:pPr>
            <w:r>
              <w:rPr>
                <w:rFonts w:hint="eastAsia" w:ascii="Times New Roman" w:hAnsi="Times New Roman" w:eastAsia="仿宋" w:cs="Times New Roman"/>
                <w:b w:val="0"/>
                <w:bCs w:val="0"/>
                <w:color w:val="auto"/>
                <w:spacing w:val="4"/>
                <w:kern w:val="2"/>
                <w:sz w:val="24"/>
                <w:szCs w:val="24"/>
                <w:lang w:val="en-US" w:eastAsia="zh-CN" w:bidi="ar-SA"/>
              </w:rPr>
              <w:t>④废机油必须有专门的运输车辆运输，要求押运人员持有押运证，并携带安全资料表，装卸过程要轻装轻放，避免撞击、重压和摩擦。危险废物必须堆放在专用的场所，并按有关协议规定定期转移给有资质和有处理能力的固废处置中心处理。</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（6）分析结论</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风险评价的结果表明，本项目涉及的危险物质为废矿物油，不设置柴油储罐，采用罐车拉运方式。根据《建设项目环境风险评价技术导则》（HJ169-2018）中判定原则，本项目环境风险潜势为Ⅰ</w:t>
            </w:r>
            <w:r>
              <w:rPr>
                <w:rFonts w:hint="eastAsia" w:ascii="Times New Roman" w:hAnsi="Times New Roman" w:eastAsia="仿宋" w:cs="Times New Roman"/>
                <w:b w:val="0"/>
                <w:bCs w:val="0"/>
                <w:color w:val="auto"/>
                <w:spacing w:val="4"/>
                <w:kern w:val="2"/>
                <w:sz w:val="24"/>
                <w:szCs w:val="24"/>
                <w:lang w:val="en-US" w:eastAsia="zh-CN" w:bidi="ar-SA"/>
              </w:rPr>
              <w:t>，</w:t>
            </w:r>
            <w:r>
              <w:rPr>
                <w:rFonts w:hint="default" w:ascii="Times New Roman" w:hAnsi="Times New Roman" w:eastAsia="仿宋" w:cs="Times New Roman"/>
                <w:b w:val="0"/>
                <w:bCs w:val="0"/>
                <w:color w:val="auto"/>
                <w:spacing w:val="4"/>
                <w:kern w:val="2"/>
                <w:sz w:val="24"/>
                <w:szCs w:val="24"/>
                <w:lang w:val="en-US" w:eastAsia="zh-CN" w:bidi="ar-SA"/>
              </w:rPr>
              <w:t>故进行简单分析。本项目环境风险主要来自开采、堆放过程造成的滑坡风险、废矿物油泄漏造成环境污染等。在进一步采取安全防范措施、在落实各项环保措施和采取本报告书提出的有关建议的前提下，基本满足国家相关环境保护和安全法规、标准的要求，该项目发生风险事故的可能进一步降低，其潜在的环境风险是可以接受的。但企业仍需要提高风险管理水平和强化风险防范措施，降低环境风险事故发生的概率。建设项目环境风险简单分析内容见表</w:t>
            </w:r>
            <w:r>
              <w:rPr>
                <w:rFonts w:hint="eastAsia" w:ascii="Times New Roman" w:hAnsi="Times New Roman" w:eastAsia="仿宋" w:cs="Times New Roman"/>
                <w:b w:val="0"/>
                <w:bCs w:val="0"/>
                <w:color w:val="auto"/>
                <w:spacing w:val="4"/>
                <w:kern w:val="2"/>
                <w:sz w:val="24"/>
                <w:szCs w:val="24"/>
                <w:lang w:val="en-US" w:eastAsia="zh-CN" w:bidi="ar-SA"/>
              </w:rPr>
              <w:t>5-4</w:t>
            </w:r>
            <w:r>
              <w:rPr>
                <w:rFonts w:hint="default" w:ascii="Times New Roman" w:hAnsi="Times New Roman" w:eastAsia="仿宋" w:cs="Times New Roman"/>
                <w:b w:val="0"/>
                <w:bCs w:val="0"/>
                <w:color w:val="auto"/>
                <w:spacing w:val="4"/>
                <w:kern w:val="2"/>
                <w:sz w:val="24"/>
                <w:szCs w:val="24"/>
                <w:lang w:val="en-US" w:eastAsia="zh-CN" w:bidi="ar-SA"/>
              </w:rPr>
              <w:t>。</w:t>
            </w:r>
          </w:p>
          <w:p>
            <w:pPr>
              <w:pStyle w:val="85"/>
              <w:keepNext w:val="0"/>
              <w:keepLines w:val="0"/>
              <w:pageBreakBefore w:val="0"/>
              <w:widowControl w:val="0"/>
              <w:kinsoku/>
              <w:wordWrap/>
              <w:overflowPunct/>
              <w:topLinePunct w:val="0"/>
              <w:autoSpaceDE/>
              <w:autoSpaceDN/>
              <w:bidi w:val="0"/>
              <w:adjustRightInd/>
              <w:snapToGrid/>
              <w:spacing w:line="360" w:lineRule="auto"/>
              <w:ind w:left="0" w:right="0" w:firstLine="481"/>
              <w:jc w:val="center"/>
              <w:textAlignment w:val="auto"/>
              <w:rPr>
                <w:rFonts w:hint="default" w:ascii="Times New Roman" w:hAnsi="Times New Roman" w:eastAsia="仿宋" w:cs="Times New Roman"/>
                <w:b/>
                <w:bCs/>
                <w:color w:val="auto"/>
                <w:spacing w:val="4"/>
                <w:kern w:val="2"/>
                <w:sz w:val="21"/>
                <w:szCs w:val="21"/>
                <w:lang w:val="en-US" w:eastAsia="zh-CN" w:bidi="ar-SA"/>
              </w:rPr>
            </w:pPr>
            <w:r>
              <w:rPr>
                <w:rFonts w:hint="eastAsia" w:ascii="Times New Roman" w:hAnsi="Times New Roman" w:eastAsia="仿宋" w:cs="Times New Roman"/>
                <w:b/>
                <w:bCs/>
                <w:color w:val="auto"/>
                <w:spacing w:val="4"/>
                <w:kern w:val="2"/>
                <w:sz w:val="21"/>
                <w:szCs w:val="21"/>
                <w:lang w:val="en-US" w:eastAsia="zh-CN" w:bidi="ar-SA"/>
              </w:rPr>
              <w:t>表5-4</w:t>
            </w:r>
            <w:r>
              <w:rPr>
                <w:rFonts w:hint="default" w:ascii="Times New Roman" w:hAnsi="Times New Roman" w:eastAsia="仿宋" w:cs="Times New Roman"/>
                <w:b/>
                <w:bCs/>
                <w:color w:val="auto"/>
                <w:spacing w:val="4"/>
                <w:kern w:val="2"/>
                <w:sz w:val="21"/>
                <w:szCs w:val="21"/>
                <w:lang w:val="en-US" w:eastAsia="zh-CN" w:bidi="ar-SA"/>
              </w:rPr>
              <w:t>建设项目环境风险简单分析内容表</w:t>
            </w:r>
          </w:p>
          <w:tbl>
            <w:tblPr>
              <w:tblStyle w:val="86"/>
              <w:tblW w:w="82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48"/>
              <w:gridCol w:w="6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jc w:val="center"/>
              </w:trPr>
              <w:tc>
                <w:tcPr>
                  <w:tcW w:w="1001"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建设项目名称</w:t>
                  </w:r>
                </w:p>
              </w:tc>
              <w:tc>
                <w:tcPr>
                  <w:tcW w:w="3998" w:type="pct"/>
                  <w:tcBorders>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eastAsia="zh-CN"/>
                    </w:rPr>
                    <w:t>新疆鄯善县红台西砂石料矿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6"/>
                      <w:sz w:val="21"/>
                      <w:szCs w:val="21"/>
                      <w:highlight w:val="none"/>
                    </w:rPr>
                    <w:t>建设地点</w:t>
                  </w:r>
                </w:p>
              </w:tc>
              <w:tc>
                <w:tcPr>
                  <w:tcW w:w="3998" w:type="pct"/>
                  <w:tcBorders>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新疆维吾尔自治区吐鲁番地区</w:t>
                  </w:r>
                  <w:r>
                    <w:rPr>
                      <w:rFonts w:hint="default" w:ascii="Times New Roman" w:hAnsi="Times New Roman" w:eastAsia="仿宋" w:cs="Times New Roman"/>
                      <w:color w:val="auto"/>
                      <w:sz w:val="21"/>
                      <w:szCs w:val="21"/>
                      <w:highlight w:val="none"/>
                      <w:lang w:eastAsia="zh-CN"/>
                    </w:rPr>
                    <w:t>鄯善县七克台镇北东56°方向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7"/>
                      <w:sz w:val="21"/>
                      <w:szCs w:val="21"/>
                      <w:highlight w:val="none"/>
                    </w:rPr>
                  </w:pPr>
                  <w:r>
                    <w:rPr>
                      <w:rFonts w:hint="default" w:ascii="Times New Roman" w:hAnsi="Times New Roman" w:eastAsia="仿宋" w:cs="Times New Roman"/>
                      <w:color w:val="auto"/>
                      <w:spacing w:val="7"/>
                      <w:sz w:val="21"/>
                      <w:szCs w:val="21"/>
                      <w:highlight w:val="none"/>
                    </w:rPr>
                    <w:t>地理坐标</w:t>
                  </w:r>
                </w:p>
              </w:tc>
              <w:tc>
                <w:tcPr>
                  <w:tcW w:w="3998" w:type="pct"/>
                  <w:tcBorders>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主要危险物质及分布</w:t>
                  </w:r>
                </w:p>
              </w:tc>
              <w:tc>
                <w:tcPr>
                  <w:tcW w:w="3998" w:type="pct"/>
                  <w:tcBorders>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废矿物油，危险废物暂存间内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环境影响途径</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及危害后果</w:t>
                  </w:r>
                </w:p>
              </w:tc>
              <w:tc>
                <w:tcPr>
                  <w:tcW w:w="3998" w:type="pct"/>
                  <w:tcBorders>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大气途径：废矿物油火灾引发伴生/次生污染物排放；</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地表水途径：无；</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地下水途径：废矿物油泄漏，可能引起的地下水污染；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风险防范措施</w:t>
                  </w:r>
                  <w:r>
                    <w:rPr>
                      <w:rFonts w:hint="default" w:ascii="Times New Roman" w:hAnsi="Times New Roman" w:eastAsia="仿宋" w:cs="Times New Roman"/>
                      <w:color w:val="auto"/>
                      <w:spacing w:val="4"/>
                      <w:sz w:val="21"/>
                      <w:szCs w:val="21"/>
                      <w:highlight w:val="none"/>
                    </w:rPr>
                    <w:t>要求</w:t>
                  </w:r>
                </w:p>
              </w:tc>
              <w:tc>
                <w:tcPr>
                  <w:tcW w:w="3998" w:type="pct"/>
                  <w:tcBorders>
                    <w:bottom w:val="single" w:color="000000" w:sz="6" w:space="0"/>
                    <w:right w:val="single" w:color="000000" w:sz="6" w:space="0"/>
                  </w:tcBorders>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（1）地质灾害事故防范措施</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pacing w:val="9"/>
                      <w:sz w:val="21"/>
                      <w:szCs w:val="21"/>
                      <w:highlight w:val="none"/>
                    </w:rPr>
                  </w:pPr>
                  <w:r>
                    <w:rPr>
                      <w:rFonts w:hint="default" w:ascii="Times New Roman" w:hAnsi="Times New Roman" w:eastAsia="仿宋" w:cs="Times New Roman"/>
                      <w:color w:val="auto"/>
                      <w:spacing w:val="9"/>
                      <w:sz w:val="21"/>
                      <w:szCs w:val="21"/>
                      <w:highlight w:val="none"/>
                      <w:lang w:val="en-US" w:eastAsia="zh-CN"/>
                    </w:rPr>
                    <w:t>年降雨量为0.8-5.2㎜，年蒸发量为降雨量的100倍以上</w:t>
                  </w:r>
                  <w:r>
                    <w:rPr>
                      <w:rFonts w:hint="default" w:ascii="Times New Roman" w:hAnsi="Times New Roman" w:eastAsia="仿宋" w:cs="Times New Roman"/>
                      <w:color w:val="auto"/>
                      <w:spacing w:val="8"/>
                      <w:sz w:val="21"/>
                      <w:szCs w:val="21"/>
                      <w:highlight w:val="none"/>
                    </w:rPr>
                    <w:t>。虽然项目区降雨稀</w:t>
                  </w:r>
                  <w:r>
                    <w:rPr>
                      <w:rFonts w:hint="default" w:ascii="Times New Roman" w:hAnsi="Times New Roman" w:eastAsia="仿宋" w:cs="Times New Roman"/>
                      <w:color w:val="auto"/>
                      <w:spacing w:val="7"/>
                      <w:sz w:val="21"/>
                      <w:szCs w:val="21"/>
                      <w:highlight w:val="none"/>
                    </w:rPr>
                    <w:t>少，考虑在夏季有可能发生暴雨。本项目采矿场开采</w:t>
                  </w:r>
                  <w:r>
                    <w:rPr>
                      <w:rFonts w:hint="default" w:ascii="Times New Roman" w:hAnsi="Times New Roman" w:eastAsia="仿宋" w:cs="Times New Roman"/>
                      <w:color w:val="auto"/>
                      <w:spacing w:val="6"/>
                      <w:sz w:val="21"/>
                      <w:szCs w:val="21"/>
                      <w:highlight w:val="none"/>
                    </w:rPr>
                    <w:t>、各类物料堆放</w:t>
                  </w:r>
                  <w:r>
                    <w:rPr>
                      <w:rFonts w:hint="default" w:ascii="Times New Roman" w:hAnsi="Times New Roman" w:eastAsia="仿宋" w:cs="Times New Roman"/>
                      <w:color w:val="auto"/>
                      <w:spacing w:val="7"/>
                      <w:sz w:val="21"/>
                      <w:szCs w:val="21"/>
                      <w:highlight w:val="none"/>
                    </w:rPr>
                    <w:t>过程中有可能引发堆场边坡滑坡、塌方、泥石流等地质灾害</w:t>
                  </w:r>
                  <w:r>
                    <w:rPr>
                      <w:rFonts w:hint="default" w:ascii="Times New Roman" w:hAnsi="Times New Roman" w:eastAsia="仿宋" w:cs="Times New Roman"/>
                      <w:color w:val="auto"/>
                      <w:spacing w:val="6"/>
                      <w:sz w:val="21"/>
                      <w:szCs w:val="21"/>
                      <w:highlight w:val="none"/>
                    </w:rPr>
                    <w:t>，现提出</w:t>
                  </w:r>
                  <w:r>
                    <w:rPr>
                      <w:rFonts w:hint="default" w:ascii="Times New Roman" w:hAnsi="Times New Roman" w:eastAsia="仿宋" w:cs="Times New Roman"/>
                      <w:color w:val="auto"/>
                      <w:spacing w:val="8"/>
                      <w:sz w:val="21"/>
                      <w:szCs w:val="21"/>
                      <w:highlight w:val="none"/>
                    </w:rPr>
                    <w:t>以下地质灾害预防措施：</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position w:val="4"/>
                      <w:sz w:val="21"/>
                      <w:szCs w:val="21"/>
                      <w:highlight w:val="none"/>
                    </w:rPr>
                    <w:t>1）采取边开采边恢复的方式，缩短堆放时间；</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2）在各类物料堆场中进行压实作业；</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3）及时削减边坡角，清理危岩体，定期加强对不稳定边坡的监测，在危险地段设置警示牌及铁丝围栏；</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10"/>
                      <w:sz w:val="21"/>
                      <w:szCs w:val="21"/>
                      <w:highlight w:val="none"/>
                    </w:rPr>
                    <w:t>4）矿山开采期间需严格按照设计规范要求开采，并加强边坡稳定巡</w:t>
                  </w:r>
                  <w:r>
                    <w:rPr>
                      <w:rFonts w:hint="default" w:ascii="Times New Roman" w:hAnsi="Times New Roman" w:eastAsia="仿宋" w:cs="Times New Roman"/>
                      <w:color w:val="auto"/>
                      <w:spacing w:val="8"/>
                      <w:sz w:val="21"/>
                      <w:szCs w:val="21"/>
                      <w:highlight w:val="none"/>
                    </w:rPr>
                    <w:t>查排险，及时处理高陡边坡；</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5）在可能发生地质灾害区段设置警示标志；</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position w:val="4"/>
                      <w:sz w:val="21"/>
                      <w:szCs w:val="21"/>
                      <w:highlight w:val="none"/>
                    </w:rPr>
                    <w:t>6）不超挖坡底，不留伞檐，进行科学、合理的</w:t>
                  </w:r>
                  <w:r>
                    <w:rPr>
                      <w:rFonts w:hint="default" w:ascii="Times New Roman" w:hAnsi="Times New Roman" w:eastAsia="仿宋" w:cs="Times New Roman"/>
                      <w:color w:val="auto"/>
                      <w:spacing w:val="8"/>
                      <w:position w:val="4"/>
                      <w:sz w:val="21"/>
                      <w:szCs w:val="21"/>
                      <w:highlight w:val="none"/>
                    </w:rPr>
                    <w:t>采剥；</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7）严禁采场内台阶上下垂直方向双层作业；</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position w:val="4"/>
                      <w:sz w:val="21"/>
                      <w:szCs w:val="21"/>
                      <w:highlight w:val="none"/>
                    </w:rPr>
                    <w:t>8）在台阶坡面作业时，必须佩戴安全带；</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9）大雾、大雨、暴风雨时应停止作业。</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（2）</w:t>
                  </w:r>
                  <w:r>
                    <w:rPr>
                      <w:rFonts w:hint="eastAsia" w:ascii="Times New Roman" w:hAnsi="Times New Roman" w:eastAsia="仿宋" w:cs="Times New Roman"/>
                      <w:color w:val="auto"/>
                      <w:spacing w:val="7"/>
                      <w:sz w:val="21"/>
                      <w:szCs w:val="21"/>
                      <w:highlight w:val="none"/>
                      <w:lang w:eastAsia="zh-CN"/>
                    </w:rPr>
                    <w:t>泄漏</w:t>
                  </w:r>
                  <w:r>
                    <w:rPr>
                      <w:rFonts w:hint="default" w:ascii="Times New Roman" w:hAnsi="Times New Roman" w:eastAsia="仿宋" w:cs="Times New Roman"/>
                      <w:color w:val="auto"/>
                      <w:spacing w:val="7"/>
                      <w:sz w:val="21"/>
                      <w:szCs w:val="21"/>
                      <w:highlight w:val="none"/>
                    </w:rPr>
                    <w:t>预防措施</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1）使用符合标准的容器盛装危险废物；应定期对暂时贮存危险</w:t>
                  </w:r>
                  <w:r>
                    <w:rPr>
                      <w:rFonts w:hint="default" w:ascii="Times New Roman" w:hAnsi="Times New Roman" w:eastAsia="仿宋" w:cs="Times New Roman"/>
                      <w:color w:val="auto"/>
                      <w:spacing w:val="8"/>
                      <w:sz w:val="21"/>
                      <w:szCs w:val="21"/>
                      <w:highlight w:val="none"/>
                    </w:rPr>
                    <w:t>废物</w:t>
                  </w:r>
                  <w:r>
                    <w:rPr>
                      <w:rFonts w:hint="default" w:ascii="Times New Roman" w:hAnsi="Times New Roman" w:eastAsia="仿宋" w:cs="Times New Roman"/>
                      <w:color w:val="auto"/>
                      <w:spacing w:val="9"/>
                      <w:sz w:val="21"/>
                      <w:szCs w:val="21"/>
                      <w:highlight w:val="none"/>
                    </w:rPr>
                    <w:t>包装及设施进行检查，发现破损，及时采取措施清理更换；</w:t>
                  </w:r>
                </w:p>
                <w:p>
                  <w:pPr>
                    <w:pStyle w:val="85"/>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snapToGrid w:val="0"/>
                      <w:color w:val="auto"/>
                      <w:kern w:val="0"/>
                      <w:sz w:val="21"/>
                      <w:szCs w:val="21"/>
                      <w:highlight w:val="none"/>
                      <w:lang w:val="en-US" w:eastAsia="en-US" w:bidi="ar-SA"/>
                    </w:rPr>
                  </w:pPr>
                  <w:r>
                    <w:rPr>
                      <w:rFonts w:hint="default" w:ascii="Times New Roman" w:hAnsi="Times New Roman" w:eastAsia="仿宋" w:cs="Times New Roman"/>
                      <w:color w:val="auto"/>
                      <w:spacing w:val="10"/>
                      <w:sz w:val="21"/>
                      <w:szCs w:val="21"/>
                      <w:highlight w:val="none"/>
                    </w:rPr>
                    <w:t>2）设有专人负责危险废物维护及管理，</w:t>
                  </w:r>
                  <w:r>
                    <w:rPr>
                      <w:rFonts w:hint="default" w:ascii="Times New Roman" w:hAnsi="Times New Roman" w:eastAsia="仿宋" w:cs="Times New Roman"/>
                      <w:color w:val="auto"/>
                      <w:spacing w:val="9"/>
                      <w:sz w:val="21"/>
                      <w:szCs w:val="21"/>
                      <w:highlight w:val="none"/>
                    </w:rPr>
                    <w:t>避免因危险废物</w:t>
                  </w:r>
                  <w:r>
                    <w:rPr>
                      <w:rFonts w:hint="eastAsia" w:ascii="Times New Roman" w:hAnsi="Times New Roman" w:eastAsia="仿宋" w:cs="Times New Roman"/>
                      <w:color w:val="auto"/>
                      <w:spacing w:val="9"/>
                      <w:sz w:val="21"/>
                      <w:szCs w:val="21"/>
                      <w:highlight w:val="none"/>
                      <w:lang w:eastAsia="zh-CN"/>
                    </w:rPr>
                    <w:t>泄漏</w:t>
                  </w:r>
                  <w:r>
                    <w:rPr>
                      <w:rFonts w:hint="default" w:ascii="Times New Roman" w:hAnsi="Times New Roman" w:eastAsia="仿宋" w:cs="Times New Roman"/>
                      <w:color w:val="auto"/>
                      <w:spacing w:val="9"/>
                      <w:sz w:val="21"/>
                      <w:szCs w:val="21"/>
                      <w:highlight w:val="none"/>
                    </w:rPr>
                    <w:t>、乱堆</w:t>
                  </w:r>
                  <w:r>
                    <w:rPr>
                      <w:rFonts w:hint="default" w:ascii="Times New Roman" w:hAnsi="Times New Roman" w:eastAsia="仿宋" w:cs="Times New Roman"/>
                      <w:color w:val="auto"/>
                      <w:spacing w:val="6"/>
                      <w:sz w:val="21"/>
                      <w:szCs w:val="21"/>
                      <w:highlight w:val="none"/>
                    </w:rPr>
                    <w:t>乱弃造成环境污染；3）应指定专人负责危废的收集、运输管理工作，</w:t>
                  </w:r>
                  <w:r>
                    <w:rPr>
                      <w:rFonts w:hint="default" w:ascii="Times New Roman" w:hAnsi="Times New Roman" w:eastAsia="仿宋" w:cs="Times New Roman"/>
                      <w:color w:val="auto"/>
                      <w:spacing w:val="8"/>
                      <w:sz w:val="21"/>
                      <w:szCs w:val="21"/>
                      <w:highlight w:val="none"/>
                    </w:rPr>
                    <w:t>运输车辆的司机和押运人员应经专业培训。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000" w:type="pct"/>
                  <w:gridSpan w:val="2"/>
                  <w:vAlign w:val="center"/>
                </w:tcPr>
                <w:p>
                  <w:pPr>
                    <w:pStyle w:val="85"/>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9"/>
                      <w:sz w:val="21"/>
                      <w:szCs w:val="21"/>
                      <w:highlight w:val="none"/>
                    </w:rPr>
                  </w:pPr>
                  <w:r>
                    <w:rPr>
                      <w:rFonts w:hint="default" w:ascii="Times New Roman" w:hAnsi="Times New Roman" w:eastAsia="仿宋" w:cs="Times New Roman"/>
                      <w:color w:val="auto"/>
                      <w:spacing w:val="7"/>
                      <w:sz w:val="21"/>
                      <w:szCs w:val="21"/>
                      <w:highlight w:val="none"/>
                    </w:rPr>
                    <w:t>填表说明（列出项目相关信息及评价说明</w:t>
                  </w:r>
                  <w:r>
                    <w:rPr>
                      <w:rFonts w:hint="default" w:ascii="Times New Roman" w:hAnsi="Times New Roman" w:eastAsia="仿宋" w:cs="Times New Roman"/>
                      <w:color w:val="auto"/>
                      <w:spacing w:val="26"/>
                      <w:sz w:val="21"/>
                      <w:szCs w:val="21"/>
                      <w:highlight w:val="none"/>
                    </w:rPr>
                    <w:t>）：</w:t>
                  </w:r>
                  <w:r>
                    <w:rPr>
                      <w:rFonts w:hint="default" w:ascii="Times New Roman" w:hAnsi="Times New Roman" w:eastAsia="仿宋" w:cs="Times New Roman"/>
                      <w:color w:val="auto"/>
                      <w:spacing w:val="7"/>
                      <w:sz w:val="21"/>
                      <w:szCs w:val="21"/>
                      <w:highlight w:val="none"/>
                    </w:rPr>
                    <w:t>项目涉及危险物质为废矿物油，Q&lt;1，</w:t>
                  </w:r>
                  <w:r>
                    <w:rPr>
                      <w:rFonts w:hint="default" w:ascii="Times New Roman" w:hAnsi="Times New Roman" w:eastAsia="仿宋" w:cs="Times New Roman"/>
                      <w:color w:val="auto"/>
                      <w:spacing w:val="4"/>
                      <w:sz w:val="21"/>
                      <w:szCs w:val="21"/>
                      <w:highlight w:val="none"/>
                    </w:rPr>
                    <w:t>环境风险潜势为Ⅰ,仅需进行简单分析。</w:t>
                  </w:r>
                </w:p>
              </w:tc>
            </w:tr>
          </w:tbl>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8、环境监测</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val="en-US" w:eastAsia="zh-CN"/>
              </w:rPr>
              <w:t>根据《排污单位自行监测技术指南总则HJ819-201》及</w:t>
            </w:r>
            <w:r>
              <w:rPr>
                <w:rFonts w:hint="default" w:ascii="Times New Roman" w:hAnsi="Times New Roman" w:eastAsia="仿宋" w:cs="Times New Roman"/>
                <w:bCs/>
                <w:color w:val="auto"/>
                <w:spacing w:val="10"/>
                <w:sz w:val="24"/>
                <w:szCs w:val="24"/>
              </w:rPr>
              <w:t>项目内容和企业实际情况，制定相应切实可行的方案。</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1</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监测项目</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本项目污染源的污染物排放状况以及附近关心点、敏感点的污染物浓度状况监测项目：</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1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场界</w:t>
            </w:r>
            <w:r>
              <w:rPr>
                <w:rFonts w:hint="default" w:ascii="Times New Roman" w:hAnsi="Times New Roman" w:eastAsia="仿宋" w:cs="Times New Roman"/>
                <w:bCs/>
                <w:color w:val="auto"/>
                <w:spacing w:val="10"/>
                <w:sz w:val="24"/>
                <w:szCs w:val="24"/>
                <w:lang w:val="en-US" w:eastAsia="zh-CN"/>
              </w:rPr>
              <w:t>有组织、无组织</w:t>
            </w:r>
            <w:r>
              <w:rPr>
                <w:rFonts w:hint="default" w:ascii="Times New Roman" w:hAnsi="Times New Roman" w:eastAsia="仿宋" w:cs="Times New Roman"/>
                <w:bCs/>
                <w:color w:val="auto"/>
                <w:spacing w:val="10"/>
                <w:sz w:val="24"/>
                <w:szCs w:val="24"/>
              </w:rPr>
              <w:t>粉尘；</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场界噪声；</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2</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监测布点</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lang w:val="en-US" w:eastAsia="zh-CN"/>
              </w:rPr>
              <w:t>粉尘无组织监测点：</w:t>
            </w:r>
            <w:r>
              <w:rPr>
                <w:rFonts w:hint="default" w:ascii="Times New Roman" w:hAnsi="Times New Roman" w:eastAsia="仿宋" w:cs="Times New Roman"/>
                <w:bCs/>
                <w:color w:val="auto"/>
                <w:spacing w:val="10"/>
                <w:sz w:val="24"/>
                <w:szCs w:val="24"/>
              </w:rPr>
              <w:t>矿区场界下风向设1个点；</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②噪声监测点：矿区场界四周各1个点；</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3</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监测频率</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lang w:val="en-US" w:eastAsia="zh-CN"/>
              </w:rPr>
            </w:pPr>
            <w:r>
              <w:rPr>
                <w:rFonts w:hint="default" w:ascii="Times New Roman" w:hAnsi="Times New Roman" w:eastAsia="仿宋" w:cs="Times New Roman"/>
                <w:bCs/>
                <w:color w:val="auto"/>
                <w:spacing w:val="10"/>
                <w:sz w:val="24"/>
                <w:szCs w:val="24"/>
              </w:rPr>
              <w:t>①粉尘</w:t>
            </w:r>
            <w:r>
              <w:rPr>
                <w:rFonts w:hint="default" w:ascii="Times New Roman" w:hAnsi="Times New Roman" w:eastAsia="仿宋" w:cs="Times New Roman"/>
                <w:bCs/>
                <w:color w:val="auto"/>
                <w:spacing w:val="10"/>
                <w:sz w:val="24"/>
                <w:szCs w:val="24"/>
                <w:lang w:val="en-US" w:eastAsia="zh-CN"/>
              </w:rPr>
              <w:t>有组织</w:t>
            </w:r>
            <w:r>
              <w:rPr>
                <w:rFonts w:hint="default" w:ascii="Times New Roman" w:hAnsi="Times New Roman" w:eastAsia="仿宋" w:cs="Times New Roman"/>
                <w:bCs/>
                <w:color w:val="auto"/>
                <w:spacing w:val="10"/>
                <w:sz w:val="24"/>
                <w:szCs w:val="24"/>
              </w:rPr>
              <w:t>监测：</w:t>
            </w:r>
            <w:r>
              <w:rPr>
                <w:rFonts w:hint="default" w:ascii="Times New Roman" w:hAnsi="Times New Roman" w:eastAsia="仿宋" w:cs="Times New Roman"/>
                <w:bCs/>
                <w:color w:val="auto"/>
                <w:spacing w:val="10"/>
                <w:sz w:val="24"/>
                <w:szCs w:val="24"/>
                <w:lang w:val="en-US" w:eastAsia="zh-CN"/>
              </w:rPr>
              <w:t>每半年监测1次</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val="en-US" w:eastAsia="zh-CN"/>
              </w:rPr>
              <w:t>粉尘无组织监测：</w:t>
            </w:r>
            <w:r>
              <w:rPr>
                <w:rFonts w:hint="default" w:ascii="Times New Roman" w:hAnsi="Times New Roman" w:eastAsia="仿宋" w:cs="Times New Roman"/>
                <w:bCs/>
                <w:color w:val="auto"/>
                <w:spacing w:val="10"/>
                <w:sz w:val="24"/>
                <w:szCs w:val="24"/>
              </w:rPr>
              <w:t>每</w:t>
            </w:r>
            <w:r>
              <w:rPr>
                <w:rFonts w:hint="default" w:ascii="Times New Roman" w:hAnsi="Times New Roman" w:eastAsia="仿宋" w:cs="Times New Roman"/>
                <w:bCs/>
                <w:color w:val="auto"/>
                <w:spacing w:val="10"/>
                <w:sz w:val="24"/>
                <w:szCs w:val="24"/>
                <w:lang w:val="en-US" w:eastAsia="zh-CN"/>
              </w:rPr>
              <w:t>季度</w:t>
            </w:r>
            <w:r>
              <w:rPr>
                <w:rFonts w:hint="default" w:ascii="Times New Roman" w:hAnsi="Times New Roman" w:eastAsia="仿宋" w:cs="Times New Roman"/>
                <w:bCs/>
                <w:color w:val="auto"/>
                <w:spacing w:val="10"/>
                <w:sz w:val="24"/>
                <w:szCs w:val="24"/>
              </w:rPr>
              <w:t>监测一次；</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②噪声监测：每</w:t>
            </w:r>
            <w:r>
              <w:rPr>
                <w:rFonts w:hint="default" w:ascii="Times New Roman" w:hAnsi="Times New Roman" w:eastAsia="仿宋" w:cs="Times New Roman"/>
                <w:bCs/>
                <w:color w:val="auto"/>
                <w:spacing w:val="10"/>
                <w:sz w:val="24"/>
                <w:szCs w:val="24"/>
                <w:lang w:val="en-US" w:eastAsia="zh-CN"/>
              </w:rPr>
              <w:t>季度</w:t>
            </w:r>
            <w:r>
              <w:rPr>
                <w:rFonts w:hint="default" w:ascii="Times New Roman" w:hAnsi="Times New Roman" w:eastAsia="仿宋" w:cs="Times New Roman"/>
                <w:bCs/>
                <w:color w:val="auto"/>
                <w:spacing w:val="10"/>
                <w:sz w:val="24"/>
                <w:szCs w:val="24"/>
              </w:rPr>
              <w:t>监测一次</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4</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监测结果反馈</w:t>
            </w:r>
          </w:p>
          <w:p>
            <w:pPr>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对监测结果进行统计汇总，上报有关领导和上级主管部门，监测结果如有异常，应及时反馈生产管理部门，查找原因，及时解决。</w:t>
            </w:r>
          </w:p>
          <w:p>
            <w:pPr>
              <w:rPr>
                <w:rFonts w:hint="eastAsia" w:eastAsia="仿宋" w:cs="Times New Roman"/>
                <w:b/>
                <w:bCs w:val="0"/>
                <w:color w:val="auto"/>
                <w:spacing w:val="10"/>
                <w:sz w:val="24"/>
                <w:szCs w:val="24"/>
                <w:lang w:val="en-US" w:eastAsia="zh-CN"/>
              </w:rPr>
            </w:pPr>
            <w:r>
              <w:rPr>
                <w:rFonts w:hint="eastAsia" w:eastAsia="仿宋" w:cs="Times New Roman"/>
                <w:b/>
                <w:bCs w:val="0"/>
                <w:color w:val="auto"/>
                <w:spacing w:val="10"/>
                <w:sz w:val="24"/>
                <w:szCs w:val="24"/>
                <w:lang w:val="en-US" w:eastAsia="zh-CN"/>
              </w:rPr>
              <w:t>9、排污许可证</w:t>
            </w:r>
          </w:p>
          <w:p>
            <w:pPr>
              <w:rPr>
                <w:rFonts w:hint="eastAsia" w:eastAsia="仿宋" w:cs="Times New Roman"/>
                <w:bCs/>
                <w:color w:val="auto"/>
                <w:spacing w:val="10"/>
                <w:sz w:val="24"/>
                <w:szCs w:val="24"/>
                <w:lang w:val="en-US" w:eastAsia="zh-CN"/>
              </w:rPr>
            </w:pPr>
            <w:r>
              <w:rPr>
                <w:rFonts w:hint="eastAsia" w:eastAsia="仿宋" w:cs="Times New Roman"/>
                <w:bCs/>
                <w:color w:val="auto"/>
                <w:spacing w:val="10"/>
                <w:sz w:val="24"/>
                <w:szCs w:val="24"/>
                <w:lang w:val="en-US" w:eastAsia="zh-CN"/>
              </w:rPr>
              <w:t>（1）根据《固定污染源排污许可分类管理名录》（2019年版），本项目为“六、非金属矿采选业”-“7.土砂石开采”，由于本项目不涉及“通用工序重点管理的”以及“通用工序简化管理”，因此本项目属于“其他”类别，应实行登记管理，不需要申请取得排污许可证，生产前应当在全国排污许可证管理信息平台填报排污登记表，登记基本信息、污染物排放去向、执行的污染物排放标准以及采取的污染防治措施等信息。</w:t>
            </w:r>
          </w:p>
          <w:p>
            <w:pPr>
              <w:pStyle w:val="87"/>
              <w:ind w:firstLine="480"/>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2）设置标志牌环境保护图形标志牌由生态环境部统一定点制作，并由市环境监察部门根据企业排污情况统一向生态环境部订购。企业排污口分布图由市环境监察部门统一绘制。标志牌设置位置在排污口（采样点）附近醒目处，高度为标志牌上边缘离地面2米。排污口附近1米范围内有建筑物的，设平面式标志牌，无建筑物的设立式标志牌。规范排污口的有关设置（如图形标牌、计量装置等）均属于环保设施，排污单位必须负责日常的维护保养，任何单位和个人不得擅自拆除，如需要变更的须报环境监察部门同意并办理变更手续。</w:t>
            </w:r>
          </w:p>
          <w:p>
            <w:pPr>
              <w:widowControl/>
              <w:jc w:val="center"/>
              <w:rPr>
                <w:rFonts w:hint="default" w:ascii="Times New Roman" w:hAnsi="Times New Roman" w:eastAsia="仿宋" w:cs="Times New Roman"/>
                <w:b/>
                <w:bCs/>
                <w:color w:val="auto"/>
                <w:spacing w:val="4"/>
                <w:kern w:val="2"/>
                <w:sz w:val="21"/>
                <w:szCs w:val="21"/>
                <w:lang w:val="en-US" w:eastAsia="zh-CN" w:bidi="ar-SA"/>
              </w:rPr>
            </w:pPr>
            <w:r>
              <w:rPr>
                <w:rFonts w:hint="default" w:ascii="Times New Roman" w:hAnsi="Times New Roman" w:eastAsia="仿宋" w:cs="Times New Roman"/>
                <w:b/>
                <w:bCs/>
                <w:color w:val="auto"/>
                <w:spacing w:val="4"/>
                <w:kern w:val="2"/>
                <w:sz w:val="21"/>
                <w:szCs w:val="21"/>
                <w:lang w:val="en-US" w:eastAsia="zh-CN" w:bidi="ar-SA"/>
              </w:rPr>
              <w:t>表</w:t>
            </w:r>
            <w:r>
              <w:rPr>
                <w:rFonts w:hint="eastAsia" w:ascii="Times New Roman" w:hAnsi="Times New Roman" w:eastAsia="仿宋" w:cs="Times New Roman"/>
                <w:b/>
                <w:bCs/>
                <w:color w:val="auto"/>
                <w:spacing w:val="4"/>
                <w:kern w:val="2"/>
                <w:sz w:val="21"/>
                <w:szCs w:val="21"/>
                <w:lang w:val="en-US" w:eastAsia="zh-CN" w:bidi="ar-SA"/>
              </w:rPr>
              <w:t>5-5</w:t>
            </w:r>
            <w:r>
              <w:rPr>
                <w:rFonts w:hint="eastAsia" w:eastAsia="仿宋" w:cs="Times New Roman"/>
                <w:b/>
                <w:bCs/>
                <w:color w:val="auto"/>
                <w:spacing w:val="4"/>
                <w:kern w:val="2"/>
                <w:sz w:val="21"/>
                <w:szCs w:val="21"/>
                <w:lang w:val="en-US" w:eastAsia="zh-CN" w:bidi="ar-SA"/>
              </w:rPr>
              <w:t>环境保护</w:t>
            </w:r>
            <w:r>
              <w:rPr>
                <w:rFonts w:hint="default" w:ascii="Times New Roman" w:hAnsi="Times New Roman" w:eastAsia="仿宋" w:cs="Times New Roman"/>
                <w:b/>
                <w:bCs/>
                <w:color w:val="auto"/>
                <w:spacing w:val="4"/>
                <w:kern w:val="2"/>
                <w:sz w:val="21"/>
                <w:szCs w:val="21"/>
                <w:lang w:val="en-US" w:eastAsia="zh-CN" w:bidi="ar-SA"/>
              </w:rPr>
              <w:t>图形标志设置图形表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054"/>
              <w:gridCol w:w="213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69"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排放口</w:t>
                  </w:r>
                </w:p>
              </w:tc>
              <w:tc>
                <w:tcPr>
                  <w:tcW w:w="124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废气排口</w:t>
                  </w:r>
                </w:p>
              </w:tc>
              <w:tc>
                <w:tcPr>
                  <w:tcW w:w="1294"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固废</w:t>
                  </w:r>
                </w:p>
              </w:tc>
              <w:tc>
                <w:tcPr>
                  <w:tcW w:w="128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噪声源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图形符号</w:t>
                  </w:r>
                </w:p>
              </w:tc>
              <w:tc>
                <w:tcPr>
                  <w:tcW w:w="124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drawing>
                      <wp:inline distT="0" distB="0" distL="114300" distR="114300">
                        <wp:extent cx="640715" cy="640715"/>
                        <wp:effectExtent l="0" t="0" r="6985" b="698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5"/>
                                <a:stretch>
                                  <a:fillRect/>
                                </a:stretch>
                              </pic:blipFill>
                              <pic:spPr>
                                <a:xfrm>
                                  <a:off x="0" y="0"/>
                                  <a:ext cx="640715" cy="640715"/>
                                </a:xfrm>
                                <a:prstGeom prst="rect">
                                  <a:avLst/>
                                </a:prstGeom>
                                <a:noFill/>
                                <a:ln>
                                  <a:noFill/>
                                </a:ln>
                              </pic:spPr>
                            </pic:pic>
                          </a:graphicData>
                        </a:graphic>
                      </wp:inline>
                    </w:drawing>
                  </w:r>
                </w:p>
              </w:tc>
              <w:tc>
                <w:tcPr>
                  <w:tcW w:w="129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drawing>
                      <wp:inline distT="0" distB="0" distL="114300" distR="114300">
                        <wp:extent cx="669290" cy="642620"/>
                        <wp:effectExtent l="0" t="0" r="16510" b="508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6"/>
                                <a:stretch>
                                  <a:fillRect/>
                                </a:stretch>
                              </pic:blipFill>
                              <pic:spPr>
                                <a:xfrm>
                                  <a:off x="0" y="0"/>
                                  <a:ext cx="669290" cy="642620"/>
                                </a:xfrm>
                                <a:prstGeom prst="rect">
                                  <a:avLst/>
                                </a:prstGeom>
                                <a:noFill/>
                                <a:ln>
                                  <a:noFill/>
                                </a:ln>
                              </pic:spPr>
                            </pic:pic>
                          </a:graphicData>
                        </a:graphic>
                      </wp:inline>
                    </w:drawing>
                  </w:r>
                </w:p>
              </w:tc>
              <w:tc>
                <w:tcPr>
                  <w:tcW w:w="128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drawing>
                      <wp:inline distT="0" distB="0" distL="114300" distR="114300">
                        <wp:extent cx="659130" cy="645160"/>
                        <wp:effectExtent l="0" t="0" r="7620" b="254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27"/>
                                <a:stretch>
                                  <a:fillRect/>
                                </a:stretch>
                              </pic:blipFill>
                              <pic:spPr>
                                <a:xfrm>
                                  <a:off x="0" y="0"/>
                                  <a:ext cx="659130" cy="6451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背景颜色</w:t>
                  </w:r>
                </w:p>
              </w:tc>
              <w:tc>
                <w:tcPr>
                  <w:tcW w:w="3830"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绿色</w:t>
                  </w:r>
                </w:p>
              </w:tc>
            </w:tr>
          </w:tbl>
          <w:p>
            <w:pPr>
              <w:pStyle w:val="3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zCs w:val="21"/>
              </w:rPr>
              <w:t>其他</w:t>
            </w:r>
          </w:p>
        </w:tc>
        <w:tc>
          <w:tcPr>
            <w:tcW w:w="8457" w:type="dxa"/>
            <w:vAlign w:val="center"/>
          </w:tcPr>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pStyle w:val="2"/>
              <w:rPr>
                <w:rFonts w:hint="default" w:ascii="Times New Roman" w:hAnsi="Times New Roman" w:eastAsia="仿宋" w:cs="Times New Roman"/>
                <w:bCs/>
                <w:color w:val="auto"/>
                <w:spacing w:val="10"/>
                <w:szCs w:val="21"/>
              </w:rPr>
            </w:pPr>
          </w:p>
          <w:p>
            <w:pPr>
              <w:pStyle w:val="3"/>
              <w:rPr>
                <w:rFonts w:hint="default" w:ascii="Times New Roman" w:hAnsi="Times New Roman" w:eastAsia="仿宋" w:cs="Times New Roman"/>
                <w:bCs/>
                <w:color w:val="auto"/>
                <w:spacing w:val="10"/>
                <w:szCs w:val="21"/>
              </w:rPr>
            </w:pPr>
          </w:p>
          <w:p>
            <w:pPr>
              <w:pStyle w:val="3"/>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pStyle w:val="2"/>
              <w:rPr>
                <w:rFonts w:hint="default"/>
                <w:color w:val="auto"/>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pStyle w:val="2"/>
              <w:rPr>
                <w:rFonts w:hint="default"/>
                <w:color w:val="auto"/>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无</w:t>
            </w:r>
          </w:p>
          <w:p>
            <w:pPr>
              <w:pStyle w:val="2"/>
              <w:rPr>
                <w:rFonts w:hint="default" w:ascii="Times New Roman" w:hAnsi="Times New Roman" w:eastAsia="仿宋" w:cs="Times New Roman"/>
                <w:bCs/>
                <w:color w:val="auto"/>
                <w:spacing w:val="10"/>
                <w:szCs w:val="21"/>
              </w:rPr>
            </w:pPr>
          </w:p>
          <w:p>
            <w:pPr>
              <w:pStyle w:val="3"/>
              <w:rPr>
                <w:rFonts w:hint="default" w:ascii="Times New Roman" w:hAnsi="Times New Roman" w:eastAsia="仿宋" w:cs="Times New Roman"/>
                <w:bCs/>
                <w:color w:val="auto"/>
                <w:spacing w:val="10"/>
                <w:szCs w:val="21"/>
              </w:rPr>
            </w:pPr>
          </w:p>
          <w:p>
            <w:pPr>
              <w:pStyle w:val="3"/>
              <w:rPr>
                <w:rFonts w:hint="default" w:ascii="Times New Roman" w:hAnsi="Times New Roman" w:eastAsia="仿宋" w:cs="Times New Roman"/>
                <w:bCs/>
                <w:color w:val="auto"/>
                <w:spacing w:val="10"/>
                <w:szCs w:val="21"/>
              </w:rPr>
            </w:pPr>
          </w:p>
          <w:p>
            <w:pPr>
              <w:pStyle w:val="3"/>
              <w:rPr>
                <w:rFonts w:hint="default" w:ascii="Times New Roman" w:hAnsi="Times New Roman" w:eastAsia="仿宋" w:cs="Times New Roman"/>
                <w:bCs/>
                <w:color w:val="auto"/>
                <w:spacing w:val="10"/>
                <w:szCs w:val="21"/>
              </w:rPr>
            </w:pPr>
          </w:p>
          <w:p>
            <w:pPr>
              <w:pStyle w:val="3"/>
              <w:rPr>
                <w:rFonts w:hint="default" w:ascii="Times New Roman" w:hAnsi="Times New Roman" w:eastAsia="仿宋" w:cs="Times New Roman"/>
                <w:bCs/>
                <w:color w:val="auto"/>
                <w:spacing w:val="10"/>
                <w:szCs w:val="21"/>
              </w:rPr>
            </w:pPr>
          </w:p>
          <w:p>
            <w:pPr>
              <w:pStyle w:val="3"/>
              <w:rPr>
                <w:rFonts w:hint="default" w:ascii="Times New Roman" w:hAnsi="Times New Roman" w:eastAsia="仿宋" w:cs="Times New Roman"/>
                <w:bCs/>
                <w:color w:val="auto"/>
                <w:spacing w:val="10"/>
                <w:szCs w:val="21"/>
              </w:rPr>
            </w:pPr>
          </w:p>
          <w:p>
            <w:pPr>
              <w:pStyle w:val="3"/>
              <w:ind w:left="0" w:leftChars="0" w:firstLine="0" w:firstLineChars="0"/>
              <w:rPr>
                <w:rFonts w:hint="default" w:ascii="Times New Roman" w:hAnsi="Times New Roman" w:eastAsia="仿宋" w:cs="Times New Roman"/>
                <w:bCs/>
                <w:color w:val="auto"/>
                <w:spacing w:val="10"/>
                <w:szCs w:val="21"/>
              </w:rPr>
            </w:pPr>
          </w:p>
          <w:p>
            <w:pPr>
              <w:pStyle w:val="3"/>
              <w:ind w:left="0" w:leftChars="0" w:firstLine="0" w:firstLineChars="0"/>
              <w:rPr>
                <w:rFonts w:hint="default" w:ascii="Times New Roman" w:hAnsi="Times New Roman" w:eastAsia="仿宋" w:cs="Times New Roman"/>
                <w:bCs/>
                <w:color w:val="auto"/>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zCs w:val="21"/>
              </w:rPr>
              <w:t>环保投资</w:t>
            </w:r>
          </w:p>
        </w:tc>
        <w:tc>
          <w:tcPr>
            <w:tcW w:w="8457" w:type="dxa"/>
          </w:tcPr>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 w:cs="Times New Roman"/>
                <w:b/>
                <w:color w:val="auto"/>
                <w:kern w:val="0"/>
                <w:sz w:val="24"/>
                <w:highlight w:val="none"/>
              </w:rPr>
            </w:pPr>
            <w:r>
              <w:rPr>
                <w:rFonts w:hint="default" w:ascii="Times New Roman" w:hAnsi="Times New Roman" w:eastAsia="仿宋" w:cs="Times New Roman"/>
                <w:b/>
                <w:color w:val="auto"/>
                <w:kern w:val="0"/>
                <w:sz w:val="24"/>
                <w:highlight w:val="none"/>
              </w:rPr>
              <w:t>环保投资估算</w:t>
            </w:r>
          </w:p>
          <w:p>
            <w:pPr>
              <w:topLinePunct/>
              <w:adjustRightInd w:val="0"/>
              <w:snapToGrid w:val="0"/>
              <w:ind w:firstLine="420"/>
              <w:rPr>
                <w:rFonts w:hint="default" w:ascii="Times New Roman" w:hAnsi="Times New Roman" w:eastAsia="仿宋" w:cs="Times New Roman"/>
                <w:snapToGrid w:val="0"/>
                <w:color w:val="auto"/>
                <w:kern w:val="0"/>
                <w:sz w:val="24"/>
                <w:szCs w:val="24"/>
                <w:highlight w:val="none"/>
              </w:rPr>
            </w:pPr>
            <w:r>
              <w:rPr>
                <w:rFonts w:hint="default" w:ascii="Times New Roman" w:hAnsi="Times New Roman" w:eastAsia="仿宋" w:cs="Times New Roman"/>
                <w:snapToGrid w:val="0"/>
                <w:color w:val="auto"/>
                <w:kern w:val="0"/>
                <w:sz w:val="24"/>
                <w:szCs w:val="24"/>
                <w:highlight w:val="none"/>
              </w:rPr>
              <w:t>本项目总投资</w:t>
            </w:r>
            <w:r>
              <w:rPr>
                <w:rFonts w:hint="eastAsia" w:eastAsia="仿宋" w:cs="Times New Roman"/>
                <w:snapToGrid w:val="0"/>
                <w:color w:val="auto"/>
                <w:kern w:val="0"/>
                <w:sz w:val="24"/>
                <w:szCs w:val="24"/>
                <w:highlight w:val="none"/>
                <w:lang w:val="en-US" w:eastAsia="zh-CN"/>
              </w:rPr>
              <w:t>1053.94</w:t>
            </w:r>
            <w:r>
              <w:rPr>
                <w:rFonts w:hint="default" w:ascii="Times New Roman" w:hAnsi="Times New Roman" w:eastAsia="仿宋" w:cs="Times New Roman"/>
                <w:snapToGrid w:val="0"/>
                <w:color w:val="auto"/>
                <w:kern w:val="0"/>
                <w:sz w:val="24"/>
                <w:szCs w:val="24"/>
                <w:highlight w:val="none"/>
              </w:rPr>
              <w:t>万元，环保投资</w:t>
            </w:r>
            <w:r>
              <w:rPr>
                <w:rFonts w:hint="eastAsia" w:eastAsia="仿宋" w:cs="Times New Roman"/>
                <w:snapToGrid w:val="0"/>
                <w:color w:val="auto"/>
                <w:kern w:val="0"/>
                <w:sz w:val="24"/>
                <w:szCs w:val="24"/>
                <w:highlight w:val="none"/>
                <w:lang w:val="en-US" w:eastAsia="zh-CN"/>
              </w:rPr>
              <w:t>132.17</w:t>
            </w:r>
            <w:r>
              <w:rPr>
                <w:rFonts w:hint="default" w:ascii="Times New Roman" w:hAnsi="Times New Roman" w:eastAsia="仿宋" w:cs="Times New Roman"/>
                <w:snapToGrid w:val="0"/>
                <w:color w:val="auto"/>
                <w:kern w:val="0"/>
                <w:sz w:val="24"/>
                <w:szCs w:val="24"/>
                <w:highlight w:val="none"/>
              </w:rPr>
              <w:t>万元，占总投资的</w:t>
            </w:r>
            <w:r>
              <w:rPr>
                <w:rFonts w:hint="eastAsia" w:eastAsia="仿宋" w:cs="Times New Roman"/>
                <w:snapToGrid w:val="0"/>
                <w:color w:val="auto"/>
                <w:kern w:val="0"/>
                <w:sz w:val="24"/>
                <w:szCs w:val="24"/>
                <w:highlight w:val="none"/>
                <w:lang w:val="en-US" w:eastAsia="zh-CN"/>
              </w:rPr>
              <w:t>12.54</w:t>
            </w:r>
            <w:r>
              <w:rPr>
                <w:rFonts w:hint="default" w:ascii="Times New Roman" w:hAnsi="Times New Roman" w:eastAsia="仿宋" w:cs="Times New Roman"/>
                <w:snapToGrid w:val="0"/>
                <w:color w:val="auto"/>
                <w:kern w:val="0"/>
                <w:sz w:val="24"/>
                <w:szCs w:val="24"/>
                <w:highlight w:val="none"/>
              </w:rPr>
              <w:t>％，见表5-</w:t>
            </w:r>
            <w:r>
              <w:rPr>
                <w:rFonts w:hint="eastAsia" w:ascii="Times New Roman" w:hAnsi="Times New Roman" w:eastAsia="仿宋" w:cs="Times New Roman"/>
                <w:snapToGrid w:val="0"/>
                <w:color w:val="auto"/>
                <w:kern w:val="0"/>
                <w:sz w:val="24"/>
                <w:szCs w:val="24"/>
                <w:highlight w:val="none"/>
                <w:lang w:val="en-US" w:eastAsia="zh-CN"/>
              </w:rPr>
              <w:t>5</w:t>
            </w:r>
            <w:r>
              <w:rPr>
                <w:rFonts w:hint="default" w:ascii="Times New Roman" w:hAnsi="Times New Roman" w:eastAsia="仿宋" w:cs="Times New Roman"/>
                <w:snapToGrid w:val="0"/>
                <w:color w:val="auto"/>
                <w:kern w:val="0"/>
                <w:sz w:val="24"/>
                <w:szCs w:val="24"/>
                <w:highlight w:val="none"/>
              </w:rPr>
              <w:t>。</w:t>
            </w:r>
          </w:p>
          <w:p>
            <w:pPr>
              <w:keepNext w:val="0"/>
              <w:keepLines w:val="0"/>
              <w:pageBreakBefore w:val="0"/>
              <w:widowControl w:val="0"/>
              <w:kinsoku/>
              <w:wordWrap/>
              <w:overflowPunct w:val="0"/>
              <w:topLinePunct w:val="0"/>
              <w:autoSpaceDE/>
              <w:autoSpaceDN/>
              <w:bidi w:val="0"/>
              <w:adjustRightInd w:val="0"/>
              <w:snapToGrid w:val="0"/>
              <w:spacing w:before="157" w:beforeLines="50" w:line="240" w:lineRule="exact"/>
              <w:ind w:firstLine="422"/>
              <w:jc w:val="center"/>
              <w:textAlignment w:val="auto"/>
              <w:rPr>
                <w:rFonts w:hint="default" w:ascii="Times New Roman" w:hAnsi="Times New Roman" w:eastAsia="仿宋" w:cs="Times New Roman"/>
                <w:b/>
                <w:color w:val="auto"/>
                <w:sz w:val="18"/>
                <w:szCs w:val="18"/>
                <w:highlight w:val="none"/>
              </w:rPr>
            </w:pPr>
            <w:r>
              <w:rPr>
                <w:rFonts w:hint="default" w:ascii="Times New Roman" w:hAnsi="Times New Roman" w:eastAsia="仿宋" w:cs="Times New Roman"/>
                <w:b/>
                <w:color w:val="auto"/>
                <w:sz w:val="21"/>
                <w:szCs w:val="21"/>
                <w:highlight w:val="none"/>
              </w:rPr>
              <w:t>表5-</w:t>
            </w:r>
            <w:r>
              <w:rPr>
                <w:rFonts w:hint="eastAsia" w:eastAsia="仿宋" w:cs="Times New Roman"/>
                <w:b/>
                <w:color w:val="auto"/>
                <w:sz w:val="21"/>
                <w:szCs w:val="21"/>
                <w:highlight w:val="none"/>
                <w:lang w:val="en-US" w:eastAsia="zh-CN"/>
              </w:rPr>
              <w:t>6</w:t>
            </w:r>
            <w:r>
              <w:rPr>
                <w:rFonts w:hint="default" w:ascii="Times New Roman" w:hAnsi="Times New Roman" w:eastAsia="仿宋" w:cs="Times New Roman"/>
                <w:b/>
                <w:color w:val="auto"/>
                <w:sz w:val="21"/>
                <w:szCs w:val="21"/>
                <w:highlight w:val="none"/>
              </w:rPr>
              <w:t>环保投资估算一览表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716"/>
              <w:gridCol w:w="3318"/>
              <w:gridCol w:w="1236"/>
              <w:gridCol w:w="106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项目阶段</w:t>
                  </w: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项目</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治理措施</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治理对象</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数量（规格）</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投资</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35" w:type="pct"/>
                  <w:vMerge w:val="restar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运营期</w:t>
                  </w: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废气</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rPr>
                  </w:pPr>
                  <w:r>
                    <w:rPr>
                      <w:rFonts w:hint="default" w:ascii="Times New Roman" w:hAnsi="Times New Roman" w:eastAsia="仿宋" w:cs="Times New Roman"/>
                      <w:color w:val="auto"/>
                      <w:position w:val="6"/>
                      <w:sz w:val="21"/>
                      <w:szCs w:val="21"/>
                      <w:highlight w:val="none"/>
                    </w:rPr>
                    <w:t>矿石开采、装卸</w:t>
                  </w:r>
                  <w:r>
                    <w:rPr>
                      <w:rFonts w:hint="default" w:ascii="Times New Roman" w:hAnsi="Times New Roman" w:eastAsia="仿宋" w:cs="Times New Roman"/>
                      <w:color w:val="auto"/>
                      <w:position w:val="6"/>
                      <w:sz w:val="21"/>
                      <w:szCs w:val="21"/>
                      <w:highlight w:val="none"/>
                      <w:lang w:val="en-US" w:eastAsia="zh-CN"/>
                    </w:rPr>
                    <w:t>等</w:t>
                  </w:r>
                  <w:r>
                    <w:rPr>
                      <w:rFonts w:hint="default" w:ascii="Times New Roman" w:hAnsi="Times New Roman" w:eastAsia="仿宋" w:cs="Times New Roman"/>
                      <w:color w:val="auto"/>
                      <w:position w:val="6"/>
                      <w:sz w:val="21"/>
                      <w:szCs w:val="21"/>
                      <w:highlight w:val="none"/>
                    </w:rPr>
                    <w:t>过程采取雾炮机喷洒降尘措施；</w:t>
                  </w:r>
                  <w:r>
                    <w:rPr>
                      <w:rFonts w:hint="default" w:ascii="Times New Roman" w:hAnsi="Times New Roman" w:eastAsia="仿宋" w:cs="Times New Roman"/>
                      <w:color w:val="auto"/>
                      <w:position w:val="6"/>
                      <w:sz w:val="21"/>
                      <w:szCs w:val="21"/>
                      <w:highlight w:val="none"/>
                      <w:lang w:val="zh-TW" w:eastAsia="zh-CN"/>
                    </w:rPr>
                    <w:t>对筛分工序进行局部密闭，无法密闭部位安装水喷淋降尘</w:t>
                  </w:r>
                  <w:r>
                    <w:rPr>
                      <w:rFonts w:hint="default" w:ascii="Times New Roman" w:hAnsi="Times New Roman" w:eastAsia="仿宋" w:cs="Times New Roman"/>
                      <w:color w:val="auto"/>
                      <w:position w:val="6"/>
                      <w:sz w:val="21"/>
                      <w:szCs w:val="21"/>
                      <w:highlight w:val="none"/>
                      <w:lang w:val="en-US" w:eastAsia="zh-CN"/>
                    </w:rPr>
                    <w:t>；</w:t>
                  </w:r>
                  <w:r>
                    <w:rPr>
                      <w:rFonts w:hint="default" w:ascii="Times New Roman" w:hAnsi="Times New Roman" w:eastAsia="仿宋" w:cs="Times New Roman"/>
                      <w:color w:val="auto"/>
                      <w:position w:val="6"/>
                      <w:sz w:val="21"/>
                      <w:szCs w:val="21"/>
                      <w:highlight w:val="none"/>
                    </w:rPr>
                    <w:t>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表土堆场、</w:t>
                  </w:r>
                  <w:r>
                    <w:rPr>
                      <w:rFonts w:hint="default" w:ascii="Times New Roman" w:hAnsi="Times New Roman" w:eastAsia="仿宋" w:cs="Times New Roman"/>
                      <w:color w:val="auto"/>
                      <w:position w:val="6"/>
                      <w:sz w:val="21"/>
                      <w:szCs w:val="21"/>
                      <w:highlight w:val="none"/>
                      <w:lang w:eastAsia="zh-CN"/>
                    </w:rPr>
                    <w:t>废石堆场</w:t>
                  </w:r>
                  <w:r>
                    <w:rPr>
                      <w:rFonts w:hint="eastAsia" w:eastAsia="仿宋" w:cs="Times New Roman"/>
                      <w:color w:val="auto"/>
                      <w:position w:val="6"/>
                      <w:sz w:val="21"/>
                      <w:szCs w:val="21"/>
                      <w:highlight w:val="none"/>
                      <w:lang w:val="en-US" w:eastAsia="zh-CN"/>
                    </w:rPr>
                    <w:t>采取防尘网苫盖</w:t>
                  </w:r>
                  <w:r>
                    <w:rPr>
                      <w:rFonts w:hint="default" w:ascii="Times New Roman" w:hAnsi="Times New Roman" w:eastAsia="仿宋" w:cs="Times New Roman"/>
                      <w:color w:val="auto"/>
                      <w:position w:val="6"/>
                      <w:sz w:val="21"/>
                      <w:szCs w:val="21"/>
                      <w:highlight w:val="none"/>
                    </w:rPr>
                    <w:t>，洒水保湿</w:t>
                  </w:r>
                  <w:r>
                    <w:rPr>
                      <w:rFonts w:hint="default" w:ascii="Times New Roman" w:hAnsi="Times New Roman" w:eastAsia="仿宋" w:cs="Times New Roman"/>
                      <w:color w:val="auto"/>
                      <w:position w:val="6"/>
                      <w:sz w:val="21"/>
                      <w:szCs w:val="21"/>
                      <w:highlight w:val="none"/>
                      <w:lang w:eastAsia="zh-CN"/>
                    </w:rPr>
                    <w:t>；</w:t>
                  </w:r>
                  <w:r>
                    <w:rPr>
                      <w:rFonts w:hint="default" w:ascii="Times New Roman" w:hAnsi="Times New Roman" w:eastAsia="仿宋" w:cs="Times New Roman"/>
                      <w:color w:val="auto"/>
                      <w:position w:val="6"/>
                      <w:sz w:val="21"/>
                      <w:szCs w:val="21"/>
                      <w:highlight w:val="none"/>
                      <w:lang w:val="en-US" w:eastAsia="zh-CN"/>
                    </w:rPr>
                    <w:t>食堂油烟经油烟净化器处理后排放。</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粉尘</w:t>
                  </w:r>
                  <w:r>
                    <w:rPr>
                      <w:rFonts w:hint="default" w:ascii="Times New Roman" w:hAnsi="Times New Roman" w:eastAsia="仿宋" w:cs="Times New Roman"/>
                      <w:bCs/>
                      <w:color w:val="auto"/>
                      <w:sz w:val="21"/>
                      <w:szCs w:val="21"/>
                      <w:highlight w:val="none"/>
                      <w:lang w:eastAsia="zh-CN"/>
                    </w:rPr>
                    <w:t>、</w:t>
                  </w:r>
                  <w:r>
                    <w:rPr>
                      <w:rFonts w:hint="default" w:ascii="Times New Roman" w:hAnsi="Times New Roman" w:eastAsia="仿宋" w:cs="Times New Roman"/>
                      <w:bCs/>
                      <w:color w:val="auto"/>
                      <w:sz w:val="21"/>
                      <w:szCs w:val="21"/>
                      <w:highlight w:val="none"/>
                      <w:lang w:val="en-US" w:eastAsia="zh-CN"/>
                    </w:rPr>
                    <w:t>石头油烟</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雾炮机2台；洒水车1辆；</w:t>
                  </w:r>
                  <w:r>
                    <w:rPr>
                      <w:rFonts w:hint="default" w:ascii="Times New Roman" w:hAnsi="Times New Roman" w:eastAsia="仿宋" w:cs="Times New Roman"/>
                      <w:bCs/>
                      <w:color w:val="auto"/>
                      <w:sz w:val="21"/>
                      <w:szCs w:val="21"/>
                      <w:highlight w:val="none"/>
                      <w:lang w:val="en-US" w:eastAsia="zh-CN"/>
                    </w:rPr>
                    <w:t>油烟净化装置</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716" w:type="dxa"/>
                  <w:vMerge w:val="restar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废水</w:t>
                  </w:r>
                </w:p>
              </w:tc>
              <w:tc>
                <w:tcPr>
                  <w:tcW w:w="3318"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lang w:val="en-US" w:eastAsia="zh-CN"/>
                    </w:rPr>
                  </w:pPr>
                  <w:r>
                    <w:rPr>
                      <w:rFonts w:hint="eastAsia" w:eastAsia="仿宋" w:cs="Times New Roman"/>
                      <w:color w:val="auto"/>
                      <w:position w:val="6"/>
                      <w:sz w:val="21"/>
                      <w:szCs w:val="21"/>
                      <w:highlight w:val="none"/>
                      <w:lang w:val="en-US" w:eastAsia="zh-CN"/>
                    </w:rPr>
                    <w:t>沉淀池</w:t>
                  </w:r>
                </w:p>
              </w:tc>
              <w:tc>
                <w:tcPr>
                  <w:tcW w:w="1236"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生产废水</w:t>
                  </w:r>
                </w:p>
              </w:tc>
              <w:tc>
                <w:tcPr>
                  <w:tcW w:w="1062"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1套</w:t>
                  </w:r>
                </w:p>
              </w:tc>
              <w:tc>
                <w:tcPr>
                  <w:tcW w:w="1180"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716" w:type="dxa"/>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3318" w:type="dxa"/>
                  <w:vAlign w:val="center"/>
                </w:tcPr>
                <w:p>
                  <w:pPr>
                    <w:overflowPunct w:val="0"/>
                    <w:adjustRightInd w:val="0"/>
                    <w:snapToGrid w:val="0"/>
                    <w:spacing w:line="240" w:lineRule="auto"/>
                    <w:ind w:firstLine="0" w:firstLineChars="0"/>
                    <w:jc w:val="center"/>
                    <w:rPr>
                      <w:rFonts w:hint="eastAsia" w:eastAsia="仿宋" w:cs="Times New Roman"/>
                      <w:color w:val="auto"/>
                      <w:position w:val="6"/>
                      <w:sz w:val="21"/>
                      <w:szCs w:val="21"/>
                      <w:highlight w:val="none"/>
                      <w:lang w:val="en-US" w:eastAsia="zh-CN"/>
                    </w:rPr>
                  </w:pPr>
                  <w:r>
                    <w:rPr>
                      <w:rFonts w:hint="eastAsia" w:eastAsia="仿宋" w:cs="Times New Roman"/>
                      <w:color w:val="auto"/>
                      <w:position w:val="6"/>
                      <w:sz w:val="21"/>
                      <w:szCs w:val="21"/>
                      <w:highlight w:val="none"/>
                      <w:lang w:val="en-US" w:eastAsia="zh-CN"/>
                    </w:rPr>
                    <w:t>隔油池、化粪池、</w:t>
                  </w:r>
                  <w:r>
                    <w:rPr>
                      <w:rFonts w:hint="default" w:ascii="Times New Roman" w:hAnsi="Times New Roman" w:eastAsia="仿宋" w:cs="Times New Roman"/>
                      <w:color w:val="auto"/>
                      <w:position w:val="6"/>
                      <w:sz w:val="21"/>
                      <w:szCs w:val="21"/>
                      <w:highlight w:val="none"/>
                      <w:lang w:val="en-US" w:eastAsia="zh-CN"/>
                    </w:rPr>
                    <w:t>委托拉运处置</w:t>
                  </w:r>
                </w:p>
              </w:tc>
              <w:tc>
                <w:tcPr>
                  <w:tcW w:w="1236" w:type="dxa"/>
                  <w:vAlign w:val="center"/>
                </w:tcPr>
                <w:p>
                  <w:pPr>
                    <w:overflowPunct w:val="0"/>
                    <w:adjustRightInd w:val="0"/>
                    <w:snapToGrid w:val="0"/>
                    <w:spacing w:line="240" w:lineRule="auto"/>
                    <w:ind w:firstLine="0" w:firstLineChars="0"/>
                    <w:jc w:val="center"/>
                    <w:rPr>
                      <w:rFonts w:hint="eastAsia"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生活污水</w:t>
                  </w:r>
                </w:p>
              </w:tc>
              <w:tc>
                <w:tcPr>
                  <w:tcW w:w="1062" w:type="dxa"/>
                  <w:vAlign w:val="center"/>
                </w:tcPr>
                <w:p>
                  <w:pPr>
                    <w:overflowPunct w:val="0"/>
                    <w:adjustRightInd w:val="0"/>
                    <w:snapToGrid w:val="0"/>
                    <w:spacing w:line="240" w:lineRule="auto"/>
                    <w:ind w:firstLine="0" w:firstLineChars="0"/>
                    <w:jc w:val="center"/>
                    <w:rPr>
                      <w:rFonts w:hint="eastAsia"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1套</w:t>
                  </w:r>
                </w:p>
              </w:tc>
              <w:tc>
                <w:tcPr>
                  <w:tcW w:w="1180" w:type="dxa"/>
                  <w:vAlign w:val="center"/>
                </w:tcPr>
                <w:p>
                  <w:pPr>
                    <w:overflowPunct w:val="0"/>
                    <w:adjustRightInd w:val="0"/>
                    <w:snapToGrid w:val="0"/>
                    <w:spacing w:line="240" w:lineRule="auto"/>
                    <w:ind w:firstLine="0" w:firstLineChars="0"/>
                    <w:jc w:val="center"/>
                    <w:rPr>
                      <w:rFonts w:hint="eastAsia"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噪声</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采用低噪声设备；高噪声设备采取密闭措施，安装消声、隔声、减震垫等，严格控制作业时间</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机械噪声</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交通噪声</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Merge w:val="restar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固废</w:t>
                  </w: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全部运至项目区采场用于回填采坑</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废石</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生活垃圾箱</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危废暂存间、委托处置</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废机油</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rPr>
                    <w:t>生态</w:t>
                  </w: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lang w:eastAsia="zh-CN"/>
                    </w:rPr>
                    <w:t>堆场</w:t>
                  </w:r>
                  <w:r>
                    <w:rPr>
                      <w:rFonts w:hint="default" w:ascii="Times New Roman" w:hAnsi="Times New Roman" w:eastAsia="仿宋" w:cs="Times New Roman"/>
                      <w:bCs/>
                      <w:color w:val="auto"/>
                      <w:sz w:val="21"/>
                      <w:szCs w:val="21"/>
                      <w:highlight w:val="none"/>
                    </w:rPr>
                    <w:t>周边设置导流沟，填土草袋围护，减少水土流失</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rPr>
                    <w:t>水土流失</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kern w:val="2"/>
                      <w:sz w:val="21"/>
                      <w:szCs w:val="21"/>
                      <w:highlight w:val="none"/>
                      <w:lang w:val="en-US" w:eastAsia="zh-CN" w:bidi="ar-SA"/>
                    </w:rPr>
                  </w:pPr>
                  <w:r>
                    <w:rPr>
                      <w:rFonts w:hint="eastAsia" w:ascii="Times New Roman" w:hAnsi="Times New Roman" w:eastAsia="仿宋" w:cs="Times New Roman"/>
                      <w:bCs/>
                      <w:color w:val="auto"/>
                      <w:kern w:val="2"/>
                      <w:sz w:val="21"/>
                      <w:szCs w:val="21"/>
                      <w:highlight w:val="none"/>
                      <w:lang w:val="en-US" w:eastAsia="zh-CN" w:bidi="ar-SA"/>
                    </w:rPr>
                    <w:t xml:space="preserve">闭矿 </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eastAsia" w:ascii="Times New Roman" w:hAnsi="Times New Roman" w:eastAsia="仿宋" w:cs="Times New Roman"/>
                      <w:bCs/>
                      <w:color w:val="auto"/>
                      <w:kern w:val="2"/>
                      <w:sz w:val="21"/>
                      <w:szCs w:val="21"/>
                      <w:highlight w:val="none"/>
                      <w:lang w:val="en-US" w:eastAsia="zh-CN" w:bidi="ar-SA"/>
                    </w:rPr>
                    <w:t>期</w:t>
                  </w:r>
                </w:p>
              </w:tc>
              <w:tc>
                <w:tcPr>
                  <w:tcW w:w="3847" w:type="pct"/>
                  <w:gridSpan w:val="4"/>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kern w:val="2"/>
                      <w:sz w:val="21"/>
                      <w:szCs w:val="21"/>
                      <w:highlight w:val="none"/>
                      <w:lang w:val="en-US" w:eastAsia="zh-CN" w:bidi="ar-SA"/>
                    </w:rPr>
                    <w:t>闭矿期拆除建筑物，场地平整，覆土回填、</w:t>
                  </w:r>
                  <w:r>
                    <w:rPr>
                      <w:rFonts w:hint="default" w:ascii="Times New Roman" w:hAnsi="Times New Roman" w:eastAsia="仿宋" w:cs="Times New Roman"/>
                      <w:bCs/>
                      <w:color w:val="auto"/>
                      <w:sz w:val="21"/>
                      <w:szCs w:val="21"/>
                      <w:highlight w:val="none"/>
                      <w:lang w:val="en-US" w:eastAsia="zh-CN"/>
                    </w:rPr>
                    <w:t>采用机械、人工等方式对采场边坡进行清理</w:t>
                  </w:r>
                  <w:r>
                    <w:rPr>
                      <w:rFonts w:hint="eastAsia" w:eastAsia="仿宋" w:cs="Times New Roman"/>
                      <w:bCs/>
                      <w:color w:val="auto"/>
                      <w:sz w:val="21"/>
                      <w:szCs w:val="21"/>
                      <w:highlight w:val="none"/>
                      <w:lang w:val="en-US" w:eastAsia="zh-CN"/>
                    </w:rPr>
                    <w:t>，同时对采坑边坡进行削坡处理，保证边坡稳定，防止水土流失加剧；矿山道路清理、覆土，基本恢复原有地形地貌。</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105.97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82" w:type="pct"/>
                  <w:gridSpan w:val="5"/>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合计</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132.17</w:t>
                  </w:r>
                </w:p>
              </w:tc>
            </w:tr>
          </w:tbl>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 w:cs="Times New Roman"/>
                <w:b/>
                <w:color w:val="auto"/>
                <w:kern w:val="0"/>
                <w:sz w:val="24"/>
                <w:highlight w:val="none"/>
              </w:rPr>
            </w:pPr>
            <w:r>
              <w:rPr>
                <w:rFonts w:hint="eastAsia" w:ascii="Times New Roman" w:hAnsi="Times New Roman" w:eastAsia="仿宋" w:cs="Times New Roman"/>
                <w:b/>
                <w:color w:val="auto"/>
                <w:kern w:val="0"/>
                <w:sz w:val="24"/>
                <w:highlight w:val="none"/>
                <w:lang w:val="en-US" w:eastAsia="zh-CN"/>
              </w:rPr>
              <w:t>2、</w:t>
            </w:r>
            <w:r>
              <w:rPr>
                <w:rFonts w:hint="default" w:ascii="Times New Roman" w:hAnsi="Times New Roman" w:eastAsia="仿宋" w:cs="Times New Roman"/>
                <w:b/>
                <w:color w:val="auto"/>
                <w:kern w:val="0"/>
                <w:sz w:val="24"/>
                <w:highlight w:val="none"/>
              </w:rPr>
              <w:t>竣工验收</w:t>
            </w:r>
          </w:p>
          <w:p>
            <w:pPr>
              <w:adjustRightInd w:val="0"/>
              <w:snapToGrid w:val="0"/>
              <w:ind w:firstLine="460" w:firstLineChars="200"/>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建设单位在工程投产后试运行</w:t>
            </w:r>
            <w:r>
              <w:rPr>
                <w:rFonts w:hint="eastAsia" w:eastAsia="仿宋" w:cs="Times New Roman"/>
                <w:bCs/>
                <w:color w:val="auto"/>
                <w:spacing w:val="10"/>
                <w:szCs w:val="21"/>
                <w:lang w:val="en-US" w:eastAsia="zh-CN"/>
              </w:rPr>
              <w:t>3</w:t>
            </w:r>
            <w:r>
              <w:rPr>
                <w:rFonts w:hint="default" w:ascii="Times New Roman" w:hAnsi="Times New Roman" w:eastAsia="仿宋" w:cs="Times New Roman"/>
                <w:bCs/>
                <w:color w:val="auto"/>
                <w:spacing w:val="10"/>
                <w:szCs w:val="21"/>
              </w:rPr>
              <w:t>个月内，按照《建设项目环境保护设施竣工验收管理规定》中的有关要求，进行自主验收</w:t>
            </w:r>
            <w:r>
              <w:rPr>
                <w:rFonts w:hint="eastAsia" w:eastAsia="仿宋" w:cs="Times New Roman"/>
                <w:bCs/>
                <w:color w:val="auto"/>
                <w:spacing w:val="10"/>
                <w:szCs w:val="21"/>
                <w:lang w:eastAsia="zh-CN"/>
              </w:rPr>
              <w:t>并</w:t>
            </w:r>
            <w:r>
              <w:rPr>
                <w:rFonts w:hint="default" w:ascii="Times New Roman" w:hAnsi="Times New Roman" w:eastAsia="仿宋" w:cs="Times New Roman"/>
                <w:bCs/>
                <w:color w:val="auto"/>
                <w:spacing w:val="10"/>
                <w:szCs w:val="21"/>
              </w:rPr>
              <w:t>及时向项目环保主管部门备案。建设项目竣工环保“三同时”验收内容见下表。</w:t>
            </w:r>
          </w:p>
          <w:p>
            <w:pPr>
              <w:adjustRightInd w:val="0"/>
              <w:snapToGrid w:val="0"/>
              <w:ind w:firstLine="462" w:firstLineChars="200"/>
              <w:jc w:val="center"/>
              <w:rPr>
                <w:rFonts w:hint="default" w:ascii="Times New Roman" w:hAnsi="Times New Roman" w:eastAsia="仿宋" w:cs="Times New Roman"/>
                <w:b/>
                <w:bCs w:val="0"/>
                <w:color w:val="auto"/>
                <w:spacing w:val="10"/>
                <w:szCs w:val="21"/>
              </w:rPr>
            </w:pPr>
            <w:r>
              <w:rPr>
                <w:rFonts w:hint="default" w:ascii="Times New Roman" w:hAnsi="Times New Roman" w:eastAsia="仿宋" w:cs="Times New Roman"/>
                <w:b/>
                <w:bCs w:val="0"/>
                <w:color w:val="auto"/>
                <w:spacing w:val="10"/>
                <w:szCs w:val="21"/>
              </w:rPr>
              <w:t>表5-</w:t>
            </w:r>
            <w:r>
              <w:rPr>
                <w:rFonts w:hint="eastAsia" w:eastAsia="仿宋" w:cs="Times New Roman"/>
                <w:b/>
                <w:bCs w:val="0"/>
                <w:color w:val="auto"/>
                <w:spacing w:val="10"/>
                <w:szCs w:val="21"/>
                <w:lang w:val="en-US" w:eastAsia="zh-CN"/>
              </w:rPr>
              <w:t>7</w:t>
            </w:r>
            <w:r>
              <w:rPr>
                <w:rFonts w:hint="default" w:ascii="Times New Roman" w:hAnsi="Times New Roman" w:eastAsia="仿宋" w:cs="Times New Roman"/>
                <w:b/>
                <w:bCs w:val="0"/>
                <w:color w:val="auto"/>
                <w:spacing w:val="10"/>
                <w:szCs w:val="21"/>
              </w:rPr>
              <w:t>“三同时”验收一览表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3928"/>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项目</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ascii="Times New Roman" w:hAnsi="Times New Roman" w:eastAsia="仿宋" w:cs="Times New Roman"/>
                      <w:bCs/>
                      <w:color w:val="auto"/>
                      <w:sz w:val="21"/>
                      <w:szCs w:val="21"/>
                      <w:highlight w:val="none"/>
                      <w:lang w:val="en-US" w:eastAsia="zh-CN"/>
                    </w:rPr>
                    <w:t>建设内容</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竣工验收要求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废气</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rPr>
                  </w:pPr>
                  <w:r>
                    <w:rPr>
                      <w:rFonts w:hint="default" w:ascii="Times New Roman" w:hAnsi="Times New Roman" w:eastAsia="仿宋" w:cs="Times New Roman"/>
                      <w:color w:val="auto"/>
                      <w:position w:val="6"/>
                      <w:sz w:val="21"/>
                      <w:szCs w:val="21"/>
                      <w:highlight w:val="none"/>
                    </w:rPr>
                    <w:t>矿石开采、装卸</w:t>
                  </w:r>
                  <w:r>
                    <w:rPr>
                      <w:rFonts w:hint="default" w:ascii="Times New Roman" w:hAnsi="Times New Roman" w:eastAsia="仿宋" w:cs="Times New Roman"/>
                      <w:color w:val="auto"/>
                      <w:position w:val="6"/>
                      <w:sz w:val="21"/>
                      <w:szCs w:val="21"/>
                      <w:highlight w:val="none"/>
                      <w:lang w:val="en-US" w:eastAsia="zh-CN"/>
                    </w:rPr>
                    <w:t>等</w:t>
                  </w:r>
                  <w:r>
                    <w:rPr>
                      <w:rFonts w:hint="default" w:ascii="Times New Roman" w:hAnsi="Times New Roman" w:eastAsia="仿宋" w:cs="Times New Roman"/>
                      <w:color w:val="auto"/>
                      <w:position w:val="6"/>
                      <w:sz w:val="21"/>
                      <w:szCs w:val="21"/>
                      <w:highlight w:val="none"/>
                    </w:rPr>
                    <w:t>过程采取雾炮机喷洒降尘措施；矿区运输道路每日洒水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喷淋设备、洒水设备是否设置完善；无组织粉尘排放满足《大气污染物综合排放标准》（GB16297-96）表</w:t>
                  </w:r>
                  <w:r>
                    <w:rPr>
                      <w:rFonts w:hint="eastAsia" w:ascii="Times New Roman" w:hAnsi="Times New Roman" w:eastAsia="仿宋" w:cs="Times New Roman"/>
                      <w:bCs/>
                      <w:color w:val="auto"/>
                      <w:sz w:val="21"/>
                      <w:szCs w:val="21"/>
                      <w:highlight w:val="none"/>
                      <w:lang w:val="en-US" w:eastAsia="zh-CN"/>
                    </w:rPr>
                    <w:t>2</w:t>
                  </w:r>
                  <w:r>
                    <w:rPr>
                      <w:rFonts w:hint="default" w:ascii="Times New Roman" w:hAnsi="Times New Roman" w:eastAsia="仿宋" w:cs="Times New Roman"/>
                      <w:bCs/>
                      <w:color w:val="auto"/>
                      <w:sz w:val="21"/>
                      <w:szCs w:val="21"/>
                      <w:highlight w:val="none"/>
                      <w:lang w:val="en-US" w:eastAsia="zh-CN"/>
                    </w:rPr>
                    <w:t>中无组织排放监控浓度限值。</w:t>
                  </w:r>
                  <w:r>
                    <w:rPr>
                      <w:rFonts w:hint="eastAsia" w:ascii="Times New Roman" w:hAnsi="Times New Roman" w:eastAsia="仿宋" w:cs="Times New Roman"/>
                      <w:bCs/>
                      <w:color w:val="auto"/>
                      <w:sz w:val="21"/>
                      <w:szCs w:val="21"/>
                      <w:highlight w:val="none"/>
                      <w:lang w:val="en-US" w:eastAsia="zh-CN"/>
                    </w:rPr>
                    <w:t>食堂油烟满足《饮食业油烟排放标准》（GB18483-2001）中最高允许排放浓度为2.0mg/m</w:t>
                  </w:r>
                  <w:r>
                    <w:rPr>
                      <w:rFonts w:hint="eastAsia" w:ascii="Times New Roman" w:hAnsi="Times New Roman" w:eastAsia="仿宋" w:cs="Times New Roman"/>
                      <w:bCs/>
                      <w:color w:val="auto"/>
                      <w:sz w:val="21"/>
                      <w:szCs w:val="21"/>
                      <w:highlight w:val="none"/>
                      <w:vertAlign w:val="superscript"/>
                      <w:lang w:val="en-US" w:eastAsia="zh-CN"/>
                    </w:rPr>
                    <w:t>3</w:t>
                  </w:r>
                  <w:r>
                    <w:rPr>
                      <w:rFonts w:hint="eastAsia" w:ascii="Times New Roman" w:hAnsi="Times New Roman" w:eastAsia="仿宋" w:cs="Times New Roman"/>
                      <w:bCs/>
                      <w:color w:val="auto"/>
                      <w:sz w:val="21"/>
                      <w:szCs w:val="21"/>
                      <w:highlight w:val="none"/>
                      <w:lang w:val="en-US" w:eastAsia="zh-CN"/>
                    </w:rPr>
                    <w:t>的限值要求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49" w:type="pc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sz w:val="21"/>
                      <w:szCs w:val="21"/>
                      <w:highlight w:val="none"/>
                      <w:lang w:val="en-US" w:eastAsia="zh-CN"/>
                    </w:rPr>
                  </w:pPr>
                  <w:r>
                    <w:rPr>
                      <w:rFonts w:hint="eastAsia" w:ascii="Times New Roman" w:hAnsi="Times New Roman" w:eastAsia="仿宋" w:cs="Times New Roman"/>
                      <w:bCs/>
                      <w:color w:val="auto"/>
                      <w:sz w:val="21"/>
                      <w:szCs w:val="21"/>
                      <w:highlight w:val="none"/>
                      <w:lang w:val="en-US" w:eastAsia="zh-CN"/>
                    </w:rPr>
                    <w:t>废水</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lang w:val="en-US" w:eastAsia="zh-CN"/>
                    </w:rPr>
                  </w:pPr>
                  <w:r>
                    <w:rPr>
                      <w:rFonts w:hint="default" w:ascii="Times New Roman" w:hAnsi="Times New Roman" w:eastAsia="仿宋" w:cs="Times New Roman"/>
                      <w:color w:val="auto"/>
                      <w:position w:val="6"/>
                      <w:sz w:val="21"/>
                      <w:szCs w:val="21"/>
                      <w:highlight w:val="none"/>
                      <w:lang w:val="en-US" w:eastAsia="zh-CN"/>
                    </w:rPr>
                    <w:t>食堂废水经隔油处理后与其他生活污水暂存于化粪池，定期委托个人由吸污泵车拉运至鄯善县污水处理厂处置</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ascii="Times New Roman" w:hAnsi="Times New Roman" w:eastAsia="仿宋" w:cs="Times New Roman"/>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噪声</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采用低噪声设备；高噪声设备采取密闭措施，安装消声、隔声、减震垫等，严格控制作业时间</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49" w:type="pc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固废</w:t>
                  </w:r>
                </w:p>
              </w:tc>
              <w:tc>
                <w:tcPr>
                  <w:tcW w:w="238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生活垃圾箱</w:t>
                  </w:r>
                  <w:r>
                    <w:rPr>
                      <w:rFonts w:hint="eastAsia" w:eastAsia="仿宋" w:cs="Times New Roman"/>
                      <w:bCs/>
                      <w:color w:val="auto"/>
                      <w:sz w:val="21"/>
                      <w:szCs w:val="21"/>
                      <w:highlight w:val="none"/>
                      <w:lang w:eastAsia="zh-CN"/>
                    </w:rPr>
                    <w:t>、</w:t>
                  </w:r>
                  <w:r>
                    <w:rPr>
                      <w:rFonts w:hint="eastAsia" w:eastAsia="仿宋" w:cs="Times New Roman"/>
                      <w:bCs/>
                      <w:color w:val="auto"/>
                      <w:sz w:val="21"/>
                      <w:szCs w:val="21"/>
                      <w:highlight w:val="none"/>
                      <w:lang w:val="en-US" w:eastAsia="zh-CN"/>
                    </w:rPr>
                    <w:t>防渗沉淀池的泥沙自然风干后定期回填至采坑</w:t>
                  </w:r>
                </w:p>
              </w:tc>
              <w:tc>
                <w:tcPr>
                  <w:tcW w:w="2063" w:type="pct"/>
                  <w:vAlign w:val="center"/>
                </w:tcPr>
                <w:p>
                  <w:pPr>
                    <w:pStyle w:val="11"/>
                    <w:overflowPunct w:val="0"/>
                    <w:adjustRightInd w:val="0"/>
                    <w:spacing w:after="0" w:line="240" w:lineRule="auto"/>
                    <w:ind w:left="0" w:leftChars="0" w:firstLine="0" w:firstLineChars="0"/>
                    <w:jc w:val="center"/>
                    <w:rPr>
                      <w:rFonts w:hint="eastAsia" w:ascii="Times New Roman" w:hAnsi="Times New Roman" w:eastAsia="仿宋" w:cs="Times New Roman"/>
                      <w:bCs/>
                      <w:color w:val="auto"/>
                      <w:sz w:val="21"/>
                      <w:szCs w:val="21"/>
                      <w:highlight w:val="none"/>
                      <w:lang w:eastAsia="zh-CN"/>
                    </w:rPr>
                  </w:pPr>
                  <w:r>
                    <w:rPr>
                      <w:rFonts w:hint="eastAsia" w:ascii="Times New Roman" w:hAnsi="Times New Roman" w:eastAsia="仿宋" w:cs="Times New Roman"/>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生态</w:t>
                  </w:r>
                </w:p>
              </w:tc>
              <w:tc>
                <w:tcPr>
                  <w:tcW w:w="238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kern w:val="2"/>
                      <w:sz w:val="21"/>
                      <w:szCs w:val="21"/>
                      <w:highlight w:val="none"/>
                      <w:lang w:val="en-US" w:eastAsia="zh-CN" w:bidi="ar-SA"/>
                    </w:rPr>
                    <w:t>闭矿期拆除建筑物，场地平整，覆土回填、</w:t>
                  </w:r>
                  <w:r>
                    <w:rPr>
                      <w:rFonts w:hint="default" w:ascii="Times New Roman" w:hAnsi="Times New Roman" w:eastAsia="仿宋" w:cs="Times New Roman"/>
                      <w:bCs/>
                      <w:color w:val="auto"/>
                      <w:sz w:val="21"/>
                      <w:szCs w:val="21"/>
                      <w:highlight w:val="none"/>
                      <w:lang w:val="en-US" w:eastAsia="zh-CN"/>
                    </w:rPr>
                    <w:t>采用机械、人工等方式对采场边坡进行清理</w:t>
                  </w:r>
                  <w:r>
                    <w:rPr>
                      <w:rFonts w:hint="eastAsia" w:eastAsia="仿宋" w:cs="Times New Roman"/>
                      <w:bCs/>
                      <w:color w:val="auto"/>
                      <w:sz w:val="21"/>
                      <w:szCs w:val="21"/>
                      <w:highlight w:val="none"/>
                      <w:lang w:val="en-US" w:eastAsia="zh-CN"/>
                    </w:rPr>
                    <w:t>，同时对采坑边坡进行削坡处理，保证边坡稳定，防止水土流失加剧；矿山道路清理、覆土，基本恢复原有地形地貌。</w:t>
                  </w:r>
                </w:p>
              </w:tc>
              <w:tc>
                <w:tcPr>
                  <w:tcW w:w="2063"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开采活动破坏或废弃土地及时整治和生态恢复，符合矿山生态环境</w:t>
                  </w:r>
                </w:p>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保护与恢复治理相关要求，恢复加工区原有地貌景观</w:t>
                  </w:r>
                </w:p>
              </w:tc>
            </w:tr>
          </w:tbl>
          <w:p>
            <w:pPr>
              <w:adjustRightInd w:val="0"/>
              <w:snapToGrid w:val="0"/>
              <w:ind w:firstLine="0" w:firstLineChars="0"/>
              <w:rPr>
                <w:rFonts w:hint="default" w:ascii="Times New Roman" w:hAnsi="Times New Roman" w:eastAsia="仿宋" w:cs="Times New Roman"/>
                <w:bCs/>
                <w:color w:val="auto"/>
                <w:spacing w:val="10"/>
                <w:szCs w:val="21"/>
              </w:rPr>
            </w:pPr>
          </w:p>
        </w:tc>
      </w:tr>
    </w:tbl>
    <w:p>
      <w:pPr>
        <w:ind w:firstLine="420"/>
        <w:rPr>
          <w:rFonts w:hint="default" w:ascii="Times New Roman" w:hAnsi="Times New Roman" w:eastAsia="仿宋" w:cs="Times New Roman"/>
          <w:color w:val="auto"/>
        </w:rPr>
        <w:sectPr>
          <w:pgSz w:w="11907" w:h="16840"/>
          <w:pgMar w:top="1440" w:right="1797" w:bottom="1440" w:left="1797"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0"/>
        <w:spacing w:before="0" w:beforeAutospacing="0" w:after="0" w:afterAutospacing="0" w:line="240" w:lineRule="auto"/>
        <w:ind w:firstLine="0" w:firstLineChars="0"/>
        <w:jc w:val="center"/>
        <w:outlineLvl w:val="0"/>
        <w:rPr>
          <w:rFonts w:hint="default" w:ascii="Times New Roman" w:hAnsi="Times New Roman" w:eastAsia="仿宋" w:cs="Times New Roman"/>
          <w:b/>
          <w:bCs/>
          <w:snapToGrid w:val="0"/>
          <w:color w:val="auto"/>
          <w:sz w:val="30"/>
          <w:szCs w:val="30"/>
        </w:rPr>
      </w:pPr>
      <w:r>
        <w:rPr>
          <w:rFonts w:hint="default" w:ascii="Times New Roman" w:hAnsi="Times New Roman" w:eastAsia="仿宋" w:cs="Times New Roman"/>
          <w:b/>
          <w:bCs/>
          <w:snapToGrid w:val="0"/>
          <w:color w:val="auto"/>
          <w:sz w:val="30"/>
          <w:szCs w:val="30"/>
        </w:rPr>
        <w:t>六、生态环境保护措施监督检查清单</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982"/>
        <w:gridCol w:w="1116"/>
        <w:gridCol w:w="2144"/>
        <w:gridCol w:w="1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79" w:type="pct"/>
            <w:vMerge w:val="restart"/>
            <w:tcBorders>
              <w:tl2br w:val="single" w:color="auto" w:sz="4" w:space="0"/>
            </w:tcBorders>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内容</w:t>
            </w:r>
          </w:p>
          <w:p>
            <w:pPr>
              <w:pStyle w:val="20"/>
              <w:adjustRightInd w:val="0"/>
              <w:snapToGrid w:val="0"/>
              <w:spacing w:before="0" w:beforeAutospacing="0" w:after="0" w:afterAutospacing="0" w:line="240" w:lineRule="auto"/>
              <w:ind w:firstLine="0" w:firstLineChars="0"/>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要素</w:t>
            </w:r>
          </w:p>
        </w:tc>
        <w:tc>
          <w:tcPr>
            <w:tcW w:w="1817" w:type="pct"/>
            <w:gridSpan w:val="2"/>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施工期</w:t>
            </w:r>
          </w:p>
        </w:tc>
        <w:tc>
          <w:tcPr>
            <w:tcW w:w="2203" w:type="pct"/>
            <w:gridSpan w:val="2"/>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9" w:type="pct"/>
            <w:vMerge w:val="continue"/>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p>
        </w:tc>
        <w:tc>
          <w:tcPr>
            <w:tcW w:w="1162"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环境保护措施</w:t>
            </w:r>
          </w:p>
        </w:tc>
        <w:tc>
          <w:tcPr>
            <w:tcW w:w="654"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验收要求</w:t>
            </w:r>
          </w:p>
        </w:tc>
        <w:tc>
          <w:tcPr>
            <w:tcW w:w="1257"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环境保护措施</w:t>
            </w:r>
          </w:p>
        </w:tc>
        <w:tc>
          <w:tcPr>
            <w:tcW w:w="945"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陆生生态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限制施工车辆及人员活动范围，减少占地；尽量缩短施工期，减少水土流失；施工物料、堆土、施工作业面雨天遮盖，避免雨水冲刷产生水土流失；加强施工人员教育，减少占地和植被破坏</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恢复原有的地形地貌景观、恢复原土地利用功能</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color w:val="auto"/>
              </w:rPr>
              <w:t>严格限制开采机械设备和作业人员的活动范围，合理划定开采和活动范围，减少地表扰动面积；</w:t>
            </w:r>
            <w:r>
              <w:rPr>
                <w:rFonts w:hint="default" w:ascii="Times New Roman" w:hAnsi="Times New Roman" w:eastAsia="仿宋" w:cs="Times New Roman"/>
                <w:bCs/>
                <w:color w:val="auto"/>
                <w:spacing w:val="10"/>
                <w:szCs w:val="21"/>
              </w:rPr>
              <w:t>道路出入口竖立保护植被警示牌，提醒区内人员勿破坏植被；道路铺筑避开植被，车辆在指定道路上行驶，严禁随意行驶以防碾压植被；闭矿期土地复垦面积。</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恢复原有的地形地貌景观、恢复原土地利用功能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水生生态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地表水环境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施工废水经沉淀处理后回用于场地洒水降尘，不外排</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项目</w:t>
            </w:r>
            <w:r>
              <w:rPr>
                <w:rFonts w:hint="default" w:ascii="Times New Roman" w:hAnsi="Times New Roman" w:eastAsia="仿宋" w:cs="Times New Roman"/>
                <w:color w:val="auto"/>
                <w:szCs w:val="21"/>
                <w:highlight w:val="none"/>
                <w:lang w:val="en-US" w:eastAsia="zh-CN"/>
              </w:rPr>
              <w:t>运营期</w:t>
            </w:r>
            <w:r>
              <w:rPr>
                <w:rFonts w:hint="default" w:ascii="Times New Roman" w:hAnsi="Times New Roman" w:eastAsia="仿宋" w:cs="Times New Roman"/>
                <w:color w:val="auto"/>
                <w:szCs w:val="21"/>
                <w:highlight w:val="none"/>
              </w:rPr>
              <w:t>不产生生产废水，工作人员生活污水</w:t>
            </w:r>
            <w:r>
              <w:rPr>
                <w:rFonts w:hint="default" w:ascii="Times New Roman" w:hAnsi="Times New Roman" w:eastAsia="仿宋" w:cs="Times New Roman"/>
                <w:color w:val="auto"/>
                <w:szCs w:val="21"/>
                <w:highlight w:val="none"/>
                <w:lang w:val="en-US" w:eastAsia="zh-CN"/>
              </w:rPr>
              <w:t>委托个人由吸污泵车拉运至鄯善县污水处理厂处置</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不直接外排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地下水及土壤环境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声环境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合理安排布局，制定施工计划，禁止夜间施工，加强施工管理，必要时采取临时降噪措施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选用低噪声设备，设备定期维护；减震、隔声；合理安排作业时间；合理设置运输路线</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达到《工业企业厂界环境噪声排放标准》（GB12348-2008）2类标准要求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振动</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大气环境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定期对施工场地进行洒水降尘，采用商品混凝土，对原辅材料、运输车辆采取密闭措施，加盖篷布等措施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position w:val="6"/>
                <w:sz w:val="21"/>
                <w:szCs w:val="21"/>
                <w:highlight w:val="none"/>
              </w:rPr>
              <w:t>洒降尘措施；</w:t>
            </w:r>
            <w:r>
              <w:rPr>
                <w:rFonts w:hint="default" w:ascii="Times New Roman" w:hAnsi="Times New Roman" w:eastAsia="仿宋" w:cs="Times New Roman"/>
                <w:color w:val="auto"/>
                <w:position w:val="6"/>
                <w:sz w:val="21"/>
                <w:szCs w:val="21"/>
                <w:highlight w:val="none"/>
                <w:lang w:val="zh-TW" w:eastAsia="zh-CN"/>
              </w:rPr>
              <w:t>对筛分工序进行局部密闭，无法密闭部位安装水喷淋降尘</w:t>
            </w:r>
            <w:r>
              <w:rPr>
                <w:rFonts w:hint="default" w:ascii="Times New Roman" w:hAnsi="Times New Roman" w:eastAsia="仿宋" w:cs="Times New Roman"/>
                <w:color w:val="auto"/>
                <w:position w:val="6"/>
                <w:sz w:val="21"/>
                <w:szCs w:val="21"/>
                <w:highlight w:val="none"/>
                <w:lang w:val="en-US" w:eastAsia="zh-CN"/>
              </w:rPr>
              <w:t>；</w:t>
            </w:r>
            <w:r>
              <w:rPr>
                <w:rFonts w:hint="default" w:ascii="Times New Roman" w:hAnsi="Times New Roman" w:eastAsia="仿宋" w:cs="Times New Roman"/>
                <w:color w:val="auto"/>
                <w:position w:val="6"/>
                <w:sz w:val="21"/>
                <w:szCs w:val="21"/>
                <w:highlight w:val="none"/>
              </w:rPr>
              <w:t>矿区运输道路每日洒水</w:t>
            </w:r>
            <w:r>
              <w:rPr>
                <w:rFonts w:hint="eastAsia"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表土堆场、</w:t>
            </w:r>
            <w:r>
              <w:rPr>
                <w:rFonts w:hint="default" w:ascii="Times New Roman" w:hAnsi="Times New Roman" w:eastAsia="仿宋" w:cs="Times New Roman"/>
                <w:color w:val="auto"/>
                <w:position w:val="6"/>
                <w:sz w:val="21"/>
                <w:szCs w:val="21"/>
                <w:highlight w:val="none"/>
                <w:lang w:eastAsia="zh-CN"/>
              </w:rPr>
              <w:t>废石堆场</w:t>
            </w:r>
            <w:r>
              <w:rPr>
                <w:rFonts w:hint="eastAsia" w:eastAsia="仿宋" w:cs="Times New Roman"/>
                <w:color w:val="auto"/>
                <w:position w:val="6"/>
                <w:sz w:val="21"/>
                <w:szCs w:val="21"/>
                <w:highlight w:val="none"/>
                <w:lang w:val="en-US" w:eastAsia="zh-CN"/>
              </w:rPr>
              <w:t>采取防尘</w:t>
            </w:r>
            <w:r>
              <w:rPr>
                <w:rFonts w:hint="eastAsia" w:ascii="Times New Roman" w:hAnsi="Times New Roman" w:eastAsia="仿宋" w:cs="Times New Roman"/>
                <w:color w:val="auto"/>
                <w:position w:val="6"/>
                <w:sz w:val="21"/>
                <w:szCs w:val="21"/>
                <w:highlight w:val="none"/>
                <w:lang w:val="en-US" w:eastAsia="zh-CN"/>
              </w:rPr>
              <w:t>网苫盖</w:t>
            </w:r>
            <w:r>
              <w:rPr>
                <w:rFonts w:hint="default" w:ascii="Times New Roman" w:hAnsi="Times New Roman" w:eastAsia="仿宋" w:cs="Times New Roman"/>
                <w:color w:val="auto"/>
                <w:position w:val="6"/>
                <w:sz w:val="21"/>
                <w:szCs w:val="21"/>
                <w:highlight w:val="none"/>
                <w:lang w:val="zh-TW" w:eastAsia="zh-CN"/>
              </w:rPr>
              <w:t>，洒水保湿；</w:t>
            </w:r>
            <w:r>
              <w:rPr>
                <w:rFonts w:hint="default" w:ascii="Times New Roman" w:hAnsi="Times New Roman" w:eastAsia="仿宋" w:cs="Times New Roman"/>
                <w:color w:val="auto"/>
                <w:position w:val="6"/>
                <w:sz w:val="21"/>
                <w:szCs w:val="21"/>
                <w:highlight w:val="none"/>
                <w:lang w:val="en-US" w:eastAsia="zh-CN"/>
              </w:rPr>
              <w:t>食堂油烟经油烟净化器处理后排放。</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kern w:val="0"/>
                <w:szCs w:val="21"/>
                <w:highlight w:val="none"/>
              </w:rPr>
              <w:t>《大气污染物综合排放标准》（GB16297-1996）中新污染源无组织排放限值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固体废物</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生活垃圾统一收集后拉运附近乡镇垃圾中转站统一处理；开挖产生的土方用于道路及场地平整，做到土石方平衡；对施工过程中产生的建筑垃圾，运至</w:t>
            </w:r>
            <w:r>
              <w:rPr>
                <w:rFonts w:hint="default" w:ascii="Times New Roman" w:hAnsi="Times New Roman" w:eastAsia="仿宋" w:cs="Times New Roman"/>
                <w:color w:val="auto"/>
                <w:szCs w:val="21"/>
                <w:highlight w:val="none"/>
                <w:lang w:val="en-US" w:eastAsia="zh-CN"/>
              </w:rPr>
              <w:t>鄯善县</w:t>
            </w:r>
            <w:r>
              <w:rPr>
                <w:rFonts w:hint="default" w:ascii="Times New Roman" w:hAnsi="Times New Roman" w:eastAsia="仿宋" w:cs="Times New Roman"/>
                <w:color w:val="auto"/>
                <w:szCs w:val="21"/>
                <w:highlight w:val="none"/>
              </w:rPr>
              <w:t>建筑垃圾填埋场处置。</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rPr>
              <w:t>生活垃圾集中收集至</w:t>
            </w:r>
            <w:r>
              <w:rPr>
                <w:rFonts w:hint="default" w:ascii="Times New Roman" w:hAnsi="Times New Roman" w:eastAsia="仿宋" w:cs="Times New Roman"/>
                <w:color w:val="auto"/>
                <w:szCs w:val="21"/>
                <w:highlight w:val="none"/>
                <w:lang w:val="en-US" w:eastAsia="zh-CN"/>
              </w:rPr>
              <w:t>鄯善县垃圾填埋场处置</w:t>
            </w:r>
            <w:r>
              <w:rPr>
                <w:rFonts w:hint="default" w:ascii="Times New Roman" w:hAnsi="Times New Roman" w:eastAsia="仿宋" w:cs="Times New Roman"/>
                <w:color w:val="auto"/>
                <w:szCs w:val="21"/>
                <w:highlight w:val="none"/>
              </w:rPr>
              <w:t>；开采废砂石暂存于</w:t>
            </w:r>
            <w:r>
              <w:rPr>
                <w:rFonts w:hint="eastAsia" w:eastAsia="仿宋" w:cs="Times New Roman"/>
                <w:color w:val="auto"/>
                <w:szCs w:val="21"/>
                <w:highlight w:val="none"/>
                <w:lang w:val="en-US" w:eastAsia="zh-CN"/>
              </w:rPr>
              <w:t>堆料场</w:t>
            </w:r>
            <w:r>
              <w:rPr>
                <w:rFonts w:hint="default" w:ascii="Times New Roman" w:hAnsi="Times New Roman" w:eastAsia="仿宋" w:cs="Times New Roman"/>
                <w:color w:val="auto"/>
                <w:szCs w:val="21"/>
                <w:highlight w:val="none"/>
              </w:rPr>
              <w:t>，闭矿期用于矿坑回填及土地整</w:t>
            </w:r>
            <w:r>
              <w:rPr>
                <w:rFonts w:hint="default" w:ascii="Times New Roman" w:hAnsi="Times New Roman" w:eastAsia="仿宋" w:cs="Times New Roman"/>
                <w:color w:val="auto"/>
                <w:szCs w:val="21"/>
                <w:highlight w:val="none"/>
                <w:lang w:val="en-US" w:eastAsia="zh-CN"/>
              </w:rPr>
              <w:t>防渗沉淀池的泥沙自然风干后定期回填至采坑</w:t>
            </w:r>
            <w:r>
              <w:rPr>
                <w:rFonts w:hint="eastAsia" w:eastAsia="仿宋" w:cs="Times New Roman"/>
                <w:color w:val="auto"/>
                <w:szCs w:val="21"/>
                <w:highlight w:val="none"/>
                <w:lang w:val="en-US" w:eastAsia="zh-CN"/>
              </w:rPr>
              <w:t>；</w:t>
            </w:r>
            <w:r>
              <w:rPr>
                <w:rFonts w:hint="default" w:ascii="Times New Roman" w:hAnsi="Times New Roman" w:eastAsia="仿宋" w:cs="Times New Roman"/>
                <w:color w:val="auto"/>
                <w:szCs w:val="21"/>
                <w:highlight w:val="none"/>
                <w:lang w:val="en-US" w:eastAsia="zh-CN"/>
              </w:rPr>
              <w:t>废机油</w:t>
            </w:r>
            <w:r>
              <w:rPr>
                <w:rFonts w:hint="eastAsia" w:eastAsia="仿宋" w:cs="Times New Roman"/>
                <w:color w:val="auto"/>
                <w:szCs w:val="21"/>
                <w:highlight w:val="none"/>
                <w:lang w:val="en-US" w:eastAsia="zh-CN"/>
              </w:rPr>
              <w:t>、废机油桶</w:t>
            </w:r>
            <w:r>
              <w:rPr>
                <w:rFonts w:hint="default" w:ascii="Times New Roman" w:hAnsi="Times New Roman" w:eastAsia="仿宋" w:cs="Times New Roman"/>
                <w:color w:val="auto"/>
                <w:szCs w:val="21"/>
                <w:highlight w:val="none"/>
                <w:lang w:val="en-US" w:eastAsia="zh-CN"/>
              </w:rPr>
              <w:t>暂存于危废间后委托有资质单位处置。</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妥善处置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电磁环境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环境风险</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加强对边坡的检查，及时处理安全隐患；根据工程地质条件，必要时调整边坡角；经常检查边坡，发现隐患及时处理；建立全面严格的各项管理制度和安全管理体系；严格按生产工艺规程进行生产和操作</w:t>
            </w:r>
            <w:r>
              <w:rPr>
                <w:rFonts w:hint="default" w:ascii="Times New Roman" w:hAnsi="Times New Roman" w:eastAsia="仿宋" w:cs="Times New Roman"/>
                <w:color w:val="auto"/>
                <w:szCs w:val="21"/>
                <w:lang w:eastAsia="zh-CN"/>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环境监测</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监测项目：厂界噪声和粉尘；监测布点：</w:t>
            </w: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 1 \* GB3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①</w:t>
            </w:r>
            <w:r>
              <w:rPr>
                <w:rFonts w:hint="default" w:ascii="Times New Roman" w:hAnsi="Times New Roman" w:eastAsia="仿宋" w:cs="Times New Roman"/>
                <w:color w:val="auto"/>
                <w:szCs w:val="21"/>
              </w:rPr>
              <w:fldChar w:fldCharType="end"/>
            </w:r>
            <w:r>
              <w:rPr>
                <w:rFonts w:hint="default" w:ascii="Times New Roman" w:hAnsi="Times New Roman" w:eastAsia="仿宋" w:cs="Times New Roman"/>
                <w:color w:val="auto"/>
                <w:szCs w:val="21"/>
              </w:rPr>
              <w:t>粉尘：开采区</w:t>
            </w:r>
            <w:r>
              <w:rPr>
                <w:rFonts w:hint="default" w:ascii="Times New Roman" w:hAnsi="Times New Roman" w:eastAsia="仿宋" w:cs="Times New Roman"/>
                <w:color w:val="auto"/>
                <w:szCs w:val="21"/>
                <w:lang w:val="en-US" w:eastAsia="zh-CN"/>
              </w:rPr>
              <w:t>场区</w:t>
            </w:r>
            <w:r>
              <w:rPr>
                <w:rFonts w:hint="default" w:ascii="Times New Roman" w:hAnsi="Times New Roman" w:eastAsia="仿宋" w:cs="Times New Roman"/>
                <w:color w:val="auto"/>
                <w:szCs w:val="21"/>
              </w:rPr>
              <w:t>下风向各布设1个监测点；</w:t>
            </w: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 2 \* GB3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②</w:t>
            </w:r>
            <w:r>
              <w:rPr>
                <w:rFonts w:hint="default" w:ascii="Times New Roman" w:hAnsi="Times New Roman" w:eastAsia="仿宋" w:cs="Times New Roman"/>
                <w:color w:val="auto"/>
                <w:szCs w:val="21"/>
              </w:rPr>
              <w:fldChar w:fldCharType="end"/>
            </w:r>
            <w:r>
              <w:rPr>
                <w:rFonts w:hint="default" w:ascii="Times New Roman" w:hAnsi="Times New Roman" w:eastAsia="仿宋" w:cs="Times New Roman"/>
                <w:color w:val="auto"/>
                <w:szCs w:val="21"/>
              </w:rPr>
              <w:t>噪声：厂界四周各设1个噪声监测点。</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其他</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bl>
    <w:p>
      <w:pPr>
        <w:pStyle w:val="20"/>
        <w:spacing w:before="192" w:beforeLines="80" w:beforeAutospacing="0"/>
        <w:ind w:firstLine="600"/>
        <w:jc w:val="center"/>
        <w:outlineLvl w:val="0"/>
        <w:rPr>
          <w:rFonts w:hint="default" w:ascii="Times New Roman" w:hAnsi="Times New Roman" w:eastAsia="仿宋" w:cs="Times New Roman"/>
          <w:snapToGrid w:val="0"/>
          <w:color w:val="auto"/>
          <w:sz w:val="30"/>
          <w:szCs w:val="30"/>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0"/>
        <w:spacing w:before="0" w:beforeAutospacing="0" w:after="0" w:afterAutospacing="0"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七、结论</w:t>
      </w:r>
    </w:p>
    <w:tbl>
      <w:tblPr>
        <w:tblStyle w:val="25"/>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2" w:hRule="atLeast"/>
          <w:jc w:val="center"/>
        </w:trPr>
        <w:tc>
          <w:tcPr>
            <w:tcW w:w="9289" w:type="dxa"/>
            <w:vAlign w:val="center"/>
          </w:tcPr>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符合国家、地方的产业政策及相关规划政策，符合“三线一单”要求，选址合理，各项污染物能够稳定达标排放，在严格落实本次评价提出的生态环境保护措施和污染治理措施后，项目运行期间对区域环境影响不大。</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从环境保护角度来看，本项目的建设是可行的。</w:t>
            </w: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0" w:firstLineChars="0"/>
              <w:rPr>
                <w:rFonts w:hint="default" w:ascii="Times New Roman" w:hAnsi="Times New Roman" w:eastAsia="仿宋" w:cs="Times New Roman"/>
                <w:color w:val="auto"/>
              </w:rPr>
            </w:pPr>
          </w:p>
        </w:tc>
      </w:tr>
    </w:tbl>
    <w:p>
      <w:pPr>
        <w:adjustRightInd w:val="0"/>
        <w:snapToGrid w:val="0"/>
        <w:spacing w:before="192" w:beforeLines="80"/>
        <w:ind w:firstLine="0" w:firstLineChars="0"/>
        <w:rPr>
          <w:rFonts w:hint="default" w:ascii="Times New Roman" w:hAnsi="Times New Roman" w:eastAsia="仿宋" w:cs="Times New Roman"/>
          <w:color w:val="auto"/>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34"/>
        <w:rPr>
          <w:rFonts w:hint="default" w:ascii="Times New Roman" w:hAnsi="Times New Roman" w:eastAsia="仿宋" w:cs="Times New Roman"/>
          <w:color w:val="auto"/>
          <w:lang w:val="en-US" w:eastAsia="zh-CN"/>
        </w:rPr>
      </w:pPr>
    </w:p>
    <w:sectPr>
      <w:footerReference r:id="rId11" w:type="default"/>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22"/>
        <w:tab w:val="clear" w:pos="4153"/>
      </w:tabs>
      <w:ind w:right="360"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88" w:lineRule="auto"/>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A7B4C"/>
    <w:multiLevelType w:val="singleLevel"/>
    <w:tmpl w:val="8A3A7B4C"/>
    <w:lvl w:ilvl="0" w:tentative="0">
      <w:start w:val="1"/>
      <w:numFmt w:val="decimal"/>
      <w:suff w:val="nothing"/>
      <w:lvlText w:val="（%1）"/>
      <w:lvlJc w:val="left"/>
    </w:lvl>
  </w:abstractNum>
  <w:abstractNum w:abstractNumId="1">
    <w:nsid w:val="8D9454E1"/>
    <w:multiLevelType w:val="singleLevel"/>
    <w:tmpl w:val="8D9454E1"/>
    <w:lvl w:ilvl="0" w:tentative="0">
      <w:start w:val="5"/>
      <w:numFmt w:val="decimal"/>
      <w:suff w:val="nothing"/>
      <w:lvlText w:val="（%1）"/>
      <w:lvlJc w:val="left"/>
    </w:lvl>
  </w:abstractNum>
  <w:abstractNum w:abstractNumId="2">
    <w:nsid w:val="303B7C18"/>
    <w:multiLevelType w:val="singleLevel"/>
    <w:tmpl w:val="303B7C18"/>
    <w:lvl w:ilvl="0" w:tentative="0">
      <w:start w:val="2"/>
      <w:numFmt w:val="decimal"/>
      <w:suff w:val="nothing"/>
      <w:lvlText w:val="%1、"/>
      <w:lvlJc w:val="left"/>
    </w:lvl>
  </w:abstractNum>
  <w:abstractNum w:abstractNumId="3">
    <w:nsid w:val="4AC7D6EE"/>
    <w:multiLevelType w:val="singleLevel"/>
    <w:tmpl w:val="4AC7D6EE"/>
    <w:lvl w:ilvl="0" w:tentative="0">
      <w:start w:val="5"/>
      <w:numFmt w:val="decimal"/>
      <w:suff w:val="nothing"/>
      <w:lvlText w:val="（%1）"/>
      <w:lvlJc w:val="left"/>
    </w:lvl>
  </w:abstractNum>
  <w:abstractNum w:abstractNumId="4">
    <w:nsid w:val="67461E50"/>
    <w:multiLevelType w:val="singleLevel"/>
    <w:tmpl w:val="67461E50"/>
    <w:lvl w:ilvl="0" w:tentative="0">
      <w:start w:val="2"/>
      <w:numFmt w:val="decimal"/>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NmU3NGQ4MjYwMjAxODY5NmFjYWQxN2IzMDdlNDUifQ=="/>
  </w:docVars>
  <w:rsids>
    <w:rsidRoot w:val="00A14947"/>
    <w:rsid w:val="00001CED"/>
    <w:rsid w:val="00001E67"/>
    <w:rsid w:val="00003CD8"/>
    <w:rsid w:val="00014965"/>
    <w:rsid w:val="0001523A"/>
    <w:rsid w:val="00016ECB"/>
    <w:rsid w:val="000269F6"/>
    <w:rsid w:val="00031939"/>
    <w:rsid w:val="00032D25"/>
    <w:rsid w:val="00040835"/>
    <w:rsid w:val="0005219D"/>
    <w:rsid w:val="0005568F"/>
    <w:rsid w:val="0006153D"/>
    <w:rsid w:val="00061B1F"/>
    <w:rsid w:val="000664DB"/>
    <w:rsid w:val="0007127D"/>
    <w:rsid w:val="000717FE"/>
    <w:rsid w:val="00071AE5"/>
    <w:rsid w:val="00074783"/>
    <w:rsid w:val="000758F3"/>
    <w:rsid w:val="000801E0"/>
    <w:rsid w:val="00082A29"/>
    <w:rsid w:val="0008331D"/>
    <w:rsid w:val="00083C18"/>
    <w:rsid w:val="00092899"/>
    <w:rsid w:val="000A178E"/>
    <w:rsid w:val="000A557E"/>
    <w:rsid w:val="000B058F"/>
    <w:rsid w:val="000B693F"/>
    <w:rsid w:val="000C09AC"/>
    <w:rsid w:val="000C0A63"/>
    <w:rsid w:val="000C437E"/>
    <w:rsid w:val="000C49A3"/>
    <w:rsid w:val="000E3F5A"/>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870DB"/>
    <w:rsid w:val="0019146B"/>
    <w:rsid w:val="00194398"/>
    <w:rsid w:val="001A7D2A"/>
    <w:rsid w:val="001B574C"/>
    <w:rsid w:val="001C0AF9"/>
    <w:rsid w:val="001C155A"/>
    <w:rsid w:val="001C48C0"/>
    <w:rsid w:val="001D6726"/>
    <w:rsid w:val="001D7B7E"/>
    <w:rsid w:val="001F3347"/>
    <w:rsid w:val="001F4440"/>
    <w:rsid w:val="001F69E4"/>
    <w:rsid w:val="00206A65"/>
    <w:rsid w:val="00212D31"/>
    <w:rsid w:val="002130C7"/>
    <w:rsid w:val="002218A8"/>
    <w:rsid w:val="0022306D"/>
    <w:rsid w:val="00226574"/>
    <w:rsid w:val="002278EC"/>
    <w:rsid w:val="002357C7"/>
    <w:rsid w:val="002367C4"/>
    <w:rsid w:val="0025679E"/>
    <w:rsid w:val="0025761E"/>
    <w:rsid w:val="00260C68"/>
    <w:rsid w:val="002648B0"/>
    <w:rsid w:val="00275271"/>
    <w:rsid w:val="0027535E"/>
    <w:rsid w:val="00275AA6"/>
    <w:rsid w:val="00280737"/>
    <w:rsid w:val="002807D5"/>
    <w:rsid w:val="00282CCD"/>
    <w:rsid w:val="002A168C"/>
    <w:rsid w:val="002A2C48"/>
    <w:rsid w:val="002A3EED"/>
    <w:rsid w:val="002A4A39"/>
    <w:rsid w:val="002A5A17"/>
    <w:rsid w:val="002A6425"/>
    <w:rsid w:val="002A75BC"/>
    <w:rsid w:val="002B49E2"/>
    <w:rsid w:val="002B7B00"/>
    <w:rsid w:val="002B7C44"/>
    <w:rsid w:val="002C1388"/>
    <w:rsid w:val="002C14B8"/>
    <w:rsid w:val="002C3C6A"/>
    <w:rsid w:val="002D42DB"/>
    <w:rsid w:val="002E1F3A"/>
    <w:rsid w:val="002E298A"/>
    <w:rsid w:val="002F02A4"/>
    <w:rsid w:val="002F272B"/>
    <w:rsid w:val="002F7C6D"/>
    <w:rsid w:val="003027E4"/>
    <w:rsid w:val="0030332C"/>
    <w:rsid w:val="00312014"/>
    <w:rsid w:val="00312296"/>
    <w:rsid w:val="0031340E"/>
    <w:rsid w:val="00316464"/>
    <w:rsid w:val="0032073A"/>
    <w:rsid w:val="00321D8E"/>
    <w:rsid w:val="00334996"/>
    <w:rsid w:val="00336969"/>
    <w:rsid w:val="00336C52"/>
    <w:rsid w:val="00336CD3"/>
    <w:rsid w:val="00341B3E"/>
    <w:rsid w:val="00341B42"/>
    <w:rsid w:val="00345154"/>
    <w:rsid w:val="0034560E"/>
    <w:rsid w:val="00350523"/>
    <w:rsid w:val="00352975"/>
    <w:rsid w:val="00356868"/>
    <w:rsid w:val="0036485B"/>
    <w:rsid w:val="00371A72"/>
    <w:rsid w:val="00373B0D"/>
    <w:rsid w:val="00376988"/>
    <w:rsid w:val="00381A72"/>
    <w:rsid w:val="0039541D"/>
    <w:rsid w:val="003A1948"/>
    <w:rsid w:val="003B152A"/>
    <w:rsid w:val="003B545B"/>
    <w:rsid w:val="003D102E"/>
    <w:rsid w:val="003D3EE9"/>
    <w:rsid w:val="003E7681"/>
    <w:rsid w:val="003F0809"/>
    <w:rsid w:val="003F611C"/>
    <w:rsid w:val="003F755C"/>
    <w:rsid w:val="00406F01"/>
    <w:rsid w:val="00411B36"/>
    <w:rsid w:val="004121D7"/>
    <w:rsid w:val="00414708"/>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96244"/>
    <w:rsid w:val="004A0EB4"/>
    <w:rsid w:val="004A3823"/>
    <w:rsid w:val="004A59BB"/>
    <w:rsid w:val="004B43A3"/>
    <w:rsid w:val="004B4C49"/>
    <w:rsid w:val="004B58A5"/>
    <w:rsid w:val="004B63D9"/>
    <w:rsid w:val="004B73C3"/>
    <w:rsid w:val="004C0882"/>
    <w:rsid w:val="004C3F6E"/>
    <w:rsid w:val="004C4699"/>
    <w:rsid w:val="004C55BE"/>
    <w:rsid w:val="004E5B30"/>
    <w:rsid w:val="004F0779"/>
    <w:rsid w:val="004F1230"/>
    <w:rsid w:val="004F173F"/>
    <w:rsid w:val="004F177C"/>
    <w:rsid w:val="004F2DCE"/>
    <w:rsid w:val="005039CB"/>
    <w:rsid w:val="00504EB5"/>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84C86"/>
    <w:rsid w:val="00590AE3"/>
    <w:rsid w:val="005918F1"/>
    <w:rsid w:val="005A06B7"/>
    <w:rsid w:val="005A1759"/>
    <w:rsid w:val="005B3B4F"/>
    <w:rsid w:val="005D0369"/>
    <w:rsid w:val="005D53FE"/>
    <w:rsid w:val="005D7A0F"/>
    <w:rsid w:val="005E0438"/>
    <w:rsid w:val="005E124C"/>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0D55"/>
    <w:rsid w:val="0064250D"/>
    <w:rsid w:val="006535EB"/>
    <w:rsid w:val="0066156E"/>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D3CAF"/>
    <w:rsid w:val="006E06AF"/>
    <w:rsid w:val="006F1789"/>
    <w:rsid w:val="00706C5D"/>
    <w:rsid w:val="007118E6"/>
    <w:rsid w:val="007225C9"/>
    <w:rsid w:val="00735CD7"/>
    <w:rsid w:val="00746919"/>
    <w:rsid w:val="00754034"/>
    <w:rsid w:val="00754BF1"/>
    <w:rsid w:val="00755A30"/>
    <w:rsid w:val="00755E1C"/>
    <w:rsid w:val="00756556"/>
    <w:rsid w:val="0076132B"/>
    <w:rsid w:val="007623AE"/>
    <w:rsid w:val="00770B19"/>
    <w:rsid w:val="00774FA0"/>
    <w:rsid w:val="00776620"/>
    <w:rsid w:val="00777B6D"/>
    <w:rsid w:val="00782E18"/>
    <w:rsid w:val="00784855"/>
    <w:rsid w:val="00784F39"/>
    <w:rsid w:val="0078545C"/>
    <w:rsid w:val="007858E8"/>
    <w:rsid w:val="007906C4"/>
    <w:rsid w:val="007940EA"/>
    <w:rsid w:val="007967E8"/>
    <w:rsid w:val="007A63F2"/>
    <w:rsid w:val="007B68DE"/>
    <w:rsid w:val="007C1857"/>
    <w:rsid w:val="007C514F"/>
    <w:rsid w:val="007D0F95"/>
    <w:rsid w:val="007D388C"/>
    <w:rsid w:val="007D7ECB"/>
    <w:rsid w:val="007E25A1"/>
    <w:rsid w:val="007E4BD2"/>
    <w:rsid w:val="007E7145"/>
    <w:rsid w:val="007F3916"/>
    <w:rsid w:val="00801179"/>
    <w:rsid w:val="00802479"/>
    <w:rsid w:val="00805372"/>
    <w:rsid w:val="00805B7B"/>
    <w:rsid w:val="008064E1"/>
    <w:rsid w:val="008124AE"/>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3C50"/>
    <w:rsid w:val="00894285"/>
    <w:rsid w:val="00894386"/>
    <w:rsid w:val="008A1921"/>
    <w:rsid w:val="008A40AE"/>
    <w:rsid w:val="008A4E19"/>
    <w:rsid w:val="008A67C5"/>
    <w:rsid w:val="008B22E1"/>
    <w:rsid w:val="008B3C78"/>
    <w:rsid w:val="008B4AE9"/>
    <w:rsid w:val="008C30AD"/>
    <w:rsid w:val="008D068E"/>
    <w:rsid w:val="008D0F7A"/>
    <w:rsid w:val="008D3490"/>
    <w:rsid w:val="008D63BE"/>
    <w:rsid w:val="008E0CFF"/>
    <w:rsid w:val="008E5D6B"/>
    <w:rsid w:val="008E689B"/>
    <w:rsid w:val="008E76F0"/>
    <w:rsid w:val="008E7C2A"/>
    <w:rsid w:val="008F15FE"/>
    <w:rsid w:val="008F2A94"/>
    <w:rsid w:val="008F5187"/>
    <w:rsid w:val="008F709C"/>
    <w:rsid w:val="0090312B"/>
    <w:rsid w:val="00904961"/>
    <w:rsid w:val="00912EF7"/>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C5C23"/>
    <w:rsid w:val="009D0852"/>
    <w:rsid w:val="009D1FBF"/>
    <w:rsid w:val="009D3200"/>
    <w:rsid w:val="009D5F01"/>
    <w:rsid w:val="009E399C"/>
    <w:rsid w:val="009E43C1"/>
    <w:rsid w:val="009E63A7"/>
    <w:rsid w:val="009E7E95"/>
    <w:rsid w:val="009F116F"/>
    <w:rsid w:val="009F329E"/>
    <w:rsid w:val="009F7ED3"/>
    <w:rsid w:val="00A02645"/>
    <w:rsid w:val="00A03607"/>
    <w:rsid w:val="00A047FF"/>
    <w:rsid w:val="00A04FEF"/>
    <w:rsid w:val="00A122CD"/>
    <w:rsid w:val="00A12A32"/>
    <w:rsid w:val="00A14248"/>
    <w:rsid w:val="00A14947"/>
    <w:rsid w:val="00A23DC5"/>
    <w:rsid w:val="00A333FD"/>
    <w:rsid w:val="00A34028"/>
    <w:rsid w:val="00A35568"/>
    <w:rsid w:val="00A36646"/>
    <w:rsid w:val="00A37056"/>
    <w:rsid w:val="00A4358F"/>
    <w:rsid w:val="00A46F67"/>
    <w:rsid w:val="00A4795E"/>
    <w:rsid w:val="00A54AA1"/>
    <w:rsid w:val="00A568FF"/>
    <w:rsid w:val="00A61496"/>
    <w:rsid w:val="00A61833"/>
    <w:rsid w:val="00A624C6"/>
    <w:rsid w:val="00A63CEC"/>
    <w:rsid w:val="00A7031E"/>
    <w:rsid w:val="00A728B1"/>
    <w:rsid w:val="00A763DE"/>
    <w:rsid w:val="00A803D6"/>
    <w:rsid w:val="00A81282"/>
    <w:rsid w:val="00A8713F"/>
    <w:rsid w:val="00A91146"/>
    <w:rsid w:val="00A91167"/>
    <w:rsid w:val="00A9171C"/>
    <w:rsid w:val="00A92FFD"/>
    <w:rsid w:val="00A95975"/>
    <w:rsid w:val="00A9708D"/>
    <w:rsid w:val="00AA2C17"/>
    <w:rsid w:val="00AA4172"/>
    <w:rsid w:val="00AB1914"/>
    <w:rsid w:val="00AB5330"/>
    <w:rsid w:val="00AB58E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2B81"/>
    <w:rsid w:val="00B46BAA"/>
    <w:rsid w:val="00B50B5F"/>
    <w:rsid w:val="00B52A0F"/>
    <w:rsid w:val="00B54128"/>
    <w:rsid w:val="00B543BF"/>
    <w:rsid w:val="00B55826"/>
    <w:rsid w:val="00B60426"/>
    <w:rsid w:val="00B622DD"/>
    <w:rsid w:val="00B63522"/>
    <w:rsid w:val="00B63F0D"/>
    <w:rsid w:val="00B73B67"/>
    <w:rsid w:val="00B76F1D"/>
    <w:rsid w:val="00B92A19"/>
    <w:rsid w:val="00B937BA"/>
    <w:rsid w:val="00B9544C"/>
    <w:rsid w:val="00BA29E9"/>
    <w:rsid w:val="00BB3618"/>
    <w:rsid w:val="00BC0C9E"/>
    <w:rsid w:val="00BC32DC"/>
    <w:rsid w:val="00BD0F41"/>
    <w:rsid w:val="00BD1B51"/>
    <w:rsid w:val="00BD47F6"/>
    <w:rsid w:val="00BE312D"/>
    <w:rsid w:val="00BE3FCA"/>
    <w:rsid w:val="00BF0FFD"/>
    <w:rsid w:val="00C05719"/>
    <w:rsid w:val="00C07B9F"/>
    <w:rsid w:val="00C10578"/>
    <w:rsid w:val="00C17D62"/>
    <w:rsid w:val="00C21FDC"/>
    <w:rsid w:val="00C24EE7"/>
    <w:rsid w:val="00C2596A"/>
    <w:rsid w:val="00C271BE"/>
    <w:rsid w:val="00C27425"/>
    <w:rsid w:val="00C3144C"/>
    <w:rsid w:val="00C328FE"/>
    <w:rsid w:val="00C33A05"/>
    <w:rsid w:val="00C42500"/>
    <w:rsid w:val="00C4409D"/>
    <w:rsid w:val="00C455BE"/>
    <w:rsid w:val="00C470B8"/>
    <w:rsid w:val="00C51E5F"/>
    <w:rsid w:val="00C53C41"/>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28B6"/>
    <w:rsid w:val="00D15727"/>
    <w:rsid w:val="00D16332"/>
    <w:rsid w:val="00D24972"/>
    <w:rsid w:val="00D2515E"/>
    <w:rsid w:val="00D308ED"/>
    <w:rsid w:val="00D37059"/>
    <w:rsid w:val="00D42B8B"/>
    <w:rsid w:val="00D56178"/>
    <w:rsid w:val="00D56CF0"/>
    <w:rsid w:val="00D56F5C"/>
    <w:rsid w:val="00D704B1"/>
    <w:rsid w:val="00D70B63"/>
    <w:rsid w:val="00D72B92"/>
    <w:rsid w:val="00D72ED4"/>
    <w:rsid w:val="00D73F61"/>
    <w:rsid w:val="00D74842"/>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046"/>
    <w:rsid w:val="00E275B0"/>
    <w:rsid w:val="00E412D0"/>
    <w:rsid w:val="00E47CDB"/>
    <w:rsid w:val="00E566BC"/>
    <w:rsid w:val="00E60982"/>
    <w:rsid w:val="00E60C8D"/>
    <w:rsid w:val="00E6162F"/>
    <w:rsid w:val="00E6311B"/>
    <w:rsid w:val="00E65D97"/>
    <w:rsid w:val="00E6666B"/>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E30FF"/>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5661F"/>
    <w:rsid w:val="00F57E5B"/>
    <w:rsid w:val="00F61097"/>
    <w:rsid w:val="00F74345"/>
    <w:rsid w:val="00F74441"/>
    <w:rsid w:val="00F76363"/>
    <w:rsid w:val="00F77F30"/>
    <w:rsid w:val="00F82589"/>
    <w:rsid w:val="00F82B19"/>
    <w:rsid w:val="00F90AA7"/>
    <w:rsid w:val="00F9212D"/>
    <w:rsid w:val="00F97133"/>
    <w:rsid w:val="00FA301A"/>
    <w:rsid w:val="00FA406A"/>
    <w:rsid w:val="00FA5CB6"/>
    <w:rsid w:val="00FB4038"/>
    <w:rsid w:val="00FC66AC"/>
    <w:rsid w:val="00FD18F4"/>
    <w:rsid w:val="00FD74B4"/>
    <w:rsid w:val="00FE79C1"/>
    <w:rsid w:val="00FF6FCE"/>
    <w:rsid w:val="00FF7518"/>
    <w:rsid w:val="00FF7FD8"/>
    <w:rsid w:val="014A271C"/>
    <w:rsid w:val="015B4B8A"/>
    <w:rsid w:val="01964551"/>
    <w:rsid w:val="01AA45E0"/>
    <w:rsid w:val="01DD4DEC"/>
    <w:rsid w:val="01DE7468"/>
    <w:rsid w:val="02056800"/>
    <w:rsid w:val="024F2D39"/>
    <w:rsid w:val="0252325B"/>
    <w:rsid w:val="028C6E9D"/>
    <w:rsid w:val="02B22E1D"/>
    <w:rsid w:val="02E766C5"/>
    <w:rsid w:val="04336B0A"/>
    <w:rsid w:val="044B0E2F"/>
    <w:rsid w:val="04643E49"/>
    <w:rsid w:val="048A306B"/>
    <w:rsid w:val="04B46CEB"/>
    <w:rsid w:val="04DA4936"/>
    <w:rsid w:val="051E602F"/>
    <w:rsid w:val="055801EF"/>
    <w:rsid w:val="05742AC8"/>
    <w:rsid w:val="057A6171"/>
    <w:rsid w:val="05925013"/>
    <w:rsid w:val="05CF13B8"/>
    <w:rsid w:val="05D45163"/>
    <w:rsid w:val="05D559C0"/>
    <w:rsid w:val="061A1DC9"/>
    <w:rsid w:val="06352F05"/>
    <w:rsid w:val="063E7D85"/>
    <w:rsid w:val="067B23E2"/>
    <w:rsid w:val="067F19F2"/>
    <w:rsid w:val="06864813"/>
    <w:rsid w:val="0687002C"/>
    <w:rsid w:val="06A12F4B"/>
    <w:rsid w:val="06DD01DF"/>
    <w:rsid w:val="070105E4"/>
    <w:rsid w:val="070861A2"/>
    <w:rsid w:val="070875E0"/>
    <w:rsid w:val="07293586"/>
    <w:rsid w:val="07295285"/>
    <w:rsid w:val="074237C2"/>
    <w:rsid w:val="074E705D"/>
    <w:rsid w:val="07770C56"/>
    <w:rsid w:val="07F16472"/>
    <w:rsid w:val="08114688"/>
    <w:rsid w:val="082367FA"/>
    <w:rsid w:val="0874557B"/>
    <w:rsid w:val="089F3763"/>
    <w:rsid w:val="08F00765"/>
    <w:rsid w:val="09011C7D"/>
    <w:rsid w:val="09070291"/>
    <w:rsid w:val="092217DD"/>
    <w:rsid w:val="093A7294"/>
    <w:rsid w:val="09AF5A34"/>
    <w:rsid w:val="0A796021"/>
    <w:rsid w:val="0A816998"/>
    <w:rsid w:val="0AB66F1B"/>
    <w:rsid w:val="0AC06D79"/>
    <w:rsid w:val="0AD75FB8"/>
    <w:rsid w:val="0AD95025"/>
    <w:rsid w:val="0B183664"/>
    <w:rsid w:val="0B275D03"/>
    <w:rsid w:val="0B332AA4"/>
    <w:rsid w:val="0BD27BF6"/>
    <w:rsid w:val="0C057D82"/>
    <w:rsid w:val="0C3E7B36"/>
    <w:rsid w:val="0CE64CD5"/>
    <w:rsid w:val="0CE8419D"/>
    <w:rsid w:val="0D2E38C2"/>
    <w:rsid w:val="0D730DD6"/>
    <w:rsid w:val="0D89043E"/>
    <w:rsid w:val="0DB945EF"/>
    <w:rsid w:val="0DEF598B"/>
    <w:rsid w:val="0E110D06"/>
    <w:rsid w:val="0E355698"/>
    <w:rsid w:val="0EA93331"/>
    <w:rsid w:val="0F13775A"/>
    <w:rsid w:val="0F1A75A3"/>
    <w:rsid w:val="0F3E5808"/>
    <w:rsid w:val="0F8269A8"/>
    <w:rsid w:val="0F8D19D0"/>
    <w:rsid w:val="0F92372B"/>
    <w:rsid w:val="0F9A112B"/>
    <w:rsid w:val="100B12A8"/>
    <w:rsid w:val="100D7522"/>
    <w:rsid w:val="101B5592"/>
    <w:rsid w:val="101C1C87"/>
    <w:rsid w:val="106D2F64"/>
    <w:rsid w:val="10AE55E8"/>
    <w:rsid w:val="10B63710"/>
    <w:rsid w:val="111C2F7A"/>
    <w:rsid w:val="111D5EF0"/>
    <w:rsid w:val="113013DE"/>
    <w:rsid w:val="11A50DA2"/>
    <w:rsid w:val="120C22A3"/>
    <w:rsid w:val="122B06C2"/>
    <w:rsid w:val="12511E83"/>
    <w:rsid w:val="12671A59"/>
    <w:rsid w:val="131C67E4"/>
    <w:rsid w:val="13951726"/>
    <w:rsid w:val="14396509"/>
    <w:rsid w:val="1445506A"/>
    <w:rsid w:val="1447165C"/>
    <w:rsid w:val="148A60F7"/>
    <w:rsid w:val="14B9411C"/>
    <w:rsid w:val="14F77DEA"/>
    <w:rsid w:val="14FD63B5"/>
    <w:rsid w:val="15404589"/>
    <w:rsid w:val="157B2F1A"/>
    <w:rsid w:val="15800E39"/>
    <w:rsid w:val="15C66B95"/>
    <w:rsid w:val="16075080"/>
    <w:rsid w:val="1621693F"/>
    <w:rsid w:val="165121DE"/>
    <w:rsid w:val="165E2443"/>
    <w:rsid w:val="16D54EC5"/>
    <w:rsid w:val="17073E53"/>
    <w:rsid w:val="175945CC"/>
    <w:rsid w:val="17735226"/>
    <w:rsid w:val="1792671A"/>
    <w:rsid w:val="17D853EB"/>
    <w:rsid w:val="17E521D5"/>
    <w:rsid w:val="18913F7D"/>
    <w:rsid w:val="18AD2C55"/>
    <w:rsid w:val="18FE7ECF"/>
    <w:rsid w:val="19333399"/>
    <w:rsid w:val="19726C5F"/>
    <w:rsid w:val="19E77A3D"/>
    <w:rsid w:val="1A1C66C0"/>
    <w:rsid w:val="1A42393B"/>
    <w:rsid w:val="1A434D96"/>
    <w:rsid w:val="1ABD42C8"/>
    <w:rsid w:val="1B046F80"/>
    <w:rsid w:val="1B2B1EFC"/>
    <w:rsid w:val="1B2D30F7"/>
    <w:rsid w:val="1B3267B5"/>
    <w:rsid w:val="1B4B4158"/>
    <w:rsid w:val="1B715A1C"/>
    <w:rsid w:val="1BAA43D2"/>
    <w:rsid w:val="1BBE2514"/>
    <w:rsid w:val="1BC25DC8"/>
    <w:rsid w:val="1C2C51A2"/>
    <w:rsid w:val="1C5E7925"/>
    <w:rsid w:val="1C887FC8"/>
    <w:rsid w:val="1CA43BF8"/>
    <w:rsid w:val="1CAB68C2"/>
    <w:rsid w:val="1CC25491"/>
    <w:rsid w:val="1D00229E"/>
    <w:rsid w:val="1D5F6196"/>
    <w:rsid w:val="1D6132A5"/>
    <w:rsid w:val="1D7E3C2C"/>
    <w:rsid w:val="1D8E56D5"/>
    <w:rsid w:val="1DA84D61"/>
    <w:rsid w:val="1DD33F18"/>
    <w:rsid w:val="1DDE6490"/>
    <w:rsid w:val="1DF77330"/>
    <w:rsid w:val="1E4703EB"/>
    <w:rsid w:val="1E596E19"/>
    <w:rsid w:val="1E7A43DA"/>
    <w:rsid w:val="1EB277FE"/>
    <w:rsid w:val="1EC44443"/>
    <w:rsid w:val="1EC91133"/>
    <w:rsid w:val="1ECC3248"/>
    <w:rsid w:val="1EE021E6"/>
    <w:rsid w:val="1F1349D0"/>
    <w:rsid w:val="1F153F04"/>
    <w:rsid w:val="1F291AB2"/>
    <w:rsid w:val="1F8217B4"/>
    <w:rsid w:val="1FDB3A52"/>
    <w:rsid w:val="1FDB58F3"/>
    <w:rsid w:val="1FE7539E"/>
    <w:rsid w:val="20483A8C"/>
    <w:rsid w:val="20963CB8"/>
    <w:rsid w:val="20B07FB6"/>
    <w:rsid w:val="20CC054D"/>
    <w:rsid w:val="20EC2987"/>
    <w:rsid w:val="20FF46C9"/>
    <w:rsid w:val="213B74B1"/>
    <w:rsid w:val="21536418"/>
    <w:rsid w:val="215A2310"/>
    <w:rsid w:val="21B013FB"/>
    <w:rsid w:val="21B80FB6"/>
    <w:rsid w:val="21DE2ADE"/>
    <w:rsid w:val="21DE318A"/>
    <w:rsid w:val="21EF5B80"/>
    <w:rsid w:val="22576990"/>
    <w:rsid w:val="225C0083"/>
    <w:rsid w:val="229C4EAB"/>
    <w:rsid w:val="22BE6676"/>
    <w:rsid w:val="22C568B7"/>
    <w:rsid w:val="2337656F"/>
    <w:rsid w:val="23926B99"/>
    <w:rsid w:val="23A53D51"/>
    <w:rsid w:val="23BC2F2B"/>
    <w:rsid w:val="241A012C"/>
    <w:rsid w:val="24221A4D"/>
    <w:rsid w:val="24A214D4"/>
    <w:rsid w:val="24B043D3"/>
    <w:rsid w:val="25290FD5"/>
    <w:rsid w:val="252D2EAC"/>
    <w:rsid w:val="252D53FE"/>
    <w:rsid w:val="253B7F66"/>
    <w:rsid w:val="256E1261"/>
    <w:rsid w:val="25D120C2"/>
    <w:rsid w:val="25D13630"/>
    <w:rsid w:val="25EA5214"/>
    <w:rsid w:val="25EC2D81"/>
    <w:rsid w:val="25F56D12"/>
    <w:rsid w:val="26416F70"/>
    <w:rsid w:val="26440A02"/>
    <w:rsid w:val="264528BD"/>
    <w:rsid w:val="26632289"/>
    <w:rsid w:val="26A420F1"/>
    <w:rsid w:val="26C13DCC"/>
    <w:rsid w:val="27170CAE"/>
    <w:rsid w:val="27621F0F"/>
    <w:rsid w:val="27A169A4"/>
    <w:rsid w:val="27AE564B"/>
    <w:rsid w:val="27D15DD1"/>
    <w:rsid w:val="27F55758"/>
    <w:rsid w:val="28146683"/>
    <w:rsid w:val="28663425"/>
    <w:rsid w:val="28A76295"/>
    <w:rsid w:val="28E054D5"/>
    <w:rsid w:val="29206EB8"/>
    <w:rsid w:val="292647E1"/>
    <w:rsid w:val="29370320"/>
    <w:rsid w:val="294E159B"/>
    <w:rsid w:val="296F23CA"/>
    <w:rsid w:val="29871D9E"/>
    <w:rsid w:val="29BA6A52"/>
    <w:rsid w:val="29D92699"/>
    <w:rsid w:val="29E325E0"/>
    <w:rsid w:val="2A2D5290"/>
    <w:rsid w:val="2A452503"/>
    <w:rsid w:val="2AB27589"/>
    <w:rsid w:val="2AB47253"/>
    <w:rsid w:val="2AD20970"/>
    <w:rsid w:val="2B9E0E08"/>
    <w:rsid w:val="2BA936A8"/>
    <w:rsid w:val="2BAD51F4"/>
    <w:rsid w:val="2C315A5A"/>
    <w:rsid w:val="2C892825"/>
    <w:rsid w:val="2C9038AC"/>
    <w:rsid w:val="2CFE58DB"/>
    <w:rsid w:val="2D074B11"/>
    <w:rsid w:val="2D142FA6"/>
    <w:rsid w:val="2D1F071D"/>
    <w:rsid w:val="2D366858"/>
    <w:rsid w:val="2D524879"/>
    <w:rsid w:val="2D9E56F5"/>
    <w:rsid w:val="2DE10C5E"/>
    <w:rsid w:val="2E045252"/>
    <w:rsid w:val="2E0949B3"/>
    <w:rsid w:val="2E5B1DFC"/>
    <w:rsid w:val="2E667F96"/>
    <w:rsid w:val="2E8226AB"/>
    <w:rsid w:val="2E9F24AA"/>
    <w:rsid w:val="2EA128FD"/>
    <w:rsid w:val="2F223514"/>
    <w:rsid w:val="2F832C79"/>
    <w:rsid w:val="2F8B4C8B"/>
    <w:rsid w:val="2FAF53BF"/>
    <w:rsid w:val="2FEF2D58"/>
    <w:rsid w:val="301119F0"/>
    <w:rsid w:val="30527723"/>
    <w:rsid w:val="30580BC9"/>
    <w:rsid w:val="307D537B"/>
    <w:rsid w:val="30BD4E90"/>
    <w:rsid w:val="30EB6FCB"/>
    <w:rsid w:val="30FA36D3"/>
    <w:rsid w:val="311E2ED7"/>
    <w:rsid w:val="31232239"/>
    <w:rsid w:val="315C449C"/>
    <w:rsid w:val="3192727E"/>
    <w:rsid w:val="31A31BE1"/>
    <w:rsid w:val="31B82709"/>
    <w:rsid w:val="31E149B4"/>
    <w:rsid w:val="31E44962"/>
    <w:rsid w:val="31EB4512"/>
    <w:rsid w:val="32246E10"/>
    <w:rsid w:val="32400B34"/>
    <w:rsid w:val="325F5CE9"/>
    <w:rsid w:val="329E6876"/>
    <w:rsid w:val="331810BC"/>
    <w:rsid w:val="33712C48"/>
    <w:rsid w:val="337E068B"/>
    <w:rsid w:val="339C1369"/>
    <w:rsid w:val="33D16BC5"/>
    <w:rsid w:val="33D934D4"/>
    <w:rsid w:val="33FE2F6A"/>
    <w:rsid w:val="34023C75"/>
    <w:rsid w:val="3469628E"/>
    <w:rsid w:val="34C268C9"/>
    <w:rsid w:val="34D75CB0"/>
    <w:rsid w:val="350D37A1"/>
    <w:rsid w:val="3513568A"/>
    <w:rsid w:val="35224758"/>
    <w:rsid w:val="352326FB"/>
    <w:rsid w:val="359237D9"/>
    <w:rsid w:val="35BD558D"/>
    <w:rsid w:val="35C25872"/>
    <w:rsid w:val="35CB7351"/>
    <w:rsid w:val="35D73574"/>
    <w:rsid w:val="36070A52"/>
    <w:rsid w:val="36074A7F"/>
    <w:rsid w:val="36370012"/>
    <w:rsid w:val="36923549"/>
    <w:rsid w:val="36AB6446"/>
    <w:rsid w:val="36B75FBF"/>
    <w:rsid w:val="36B764B3"/>
    <w:rsid w:val="36DF0AC7"/>
    <w:rsid w:val="36FB4891"/>
    <w:rsid w:val="36FE1E75"/>
    <w:rsid w:val="37286788"/>
    <w:rsid w:val="373E335A"/>
    <w:rsid w:val="386A2005"/>
    <w:rsid w:val="389561D0"/>
    <w:rsid w:val="38B57EED"/>
    <w:rsid w:val="38DD0274"/>
    <w:rsid w:val="38EF576D"/>
    <w:rsid w:val="38F12CD3"/>
    <w:rsid w:val="38F94775"/>
    <w:rsid w:val="392971ED"/>
    <w:rsid w:val="3AA86C83"/>
    <w:rsid w:val="3AAF3301"/>
    <w:rsid w:val="3AE137F3"/>
    <w:rsid w:val="3B121DF1"/>
    <w:rsid w:val="3B3763D1"/>
    <w:rsid w:val="3B380AA5"/>
    <w:rsid w:val="3B3B5C40"/>
    <w:rsid w:val="3B507D70"/>
    <w:rsid w:val="3B531550"/>
    <w:rsid w:val="3B691F16"/>
    <w:rsid w:val="3B86067D"/>
    <w:rsid w:val="3B9830F4"/>
    <w:rsid w:val="3C063E76"/>
    <w:rsid w:val="3C312C5A"/>
    <w:rsid w:val="3C5D3042"/>
    <w:rsid w:val="3C956734"/>
    <w:rsid w:val="3CB55043"/>
    <w:rsid w:val="3CDA245A"/>
    <w:rsid w:val="3CEE0A37"/>
    <w:rsid w:val="3CF21C76"/>
    <w:rsid w:val="3D7F4F41"/>
    <w:rsid w:val="3D8A10A6"/>
    <w:rsid w:val="3E234FE8"/>
    <w:rsid w:val="3E6F4006"/>
    <w:rsid w:val="3F660E74"/>
    <w:rsid w:val="3F8E4BED"/>
    <w:rsid w:val="3FA44796"/>
    <w:rsid w:val="3FE72EB0"/>
    <w:rsid w:val="40103AC8"/>
    <w:rsid w:val="403D1414"/>
    <w:rsid w:val="407A6407"/>
    <w:rsid w:val="40856613"/>
    <w:rsid w:val="40BC503C"/>
    <w:rsid w:val="40DB5DBE"/>
    <w:rsid w:val="40E925BE"/>
    <w:rsid w:val="40FE064F"/>
    <w:rsid w:val="41712A26"/>
    <w:rsid w:val="41A75088"/>
    <w:rsid w:val="42074F70"/>
    <w:rsid w:val="423A3BCC"/>
    <w:rsid w:val="4254246F"/>
    <w:rsid w:val="42586CC9"/>
    <w:rsid w:val="428924E6"/>
    <w:rsid w:val="428B0673"/>
    <w:rsid w:val="42FF78D5"/>
    <w:rsid w:val="433706BC"/>
    <w:rsid w:val="433A6FE6"/>
    <w:rsid w:val="4350713C"/>
    <w:rsid w:val="435D361A"/>
    <w:rsid w:val="436653E0"/>
    <w:rsid w:val="43DB1D8C"/>
    <w:rsid w:val="440D40D5"/>
    <w:rsid w:val="4460765A"/>
    <w:rsid w:val="44CD14E0"/>
    <w:rsid w:val="44CF21A0"/>
    <w:rsid w:val="451C1108"/>
    <w:rsid w:val="457F28E4"/>
    <w:rsid w:val="458946E9"/>
    <w:rsid w:val="45A66202"/>
    <w:rsid w:val="45B11EE5"/>
    <w:rsid w:val="45E31757"/>
    <w:rsid w:val="46A231BA"/>
    <w:rsid w:val="46D955A7"/>
    <w:rsid w:val="46F75587"/>
    <w:rsid w:val="47133957"/>
    <w:rsid w:val="474F7526"/>
    <w:rsid w:val="4779329E"/>
    <w:rsid w:val="478E6073"/>
    <w:rsid w:val="47A07E0C"/>
    <w:rsid w:val="48161124"/>
    <w:rsid w:val="4870272E"/>
    <w:rsid w:val="48AE56D3"/>
    <w:rsid w:val="48C714C9"/>
    <w:rsid w:val="48E3087C"/>
    <w:rsid w:val="48FA73DA"/>
    <w:rsid w:val="49DC7715"/>
    <w:rsid w:val="4A023139"/>
    <w:rsid w:val="4A2D5DDB"/>
    <w:rsid w:val="4A312494"/>
    <w:rsid w:val="4A47698C"/>
    <w:rsid w:val="4A694EE0"/>
    <w:rsid w:val="4A7B576F"/>
    <w:rsid w:val="4AF4432F"/>
    <w:rsid w:val="4B090E10"/>
    <w:rsid w:val="4B1965EC"/>
    <w:rsid w:val="4B637932"/>
    <w:rsid w:val="4B7B1AB0"/>
    <w:rsid w:val="4B805F36"/>
    <w:rsid w:val="4C1234F5"/>
    <w:rsid w:val="4C260310"/>
    <w:rsid w:val="4C4379B9"/>
    <w:rsid w:val="4C4A0649"/>
    <w:rsid w:val="4C56609F"/>
    <w:rsid w:val="4C756C31"/>
    <w:rsid w:val="4C7A693B"/>
    <w:rsid w:val="4C920FDC"/>
    <w:rsid w:val="4CCF0E5D"/>
    <w:rsid w:val="4CE470D3"/>
    <w:rsid w:val="4D155104"/>
    <w:rsid w:val="4D24673E"/>
    <w:rsid w:val="4D600B76"/>
    <w:rsid w:val="4D706AA0"/>
    <w:rsid w:val="4D955740"/>
    <w:rsid w:val="4D9603E3"/>
    <w:rsid w:val="4DDB16B1"/>
    <w:rsid w:val="4DE82D3B"/>
    <w:rsid w:val="4DEC4FB0"/>
    <w:rsid w:val="4E075D8A"/>
    <w:rsid w:val="4E6800BD"/>
    <w:rsid w:val="4EC8386B"/>
    <w:rsid w:val="4F024053"/>
    <w:rsid w:val="4F0911AA"/>
    <w:rsid w:val="4F3B5776"/>
    <w:rsid w:val="4FB97FEA"/>
    <w:rsid w:val="4FC62A8C"/>
    <w:rsid w:val="4FD22934"/>
    <w:rsid w:val="4FE20F0D"/>
    <w:rsid w:val="501C5A8D"/>
    <w:rsid w:val="501F29C3"/>
    <w:rsid w:val="503218FB"/>
    <w:rsid w:val="5037103E"/>
    <w:rsid w:val="50504C4B"/>
    <w:rsid w:val="50760209"/>
    <w:rsid w:val="509A6E95"/>
    <w:rsid w:val="509C6E7C"/>
    <w:rsid w:val="50F92BA0"/>
    <w:rsid w:val="511A4016"/>
    <w:rsid w:val="51363D22"/>
    <w:rsid w:val="51434746"/>
    <w:rsid w:val="5162104E"/>
    <w:rsid w:val="52161F2B"/>
    <w:rsid w:val="52382D56"/>
    <w:rsid w:val="526263DB"/>
    <w:rsid w:val="52651484"/>
    <w:rsid w:val="526C6C0C"/>
    <w:rsid w:val="527C3C95"/>
    <w:rsid w:val="529A010B"/>
    <w:rsid w:val="53062C85"/>
    <w:rsid w:val="53584711"/>
    <w:rsid w:val="538A6B07"/>
    <w:rsid w:val="53972F44"/>
    <w:rsid w:val="53A039CC"/>
    <w:rsid w:val="53A1505A"/>
    <w:rsid w:val="53B1131F"/>
    <w:rsid w:val="54063E08"/>
    <w:rsid w:val="540E63C5"/>
    <w:rsid w:val="543437E8"/>
    <w:rsid w:val="54942503"/>
    <w:rsid w:val="54CB0A8F"/>
    <w:rsid w:val="54CB2022"/>
    <w:rsid w:val="54EE11F5"/>
    <w:rsid w:val="5539634E"/>
    <w:rsid w:val="55401636"/>
    <w:rsid w:val="559B174B"/>
    <w:rsid w:val="55A75E7C"/>
    <w:rsid w:val="55CE0CF4"/>
    <w:rsid w:val="560C7F41"/>
    <w:rsid w:val="561C6B19"/>
    <w:rsid w:val="562D2817"/>
    <w:rsid w:val="568C1BA4"/>
    <w:rsid w:val="56B22A9C"/>
    <w:rsid w:val="56DF1125"/>
    <w:rsid w:val="56E76019"/>
    <w:rsid w:val="57392A49"/>
    <w:rsid w:val="573951A2"/>
    <w:rsid w:val="57B72A76"/>
    <w:rsid w:val="57C6116B"/>
    <w:rsid w:val="57FD47B5"/>
    <w:rsid w:val="590E7639"/>
    <w:rsid w:val="594B066C"/>
    <w:rsid w:val="598C76C6"/>
    <w:rsid w:val="5A3C076A"/>
    <w:rsid w:val="5A3C747D"/>
    <w:rsid w:val="5A4216BF"/>
    <w:rsid w:val="5A486BE6"/>
    <w:rsid w:val="5AB346D5"/>
    <w:rsid w:val="5ABE2233"/>
    <w:rsid w:val="5B1A3200"/>
    <w:rsid w:val="5B276D18"/>
    <w:rsid w:val="5B9A6493"/>
    <w:rsid w:val="5BDF5D95"/>
    <w:rsid w:val="5BE66C90"/>
    <w:rsid w:val="5C332B26"/>
    <w:rsid w:val="5C512772"/>
    <w:rsid w:val="5C8E60B2"/>
    <w:rsid w:val="5C9D7755"/>
    <w:rsid w:val="5CE03C10"/>
    <w:rsid w:val="5CE22A90"/>
    <w:rsid w:val="5DAB661A"/>
    <w:rsid w:val="5DF87A0F"/>
    <w:rsid w:val="5E6E797B"/>
    <w:rsid w:val="5EB17CAA"/>
    <w:rsid w:val="5EEB60E6"/>
    <w:rsid w:val="5EF3152F"/>
    <w:rsid w:val="5F0F3430"/>
    <w:rsid w:val="5F1A2B43"/>
    <w:rsid w:val="5F9D4AF3"/>
    <w:rsid w:val="5FAF0F1A"/>
    <w:rsid w:val="5FB837BB"/>
    <w:rsid w:val="5FE80C15"/>
    <w:rsid w:val="5FF178B0"/>
    <w:rsid w:val="60FB3C90"/>
    <w:rsid w:val="61026613"/>
    <w:rsid w:val="6126548C"/>
    <w:rsid w:val="615302D8"/>
    <w:rsid w:val="61D1402C"/>
    <w:rsid w:val="62161595"/>
    <w:rsid w:val="62364782"/>
    <w:rsid w:val="62D05FD3"/>
    <w:rsid w:val="62E834B8"/>
    <w:rsid w:val="62F37AA7"/>
    <w:rsid w:val="63143055"/>
    <w:rsid w:val="63182DD2"/>
    <w:rsid w:val="6321040B"/>
    <w:rsid w:val="633D5246"/>
    <w:rsid w:val="636B33CA"/>
    <w:rsid w:val="63841E9B"/>
    <w:rsid w:val="63AA1D87"/>
    <w:rsid w:val="63BF489D"/>
    <w:rsid w:val="63D40BE9"/>
    <w:rsid w:val="63E0211F"/>
    <w:rsid w:val="63FF37AF"/>
    <w:rsid w:val="640558DC"/>
    <w:rsid w:val="640B0BB1"/>
    <w:rsid w:val="64176213"/>
    <w:rsid w:val="64964BC1"/>
    <w:rsid w:val="64E70841"/>
    <w:rsid w:val="64F17233"/>
    <w:rsid w:val="64F2168E"/>
    <w:rsid w:val="65373578"/>
    <w:rsid w:val="6542121E"/>
    <w:rsid w:val="655F47BF"/>
    <w:rsid w:val="6595233D"/>
    <w:rsid w:val="65DB23C8"/>
    <w:rsid w:val="65E02B87"/>
    <w:rsid w:val="65E85474"/>
    <w:rsid w:val="66443A0C"/>
    <w:rsid w:val="66A157F2"/>
    <w:rsid w:val="66C65456"/>
    <w:rsid w:val="66EF3480"/>
    <w:rsid w:val="67040353"/>
    <w:rsid w:val="67246567"/>
    <w:rsid w:val="673F2C7A"/>
    <w:rsid w:val="6767129A"/>
    <w:rsid w:val="677E6B1C"/>
    <w:rsid w:val="678E6D4C"/>
    <w:rsid w:val="679262B1"/>
    <w:rsid w:val="679C7987"/>
    <w:rsid w:val="681F6961"/>
    <w:rsid w:val="682D6AFB"/>
    <w:rsid w:val="68453CCA"/>
    <w:rsid w:val="68517510"/>
    <w:rsid w:val="68562439"/>
    <w:rsid w:val="685C4A6A"/>
    <w:rsid w:val="68610A2F"/>
    <w:rsid w:val="68805514"/>
    <w:rsid w:val="689625FE"/>
    <w:rsid w:val="68B62212"/>
    <w:rsid w:val="69110FEE"/>
    <w:rsid w:val="691279DA"/>
    <w:rsid w:val="694E2071"/>
    <w:rsid w:val="6966491A"/>
    <w:rsid w:val="697A3B33"/>
    <w:rsid w:val="697D1983"/>
    <w:rsid w:val="699E2456"/>
    <w:rsid w:val="699F2021"/>
    <w:rsid w:val="69CB47D7"/>
    <w:rsid w:val="6A384F75"/>
    <w:rsid w:val="6A555AD9"/>
    <w:rsid w:val="6A5C3C8C"/>
    <w:rsid w:val="6AED4140"/>
    <w:rsid w:val="6B322639"/>
    <w:rsid w:val="6B361299"/>
    <w:rsid w:val="6B8C03C7"/>
    <w:rsid w:val="6B9F2F12"/>
    <w:rsid w:val="6C165952"/>
    <w:rsid w:val="6C531B33"/>
    <w:rsid w:val="6C5F7897"/>
    <w:rsid w:val="6C636C38"/>
    <w:rsid w:val="6CDD6D0D"/>
    <w:rsid w:val="6CDF2D02"/>
    <w:rsid w:val="6D094E26"/>
    <w:rsid w:val="6D0E597B"/>
    <w:rsid w:val="6D395938"/>
    <w:rsid w:val="6D3D4191"/>
    <w:rsid w:val="6D3D5201"/>
    <w:rsid w:val="6D551FF8"/>
    <w:rsid w:val="6DB34098"/>
    <w:rsid w:val="6DB4216C"/>
    <w:rsid w:val="6DB545B6"/>
    <w:rsid w:val="6DBF16F7"/>
    <w:rsid w:val="6E141DED"/>
    <w:rsid w:val="6E367E47"/>
    <w:rsid w:val="6E4375A0"/>
    <w:rsid w:val="6E4D78ED"/>
    <w:rsid w:val="6E514CED"/>
    <w:rsid w:val="6E79491A"/>
    <w:rsid w:val="6E984A82"/>
    <w:rsid w:val="6EB563D5"/>
    <w:rsid w:val="6EC4571B"/>
    <w:rsid w:val="6F225983"/>
    <w:rsid w:val="6F39114F"/>
    <w:rsid w:val="6F8A52BC"/>
    <w:rsid w:val="6FB806C3"/>
    <w:rsid w:val="6FB9078D"/>
    <w:rsid w:val="6FF17176"/>
    <w:rsid w:val="6FFC5590"/>
    <w:rsid w:val="70085EFA"/>
    <w:rsid w:val="702A3EE3"/>
    <w:rsid w:val="70301DA3"/>
    <w:rsid w:val="704135E2"/>
    <w:rsid w:val="705B649C"/>
    <w:rsid w:val="70646DF8"/>
    <w:rsid w:val="706D1DD0"/>
    <w:rsid w:val="707B50E7"/>
    <w:rsid w:val="70856B87"/>
    <w:rsid w:val="70BD0E5E"/>
    <w:rsid w:val="70D527EE"/>
    <w:rsid w:val="70E57D6B"/>
    <w:rsid w:val="70F87E6E"/>
    <w:rsid w:val="71133720"/>
    <w:rsid w:val="714F40FD"/>
    <w:rsid w:val="715B5300"/>
    <w:rsid w:val="715F4BD7"/>
    <w:rsid w:val="718B5548"/>
    <w:rsid w:val="71AC57AC"/>
    <w:rsid w:val="71D27F8A"/>
    <w:rsid w:val="71DB4001"/>
    <w:rsid w:val="71F744C6"/>
    <w:rsid w:val="71F960CF"/>
    <w:rsid w:val="720E69D8"/>
    <w:rsid w:val="72171F07"/>
    <w:rsid w:val="72306A71"/>
    <w:rsid w:val="72495706"/>
    <w:rsid w:val="728503E5"/>
    <w:rsid w:val="729573CE"/>
    <w:rsid w:val="72B835F6"/>
    <w:rsid w:val="72E27B7F"/>
    <w:rsid w:val="731F5D5E"/>
    <w:rsid w:val="734C29BB"/>
    <w:rsid w:val="73525B92"/>
    <w:rsid w:val="741B1FDE"/>
    <w:rsid w:val="741E793C"/>
    <w:rsid w:val="748613C2"/>
    <w:rsid w:val="74A11254"/>
    <w:rsid w:val="74B8349F"/>
    <w:rsid w:val="74D948FF"/>
    <w:rsid w:val="74DE7138"/>
    <w:rsid w:val="750F2085"/>
    <w:rsid w:val="751910DC"/>
    <w:rsid w:val="75547FB2"/>
    <w:rsid w:val="757C3965"/>
    <w:rsid w:val="758D75E2"/>
    <w:rsid w:val="7595693A"/>
    <w:rsid w:val="75F3721B"/>
    <w:rsid w:val="76056FA2"/>
    <w:rsid w:val="762041F9"/>
    <w:rsid w:val="76373448"/>
    <w:rsid w:val="768D6A77"/>
    <w:rsid w:val="77762421"/>
    <w:rsid w:val="77C80A9A"/>
    <w:rsid w:val="77E5117B"/>
    <w:rsid w:val="77ED7B1F"/>
    <w:rsid w:val="780F09F4"/>
    <w:rsid w:val="783E1B79"/>
    <w:rsid w:val="789C4F47"/>
    <w:rsid w:val="789E6004"/>
    <w:rsid w:val="78A90480"/>
    <w:rsid w:val="78E607FA"/>
    <w:rsid w:val="78F8351F"/>
    <w:rsid w:val="79292308"/>
    <w:rsid w:val="79811327"/>
    <w:rsid w:val="7A364017"/>
    <w:rsid w:val="7A77074E"/>
    <w:rsid w:val="7A8265E1"/>
    <w:rsid w:val="7A8A0CD0"/>
    <w:rsid w:val="7A8D260B"/>
    <w:rsid w:val="7ACA2AA1"/>
    <w:rsid w:val="7ADE7300"/>
    <w:rsid w:val="7AEC406A"/>
    <w:rsid w:val="7B2D16BC"/>
    <w:rsid w:val="7B2F37C4"/>
    <w:rsid w:val="7B550BF1"/>
    <w:rsid w:val="7B686D42"/>
    <w:rsid w:val="7B75338D"/>
    <w:rsid w:val="7B833BB8"/>
    <w:rsid w:val="7B841746"/>
    <w:rsid w:val="7B9C3001"/>
    <w:rsid w:val="7CC115B9"/>
    <w:rsid w:val="7CEF72D3"/>
    <w:rsid w:val="7CF667B9"/>
    <w:rsid w:val="7D0239FF"/>
    <w:rsid w:val="7D297335"/>
    <w:rsid w:val="7D5E40CD"/>
    <w:rsid w:val="7D693BED"/>
    <w:rsid w:val="7D8E640D"/>
    <w:rsid w:val="7DA5068D"/>
    <w:rsid w:val="7E285C5A"/>
    <w:rsid w:val="7ED8277A"/>
    <w:rsid w:val="7F141AF7"/>
    <w:rsid w:val="7F1E7B80"/>
    <w:rsid w:val="7F2053C5"/>
    <w:rsid w:val="7F250C19"/>
    <w:rsid w:val="7FB43FEF"/>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9"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autoRedefine/>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autoRedefine/>
    <w:qFormat/>
    <w:locked/>
    <w:uiPriority w:val="0"/>
    <w:pPr>
      <w:keepNext/>
      <w:keepLines/>
      <w:spacing w:line="500" w:lineRule="exact"/>
      <w:outlineLvl w:val="2"/>
    </w:pPr>
    <w:rPr>
      <w:b/>
      <w:bCs/>
      <w:sz w:val="28"/>
      <w:szCs w:val="32"/>
    </w:rPr>
  </w:style>
  <w:style w:type="paragraph" w:styleId="7">
    <w:name w:val="heading 4"/>
    <w:basedOn w:val="1"/>
    <w:next w:val="1"/>
    <w:autoRedefine/>
    <w:unhideWhenUsed/>
    <w:qFormat/>
    <w:locked/>
    <w:uiPriority w:val="9"/>
    <w:pPr>
      <w:spacing w:beforeLines="50" w:afterLines="50"/>
      <w:outlineLvl w:val="3"/>
    </w:pPr>
    <w:rPr>
      <w:rFonts w:eastAsia="黑体" w:cstheme="majorBidi"/>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3"/>
    <w:autoRedefine/>
    <w:qFormat/>
    <w:uiPriority w:val="0"/>
    <w:pPr>
      <w:widowControl/>
      <w:snapToGrid w:val="0"/>
      <w:spacing w:before="60" w:after="160" w:line="259" w:lineRule="auto"/>
      <w:ind w:right="113"/>
    </w:pPr>
    <w:rPr>
      <w:kern w:val="0"/>
      <w:sz w:val="18"/>
      <w:szCs w:val="18"/>
    </w:rPr>
  </w:style>
  <w:style w:type="paragraph" w:customStyle="1" w:styleId="3">
    <w:name w:val="Body Text 21"/>
    <w:basedOn w:val="1"/>
    <w:autoRedefine/>
    <w:qFormat/>
    <w:uiPriority w:val="0"/>
    <w:pPr>
      <w:spacing w:after="120" w:line="480" w:lineRule="auto"/>
    </w:pPr>
  </w:style>
  <w:style w:type="paragraph" w:styleId="8">
    <w:name w:val="table of authorities"/>
    <w:basedOn w:val="1"/>
    <w:next w:val="1"/>
    <w:autoRedefine/>
    <w:qFormat/>
    <w:uiPriority w:val="0"/>
    <w:pPr>
      <w:ind w:left="420" w:leftChars="200"/>
    </w:pPr>
    <w:rPr>
      <w:rFonts w:ascii="宋体"/>
      <w:sz w:val="24"/>
    </w:rPr>
  </w:style>
  <w:style w:type="paragraph" w:styleId="9">
    <w:name w:val="Normal Indent"/>
    <w:basedOn w:val="1"/>
    <w:next w:val="1"/>
    <w:autoRedefine/>
    <w:qFormat/>
    <w:uiPriority w:val="0"/>
    <w:pPr>
      <w:ind w:firstLine="420"/>
    </w:pPr>
  </w:style>
  <w:style w:type="paragraph" w:styleId="10">
    <w:name w:val="annotation text"/>
    <w:basedOn w:val="1"/>
    <w:link w:val="54"/>
    <w:autoRedefine/>
    <w:semiHidden/>
    <w:qFormat/>
    <w:uiPriority w:val="0"/>
    <w:pPr>
      <w:jc w:val="left"/>
    </w:pPr>
    <w:rPr>
      <w:kern w:val="0"/>
      <w:sz w:val="20"/>
    </w:rPr>
  </w:style>
  <w:style w:type="paragraph" w:styleId="11">
    <w:name w:val="Body Text Indent"/>
    <w:basedOn w:val="1"/>
    <w:next w:val="7"/>
    <w:link w:val="50"/>
    <w:autoRedefine/>
    <w:semiHidden/>
    <w:qFormat/>
    <w:uiPriority w:val="0"/>
    <w:pPr>
      <w:spacing w:after="120"/>
      <w:ind w:left="420" w:leftChars="200"/>
    </w:pPr>
  </w:style>
  <w:style w:type="paragraph" w:styleId="12">
    <w:name w:val="Plain Text"/>
    <w:basedOn w:val="1"/>
    <w:autoRedefine/>
    <w:qFormat/>
    <w:uiPriority w:val="0"/>
    <w:rPr>
      <w:rFonts w:ascii="宋体" w:hAnsi="Courier New"/>
    </w:rPr>
  </w:style>
  <w:style w:type="paragraph" w:styleId="13">
    <w:name w:val="Date"/>
    <w:basedOn w:val="1"/>
    <w:next w:val="1"/>
    <w:link w:val="60"/>
    <w:autoRedefine/>
    <w:qFormat/>
    <w:uiPriority w:val="0"/>
    <w:pPr>
      <w:ind w:left="100" w:leftChars="2500"/>
    </w:pPr>
    <w:rPr>
      <w:kern w:val="0"/>
      <w:sz w:val="20"/>
    </w:rPr>
  </w:style>
  <w:style w:type="paragraph" w:styleId="14">
    <w:name w:val="Body Text Indent 2"/>
    <w:basedOn w:val="1"/>
    <w:autoRedefine/>
    <w:qFormat/>
    <w:uiPriority w:val="0"/>
    <w:pPr>
      <w:spacing w:after="120" w:line="480" w:lineRule="auto"/>
      <w:ind w:left="420"/>
    </w:pPr>
  </w:style>
  <w:style w:type="paragraph" w:styleId="15">
    <w:name w:val="Balloon Text"/>
    <w:basedOn w:val="1"/>
    <w:link w:val="51"/>
    <w:autoRedefine/>
    <w:semiHidden/>
    <w:qFormat/>
    <w:uiPriority w:val="0"/>
    <w:rPr>
      <w:sz w:val="18"/>
      <w:szCs w:val="18"/>
    </w:rPr>
  </w:style>
  <w:style w:type="paragraph" w:styleId="16">
    <w:name w:val="footer"/>
    <w:basedOn w:val="1"/>
    <w:link w:val="57"/>
    <w:autoRedefine/>
    <w:qFormat/>
    <w:uiPriority w:val="0"/>
    <w:pPr>
      <w:tabs>
        <w:tab w:val="center" w:pos="4153"/>
        <w:tab w:val="right" w:pos="8306"/>
      </w:tabs>
      <w:snapToGrid w:val="0"/>
      <w:jc w:val="left"/>
    </w:pPr>
    <w:rPr>
      <w:sz w:val="18"/>
      <w:szCs w:val="18"/>
    </w:rPr>
  </w:style>
  <w:style w:type="paragraph" w:styleId="17">
    <w:name w:val="header"/>
    <w:basedOn w:val="1"/>
    <w:next w:val="8"/>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19">
    <w:name w:val="Body Text Indent 3"/>
    <w:basedOn w:val="1"/>
    <w:autoRedefine/>
    <w:qFormat/>
    <w:uiPriority w:val="0"/>
    <w:pPr>
      <w:spacing w:after="120"/>
      <w:ind w:left="420" w:leftChars="200"/>
    </w:pPr>
    <w:rPr>
      <w:sz w:val="16"/>
      <w:szCs w:val="16"/>
    </w:rPr>
  </w:style>
  <w:style w:type="paragraph" w:styleId="20">
    <w:name w:val="Normal (Web)"/>
    <w:basedOn w:val="1"/>
    <w:link w:val="55"/>
    <w:autoRedefine/>
    <w:qFormat/>
    <w:uiPriority w:val="0"/>
    <w:pPr>
      <w:widowControl/>
      <w:spacing w:before="100" w:beforeAutospacing="1" w:after="100" w:afterAutospacing="1"/>
      <w:jc w:val="left"/>
    </w:pPr>
    <w:rPr>
      <w:rFonts w:ascii="宋体" w:hAnsi="宋体"/>
      <w:kern w:val="0"/>
      <w:sz w:val="24"/>
    </w:rPr>
  </w:style>
  <w:style w:type="paragraph" w:styleId="21">
    <w:name w:val="index 1"/>
    <w:basedOn w:val="1"/>
    <w:next w:val="1"/>
    <w:autoRedefine/>
    <w:qFormat/>
    <w:uiPriority w:val="0"/>
    <w:pPr>
      <w:spacing w:line="320" w:lineRule="exact"/>
      <w:jc w:val="center"/>
    </w:pPr>
    <w:rPr>
      <w:color w:val="000000"/>
      <w:szCs w:val="21"/>
    </w:rPr>
  </w:style>
  <w:style w:type="paragraph" w:styleId="22">
    <w:name w:val="annotation subject"/>
    <w:basedOn w:val="10"/>
    <w:next w:val="10"/>
    <w:link w:val="56"/>
    <w:autoRedefine/>
    <w:semiHidden/>
    <w:qFormat/>
    <w:uiPriority w:val="0"/>
    <w:rPr>
      <w:b/>
      <w:bCs/>
    </w:rPr>
  </w:style>
  <w:style w:type="paragraph" w:styleId="23">
    <w:name w:val="Body Text First Indent"/>
    <w:basedOn w:val="1"/>
    <w:autoRedefine/>
    <w:unhideWhenUsed/>
    <w:qFormat/>
    <w:uiPriority w:val="0"/>
    <w:pPr>
      <w:adjustRightInd w:val="0"/>
      <w:snapToGrid w:val="0"/>
      <w:spacing w:line="360" w:lineRule="auto"/>
      <w:ind w:firstLine="200" w:firstLineChars="200"/>
    </w:pPr>
    <w:rPr>
      <w:sz w:val="24"/>
    </w:rPr>
  </w:style>
  <w:style w:type="paragraph" w:styleId="24">
    <w:name w:val="Body Text First Indent 2"/>
    <w:basedOn w:val="11"/>
    <w:next w:val="18"/>
    <w:autoRedefine/>
    <w:qFormat/>
    <w:uiPriority w:val="0"/>
    <w:pPr>
      <w:ind w:firstLine="42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annotation reference"/>
    <w:basedOn w:val="27"/>
    <w:autoRedefine/>
    <w:semiHidden/>
    <w:qFormat/>
    <w:uiPriority w:val="0"/>
    <w:rPr>
      <w:sz w:val="21"/>
    </w:rPr>
  </w:style>
  <w:style w:type="paragraph" w:customStyle="1" w:styleId="30">
    <w:name w:val="样式5"/>
    <w:basedOn w:val="31"/>
    <w:autoRedefine/>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31">
    <w:name w:val="正文1"/>
    <w:basedOn w:val="1"/>
    <w:next w:val="1"/>
    <w:autoRedefine/>
    <w:qFormat/>
    <w:uiPriority w:val="0"/>
    <w:pPr>
      <w:snapToGrid w:val="0"/>
      <w:spacing w:line="270" w:lineRule="exact"/>
      <w:jc w:val="center"/>
    </w:pPr>
    <w:rPr>
      <w:spacing w:val="8"/>
      <w:kern w:val="21"/>
    </w:rPr>
  </w:style>
  <w:style w:type="paragraph" w:customStyle="1" w:styleId="32">
    <w:name w:val="样式 正文文本缩进 + 行距: 1.5 倍行距"/>
    <w:basedOn w:val="33"/>
    <w:next w:val="17"/>
    <w:autoRedefine/>
    <w:qFormat/>
    <w:uiPriority w:val="99"/>
    <w:pPr>
      <w:spacing w:after="120"/>
      <w:ind w:left="90" w:leftChars="32" w:firstLine="560"/>
    </w:pPr>
    <w:rPr>
      <w:rFonts w:cs="宋体"/>
    </w:rPr>
  </w:style>
  <w:style w:type="paragraph" w:customStyle="1" w:styleId="33">
    <w:name w:val="Body Text Indent"/>
    <w:basedOn w:val="1"/>
    <w:next w:val="32"/>
    <w:autoRedefine/>
    <w:qFormat/>
    <w:uiPriority w:val="0"/>
    <w:pPr>
      <w:spacing w:after="120" w:afterLines="0"/>
      <w:ind w:left="420" w:leftChars="200"/>
    </w:pPr>
    <w:rPr>
      <w:rFonts w:ascii="Times New Roman" w:hAnsi="Times New Roman" w:eastAsia="宋体"/>
      <w:sz w:val="24"/>
    </w:rPr>
  </w:style>
  <w:style w:type="paragraph" w:customStyle="1" w:styleId="34">
    <w:name w:val="样式 正文缩进 + 宋体 行距: 固定值 22 磅"/>
    <w:basedOn w:val="9"/>
    <w:autoRedefine/>
    <w:qFormat/>
    <w:uiPriority w:val="0"/>
    <w:pPr>
      <w:ind w:firstLine="0" w:firstLineChars="0"/>
    </w:pPr>
    <w:rPr>
      <w:rFonts w:ascii="Arial Unicode MS" w:hAnsi="Arial Unicode MS" w:cs="宋体"/>
      <w:szCs w:val="20"/>
    </w:rPr>
  </w:style>
  <w:style w:type="paragraph" w:customStyle="1" w:styleId="35">
    <w:name w:val="Z正文"/>
    <w:basedOn w:val="1"/>
    <w:next w:val="1"/>
    <w:autoRedefine/>
    <w:semiHidden/>
    <w:qFormat/>
    <w:uiPriority w:val="0"/>
    <w:rPr>
      <w:rFonts w:ascii="Calibri" w:hAnsi="Calibri"/>
      <w:szCs w:val="22"/>
    </w:rPr>
  </w:style>
  <w:style w:type="paragraph" w:customStyle="1" w:styleId="36">
    <w:name w:val="Default"/>
    <w:basedOn w:val="37"/>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
    <w:name w:val="纯文本1"/>
    <w:basedOn w:val="1"/>
    <w:autoRedefine/>
    <w:qFormat/>
    <w:uiPriority w:val="0"/>
    <w:rPr>
      <w:rFonts w:ascii="宋体" w:hAnsi="Courier New"/>
      <w:szCs w:val="20"/>
    </w:rPr>
  </w:style>
  <w:style w:type="paragraph" w:customStyle="1" w:styleId="38">
    <w:name w:val="表头"/>
    <w:basedOn w:val="1"/>
    <w:next w:val="39"/>
    <w:autoRedefine/>
    <w:qFormat/>
    <w:uiPriority w:val="0"/>
    <w:pPr>
      <w:overflowPunct w:val="0"/>
      <w:snapToGrid w:val="0"/>
      <w:ind w:firstLine="200"/>
    </w:pPr>
    <w:rPr>
      <w:b/>
    </w:rPr>
  </w:style>
  <w:style w:type="paragraph" w:customStyle="1" w:styleId="39">
    <w:name w:val="别动"/>
    <w:basedOn w:val="38"/>
    <w:autoRedefine/>
    <w:qFormat/>
    <w:uiPriority w:val="0"/>
    <w:pPr>
      <w:spacing w:line="340" w:lineRule="exact"/>
    </w:pPr>
    <w:rPr>
      <w:rFonts w:ascii="Times New Roman" w:hAnsi="Times New Roman" w:eastAsia="宋体"/>
      <w:b w:val="0"/>
      <w:sz w:val="21"/>
    </w:rPr>
  </w:style>
  <w:style w:type="paragraph" w:customStyle="1" w:styleId="40">
    <w:name w:val="表+五号"/>
    <w:basedOn w:val="1"/>
    <w:autoRedefine/>
    <w:qFormat/>
    <w:uiPriority w:val="0"/>
    <w:rPr>
      <w:szCs w:val="28"/>
    </w:rPr>
  </w:style>
  <w:style w:type="paragraph" w:customStyle="1" w:styleId="41">
    <w:name w:val="表头A"/>
    <w:basedOn w:val="38"/>
    <w:autoRedefine/>
    <w:qFormat/>
    <w:uiPriority w:val="0"/>
    <w:pPr>
      <w:snapToGrid/>
      <w:spacing w:line="400" w:lineRule="exact"/>
      <w:ind w:firstLine="0" w:firstLineChars="0"/>
      <w:jc w:val="center"/>
    </w:pPr>
    <w:rPr>
      <w:sz w:val="24"/>
    </w:rPr>
  </w:style>
  <w:style w:type="paragraph" w:customStyle="1" w:styleId="42">
    <w:name w:val="表格"/>
    <w:basedOn w:val="38"/>
    <w:next w:val="1"/>
    <w:link w:val="58"/>
    <w:autoRedefine/>
    <w:qFormat/>
    <w:uiPriority w:val="0"/>
    <w:pPr>
      <w:adjustRightInd w:val="0"/>
      <w:spacing w:beforeLines="10" w:afterLines="10" w:line="259" w:lineRule="auto"/>
      <w:jc w:val="center"/>
    </w:pPr>
    <w:rPr>
      <w:rFonts w:ascii="宋体"/>
      <w:kern w:val="0"/>
      <w:sz w:val="20"/>
      <w:szCs w:val="21"/>
    </w:rPr>
  </w:style>
  <w:style w:type="paragraph" w:customStyle="1" w:styleId="43">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4">
    <w:name w:val="表内字"/>
    <w:basedOn w:val="1"/>
    <w:autoRedefine/>
    <w:qFormat/>
    <w:uiPriority w:val="0"/>
    <w:pPr>
      <w:spacing w:line="320" w:lineRule="exact"/>
      <w:jc w:val="center"/>
    </w:pPr>
    <w:rPr>
      <w:kern w:val="0"/>
    </w:rPr>
  </w:style>
  <w:style w:type="paragraph" w:customStyle="1" w:styleId="45">
    <w:name w:val="文本"/>
    <w:basedOn w:val="1"/>
    <w:autoRedefine/>
    <w:qFormat/>
    <w:uiPriority w:val="0"/>
    <w:pPr>
      <w:adjustRightInd w:val="0"/>
      <w:snapToGrid w:val="0"/>
      <w:spacing w:line="440" w:lineRule="exact"/>
      <w:ind w:firstLine="480"/>
    </w:pPr>
    <w:rPr>
      <w:rFonts w:ascii="宋体" w:hAnsi="宋体"/>
    </w:rPr>
  </w:style>
  <w:style w:type="paragraph" w:customStyle="1" w:styleId="46">
    <w:name w:val="Table Paragraph"/>
    <w:basedOn w:val="1"/>
    <w:autoRedefine/>
    <w:qFormat/>
    <w:uiPriority w:val="1"/>
    <w:pPr>
      <w:autoSpaceDE w:val="0"/>
      <w:autoSpaceDN w:val="0"/>
      <w:jc w:val="center"/>
    </w:pPr>
    <w:rPr>
      <w:rFonts w:ascii="宋体" w:hAnsi="宋体" w:cs="宋体"/>
      <w:kern w:val="0"/>
      <w:sz w:val="22"/>
      <w:szCs w:val="22"/>
      <w:lang w:val="zh-CN" w:bidi="zh-CN"/>
    </w:rPr>
  </w:style>
  <w:style w:type="paragraph" w:customStyle="1" w:styleId="47">
    <w:name w:val="正文A"/>
    <w:basedOn w:val="1"/>
    <w:autoRedefine/>
    <w:qFormat/>
    <w:uiPriority w:val="0"/>
    <w:pPr>
      <w:spacing w:line="500" w:lineRule="exact"/>
      <w:ind w:firstLine="200"/>
    </w:pPr>
    <w:rPr>
      <w:rFonts w:ascii="Calibri" w:hAnsi="Calibri"/>
      <w:kern w:val="0"/>
      <w:sz w:val="24"/>
    </w:rPr>
  </w:style>
  <w:style w:type="character" w:customStyle="1" w:styleId="48">
    <w:name w:val="页眉 Char"/>
    <w:basedOn w:val="27"/>
    <w:link w:val="17"/>
    <w:autoRedefine/>
    <w:qFormat/>
    <w:locked/>
    <w:uiPriority w:val="0"/>
    <w:rPr>
      <w:rFonts w:cs="Times New Roman"/>
      <w:sz w:val="18"/>
      <w:szCs w:val="18"/>
    </w:rPr>
  </w:style>
  <w:style w:type="character" w:customStyle="1" w:styleId="49">
    <w:name w:val="正文文本 字符1"/>
    <w:basedOn w:val="27"/>
    <w:autoRedefine/>
    <w:semiHidden/>
    <w:qFormat/>
    <w:uiPriority w:val="0"/>
    <w:rPr>
      <w:rFonts w:ascii="Times New Roman" w:hAnsi="Times New Roman" w:eastAsia="宋体" w:cs="Times New Roman"/>
      <w:sz w:val="24"/>
      <w:szCs w:val="24"/>
    </w:rPr>
  </w:style>
  <w:style w:type="character" w:customStyle="1" w:styleId="50">
    <w:name w:val="正文文本缩进 Char"/>
    <w:basedOn w:val="27"/>
    <w:link w:val="11"/>
    <w:autoRedefine/>
    <w:semiHidden/>
    <w:qFormat/>
    <w:locked/>
    <w:uiPriority w:val="0"/>
    <w:rPr>
      <w:rFonts w:ascii="Times New Roman" w:hAnsi="Times New Roman" w:eastAsia="宋体" w:cs="Times New Roman"/>
      <w:sz w:val="24"/>
      <w:szCs w:val="24"/>
    </w:rPr>
  </w:style>
  <w:style w:type="character" w:customStyle="1" w:styleId="51">
    <w:name w:val="批注框文本 Char"/>
    <w:basedOn w:val="27"/>
    <w:link w:val="15"/>
    <w:autoRedefine/>
    <w:semiHidden/>
    <w:qFormat/>
    <w:locked/>
    <w:uiPriority w:val="0"/>
    <w:rPr>
      <w:rFonts w:ascii="Times New Roman" w:hAnsi="Times New Roman" w:eastAsia="宋体" w:cs="Times New Roman"/>
      <w:sz w:val="18"/>
      <w:szCs w:val="18"/>
    </w:rPr>
  </w:style>
  <w:style w:type="character" w:customStyle="1" w:styleId="52">
    <w:name w:val="普通(网站) Char"/>
    <w:autoRedefine/>
    <w:qFormat/>
    <w:locked/>
    <w:uiPriority w:val="0"/>
    <w:rPr>
      <w:rFonts w:ascii="宋体" w:hAnsi="宋体" w:eastAsia="宋体"/>
      <w:sz w:val="24"/>
    </w:rPr>
  </w:style>
  <w:style w:type="character" w:customStyle="1" w:styleId="53">
    <w:name w:val="正文文本 Char"/>
    <w:link w:val="2"/>
    <w:autoRedefine/>
    <w:qFormat/>
    <w:locked/>
    <w:uiPriority w:val="0"/>
    <w:rPr>
      <w:sz w:val="18"/>
    </w:rPr>
  </w:style>
  <w:style w:type="character" w:customStyle="1" w:styleId="54">
    <w:name w:val="批注文字 Char"/>
    <w:link w:val="10"/>
    <w:autoRedefine/>
    <w:qFormat/>
    <w:locked/>
    <w:uiPriority w:val="0"/>
    <w:rPr>
      <w:rFonts w:ascii="Times New Roman" w:hAnsi="Times New Roman" w:eastAsia="宋体"/>
      <w:sz w:val="24"/>
    </w:rPr>
  </w:style>
  <w:style w:type="character" w:customStyle="1" w:styleId="55">
    <w:name w:val="普通(网站) Char1"/>
    <w:link w:val="20"/>
    <w:autoRedefine/>
    <w:qFormat/>
    <w:locked/>
    <w:uiPriority w:val="0"/>
    <w:rPr>
      <w:rFonts w:ascii="宋体" w:hAnsi="宋体" w:eastAsia="宋体"/>
      <w:sz w:val="24"/>
    </w:rPr>
  </w:style>
  <w:style w:type="character" w:customStyle="1" w:styleId="56">
    <w:name w:val="批注主题 Char"/>
    <w:basedOn w:val="54"/>
    <w:link w:val="22"/>
    <w:autoRedefine/>
    <w:semiHidden/>
    <w:qFormat/>
    <w:locked/>
    <w:uiPriority w:val="0"/>
    <w:rPr>
      <w:rFonts w:ascii="Times New Roman" w:hAnsi="Times New Roman" w:eastAsia="宋体" w:cs="Times New Roman"/>
      <w:b/>
      <w:bCs/>
      <w:kern w:val="2"/>
      <w:sz w:val="24"/>
      <w:szCs w:val="24"/>
    </w:rPr>
  </w:style>
  <w:style w:type="character" w:customStyle="1" w:styleId="57">
    <w:name w:val="页脚 Char"/>
    <w:basedOn w:val="27"/>
    <w:link w:val="16"/>
    <w:autoRedefine/>
    <w:qFormat/>
    <w:locked/>
    <w:uiPriority w:val="0"/>
    <w:rPr>
      <w:rFonts w:cs="Times New Roman"/>
      <w:sz w:val="18"/>
      <w:szCs w:val="18"/>
    </w:rPr>
  </w:style>
  <w:style w:type="character" w:customStyle="1" w:styleId="58">
    <w:name w:val="表格 Char"/>
    <w:link w:val="42"/>
    <w:autoRedefine/>
    <w:qFormat/>
    <w:locked/>
    <w:uiPriority w:val="0"/>
    <w:rPr>
      <w:rFonts w:ascii="宋体"/>
      <w:sz w:val="21"/>
    </w:rPr>
  </w:style>
  <w:style w:type="character" w:customStyle="1" w:styleId="59">
    <w:name w:val="日期 字符"/>
    <w:basedOn w:val="27"/>
    <w:autoRedefine/>
    <w:semiHidden/>
    <w:qFormat/>
    <w:uiPriority w:val="0"/>
    <w:rPr>
      <w:rFonts w:ascii="Times New Roman" w:hAnsi="Times New Roman" w:eastAsia="宋体" w:cs="Times New Roman"/>
      <w:sz w:val="24"/>
      <w:szCs w:val="24"/>
    </w:rPr>
  </w:style>
  <w:style w:type="character" w:customStyle="1" w:styleId="60">
    <w:name w:val="日期 Char"/>
    <w:link w:val="13"/>
    <w:autoRedefine/>
    <w:qFormat/>
    <w:locked/>
    <w:uiPriority w:val="0"/>
    <w:rPr>
      <w:rFonts w:ascii="Times New Roman" w:hAnsi="Times New Roman" w:eastAsia="宋体"/>
      <w:sz w:val="24"/>
    </w:rPr>
  </w:style>
  <w:style w:type="character" w:customStyle="1" w:styleId="61">
    <w:name w:val="批注文字 字符1"/>
    <w:basedOn w:val="27"/>
    <w:autoRedefine/>
    <w:semiHidden/>
    <w:qFormat/>
    <w:uiPriority w:val="0"/>
    <w:rPr>
      <w:rFonts w:ascii="Times New Roman" w:hAnsi="Times New Roman" w:eastAsia="宋体" w:cs="Times New Roman"/>
      <w:sz w:val="24"/>
      <w:szCs w:val="24"/>
    </w:rPr>
  </w:style>
  <w:style w:type="paragraph" w:customStyle="1" w:styleId="62">
    <w:name w:val="报告表正文"/>
    <w:basedOn w:val="63"/>
    <w:autoRedefine/>
    <w:qFormat/>
    <w:uiPriority w:val="0"/>
    <w:pPr>
      <w:adjustRightInd w:val="0"/>
      <w:ind w:left="113" w:right="113" w:firstLine="482"/>
      <w:jc w:val="left"/>
      <w:textAlignment w:val="baseline"/>
    </w:pPr>
    <w:rPr>
      <w:kern w:val="0"/>
      <w:szCs w:val="21"/>
    </w:rPr>
  </w:style>
  <w:style w:type="paragraph" w:customStyle="1" w:styleId="63">
    <w:name w:val="报告正文"/>
    <w:basedOn w:val="64"/>
    <w:autoRedefine/>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64">
    <w:name w:val="p17"/>
    <w:basedOn w:val="1"/>
    <w:autoRedefine/>
    <w:qFormat/>
    <w:uiPriority w:val="0"/>
    <w:pPr>
      <w:widowControl/>
    </w:pPr>
    <w:rPr>
      <w:rFonts w:ascii="宋体" w:hAnsi="宋体" w:cs="宋体"/>
      <w:kern w:val="0"/>
      <w:szCs w:val="21"/>
    </w:rPr>
  </w:style>
  <w:style w:type="paragraph" w:customStyle="1" w:styleId="65">
    <w:name w:val="标题表格"/>
    <w:basedOn w:val="1"/>
    <w:autoRedefine/>
    <w:qFormat/>
    <w:uiPriority w:val="0"/>
    <w:pPr>
      <w:spacing w:beforeLines="50"/>
      <w:jc w:val="center"/>
    </w:pPr>
    <w:rPr>
      <w:rFonts w:ascii="黑体" w:hAnsi="楷体_GB2312" w:eastAsia="黑体" w:cs="宋体"/>
    </w:rPr>
  </w:style>
  <w:style w:type="paragraph" w:customStyle="1" w:styleId="66">
    <w:name w:val="正文-ls"/>
    <w:basedOn w:val="1"/>
    <w:autoRedefine/>
    <w:qFormat/>
    <w:uiPriority w:val="0"/>
    <w:pPr>
      <w:ind w:firstLine="200"/>
    </w:pPr>
    <w:rPr>
      <w:rFonts w:hAnsi="宋体" w:cs="宋体"/>
      <w:sz w:val="24"/>
    </w:rPr>
  </w:style>
  <w:style w:type="paragraph" w:customStyle="1" w:styleId="67">
    <w:name w:val="1 Char"/>
    <w:basedOn w:val="1"/>
    <w:autoRedefine/>
    <w:qFormat/>
    <w:uiPriority w:val="0"/>
    <w:pPr>
      <w:adjustRightInd w:val="0"/>
      <w:spacing w:line="360" w:lineRule="atLeast"/>
      <w:textAlignment w:val="baseline"/>
    </w:pPr>
  </w:style>
  <w:style w:type="paragraph" w:customStyle="1" w:styleId="68">
    <w:name w:val="正文文本缩进1"/>
    <w:basedOn w:val="1"/>
    <w:autoRedefine/>
    <w:qFormat/>
    <w:uiPriority w:val="0"/>
    <w:pPr>
      <w:autoSpaceDE w:val="0"/>
      <w:autoSpaceDN w:val="0"/>
      <w:adjustRightInd w:val="0"/>
      <w:ind w:firstLine="480"/>
    </w:pPr>
    <w:rPr>
      <w:rFonts w:ascii="宋体" w:hAnsi="宋体"/>
      <w:kern w:val="0"/>
      <w:sz w:val="24"/>
    </w:rPr>
  </w:style>
  <w:style w:type="paragraph" w:customStyle="1" w:styleId="69">
    <w:name w:val="表格1"/>
    <w:basedOn w:val="1"/>
    <w:autoRedefine/>
    <w:qFormat/>
    <w:uiPriority w:val="0"/>
    <w:pPr>
      <w:widowControl/>
      <w:adjustRightInd w:val="0"/>
      <w:snapToGrid w:val="0"/>
      <w:ind w:firstLine="480"/>
    </w:pPr>
    <w:rPr>
      <w:rFonts w:ascii="宋体" w:hAnsi="宋体"/>
    </w:rPr>
  </w:style>
  <w:style w:type="paragraph" w:customStyle="1" w:styleId="70">
    <w:name w:val="书 正文"/>
    <w:basedOn w:val="1"/>
    <w:link w:val="73"/>
    <w:autoRedefine/>
    <w:qFormat/>
    <w:uiPriority w:val="0"/>
    <w:pPr>
      <w:ind w:firstLine="514"/>
    </w:pPr>
    <w:rPr>
      <w:kern w:val="24"/>
      <w:sz w:val="24"/>
    </w:rPr>
  </w:style>
  <w:style w:type="paragraph" w:customStyle="1" w:styleId="7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环评正文"/>
    <w:basedOn w:val="1"/>
    <w:autoRedefine/>
    <w:qFormat/>
    <w:uiPriority w:val="0"/>
    <w:rPr>
      <w:rFonts w:eastAsiaTheme="minorEastAsia"/>
      <w:lang w:val="zh-CN"/>
    </w:rPr>
  </w:style>
  <w:style w:type="character" w:customStyle="1" w:styleId="73">
    <w:name w:val="书 正文 Char"/>
    <w:link w:val="70"/>
    <w:autoRedefine/>
    <w:qFormat/>
    <w:uiPriority w:val="0"/>
    <w:rPr>
      <w:kern w:val="24"/>
      <w:sz w:val="24"/>
      <w:szCs w:val="24"/>
    </w:rPr>
  </w:style>
  <w:style w:type="paragraph" w:customStyle="1" w:styleId="74">
    <w:name w:val="正文(首行缩进)"/>
    <w:basedOn w:val="1"/>
    <w:next w:val="1"/>
    <w:autoRedefine/>
    <w:qFormat/>
    <w:uiPriority w:val="0"/>
    <w:pPr>
      <w:ind w:firstLine="540" w:firstLineChars="225"/>
    </w:pPr>
    <w:rPr>
      <w:snapToGrid w:val="0"/>
      <w:color w:val="000000"/>
      <w:kern w:val="0"/>
      <w:sz w:val="24"/>
    </w:rPr>
  </w:style>
  <w:style w:type="paragraph" w:styleId="75">
    <w:name w:val="No Spacing"/>
    <w:autoRedefine/>
    <w:qFormat/>
    <w:uiPriority w:val="0"/>
    <w:pPr>
      <w:widowControl w:val="0"/>
      <w:jc w:val="both"/>
    </w:pPr>
    <w:rPr>
      <w:rFonts w:ascii="Times New Roman" w:hAnsi="Times New Roman" w:eastAsia="宋体" w:cs="Times New Roman"/>
      <w:kern w:val="2"/>
      <w:sz w:val="18"/>
      <w:szCs w:val="24"/>
      <w:lang w:val="en-US" w:eastAsia="zh-CN" w:bidi="ar-SA"/>
    </w:rPr>
  </w:style>
  <w:style w:type="character" w:customStyle="1" w:styleId="76">
    <w:name w:val="页脚 字符"/>
    <w:autoRedefine/>
    <w:qFormat/>
    <w:uiPriority w:val="99"/>
    <w:rPr>
      <w:rFonts w:ascii="楷体" w:hAnsi="楷体" w:eastAsia="楷体"/>
      <w14:shadow w14:blurRad="50800" w14:dist="38100" w14:dir="2700000" w14:sx="100000" w14:sy="100000" w14:kx="0" w14:ky="0" w14:algn="tl">
        <w14:srgbClr w14:val="000000">
          <w14:alpha w14:val="60000"/>
        </w14:srgbClr>
      </w14:shadow>
    </w:rPr>
  </w:style>
  <w:style w:type="paragraph" w:customStyle="1" w:styleId="77">
    <w:name w:val="表头标题"/>
    <w:next w:val="12"/>
    <w:autoRedefine/>
    <w:qFormat/>
    <w:uiPriority w:val="0"/>
    <w:pPr>
      <w:spacing w:line="360" w:lineRule="auto"/>
      <w:jc w:val="center"/>
    </w:pPr>
    <w:rPr>
      <w:rFonts w:ascii="黑体" w:hAnsi="黑体" w:eastAsia="黑体" w:cs="Times New Roman"/>
      <w:b/>
      <w:color w:val="000000" w:themeColor="text1"/>
      <w:kern w:val="2"/>
      <w:sz w:val="24"/>
      <w:szCs w:val="24"/>
      <w:lang w:val="en-US" w:eastAsia="zh-CN" w:bidi="ar-SA"/>
      <w14:textFill>
        <w14:solidFill>
          <w14:schemeClr w14:val="tx1"/>
        </w14:solidFill>
      </w14:textFill>
    </w:rPr>
  </w:style>
  <w:style w:type="paragraph" w:customStyle="1" w:styleId="78">
    <w:name w:val="正文格式"/>
    <w:basedOn w:val="23"/>
    <w:next w:val="1"/>
    <w:autoRedefine/>
    <w:qFormat/>
    <w:uiPriority w:val="0"/>
    <w:rPr>
      <w:rFonts w:ascii="宋体"/>
      <w:szCs w:val="24"/>
    </w:rPr>
  </w:style>
  <w:style w:type="paragraph" w:customStyle="1" w:styleId="79">
    <w:name w:val="表中文字"/>
    <w:basedOn w:val="31"/>
    <w:autoRedefine/>
    <w:qFormat/>
    <w:uiPriority w:val="0"/>
    <w:pPr>
      <w:spacing w:line="320" w:lineRule="exact"/>
    </w:pPr>
  </w:style>
  <w:style w:type="paragraph" w:customStyle="1" w:styleId="80">
    <w:name w:val="表格内容1"/>
    <w:basedOn w:val="1"/>
    <w:autoRedefine/>
    <w:qFormat/>
    <w:uiPriority w:val="0"/>
    <w:pPr>
      <w:adjustRightInd w:val="0"/>
      <w:snapToGrid w:val="0"/>
      <w:spacing w:line="240" w:lineRule="auto"/>
      <w:ind w:firstLine="0" w:firstLineChars="0"/>
      <w:jc w:val="center"/>
      <w:textAlignment w:val="baseline"/>
    </w:pPr>
    <w:rPr>
      <w:rFonts w:ascii="Times New Roman" w:hAnsi="Times New Roman"/>
      <w:sz w:val="21"/>
      <w:szCs w:val="21"/>
    </w:rPr>
  </w:style>
  <w:style w:type="character" w:customStyle="1" w:styleId="81">
    <w:name w:val="正文文本_"/>
    <w:link w:val="82"/>
    <w:autoRedefine/>
    <w:qFormat/>
    <w:uiPriority w:val="0"/>
    <w:rPr>
      <w:rFonts w:hint="eastAsia" w:ascii="微软雅黑" w:hAnsi="微软雅黑" w:eastAsia="微软雅黑"/>
      <w:sz w:val="22"/>
    </w:rPr>
  </w:style>
  <w:style w:type="paragraph" w:customStyle="1" w:styleId="82">
    <w:name w:val="正文文本1"/>
    <w:basedOn w:val="1"/>
    <w:link w:val="81"/>
    <w:autoRedefine/>
    <w:unhideWhenUsed/>
    <w:qFormat/>
    <w:uiPriority w:val="99"/>
    <w:pPr>
      <w:shd w:val="clear" w:color="auto" w:fill="FFFFFF"/>
      <w:spacing w:before="1320" w:beforeLines="0" w:afterLines="0" w:line="1001" w:lineRule="exact"/>
      <w:ind w:hanging="500"/>
      <w:jc w:val="distribute"/>
    </w:pPr>
    <w:rPr>
      <w:rFonts w:hint="eastAsia" w:ascii="微软雅黑" w:hAnsi="微软雅黑" w:eastAsia="微软雅黑"/>
      <w:sz w:val="22"/>
    </w:rPr>
  </w:style>
  <w:style w:type="paragraph" w:customStyle="1" w:styleId="83">
    <w:name w:val="样式 宋体 小四 首行缩进:  0.85 厘米 行距: 1.5 倍行距"/>
    <w:basedOn w:val="1"/>
    <w:autoRedefine/>
    <w:qFormat/>
    <w:uiPriority w:val="0"/>
    <w:pPr>
      <w:spacing w:line="360" w:lineRule="auto"/>
      <w:ind w:firstLine="480" w:firstLineChars="200"/>
    </w:pPr>
    <w:rPr>
      <w:rFonts w:ascii="宋体" w:hAnsi="宋体" w:eastAsia="宋体" w:cs="宋体"/>
      <w:sz w:val="24"/>
    </w:rPr>
  </w:style>
  <w:style w:type="character" w:customStyle="1" w:styleId="84">
    <w:name w:val="font21"/>
    <w:basedOn w:val="27"/>
    <w:autoRedefine/>
    <w:qFormat/>
    <w:uiPriority w:val="0"/>
    <w:rPr>
      <w:rFonts w:hint="eastAsia" w:ascii="宋体" w:hAnsi="宋体" w:eastAsia="宋体" w:cs="宋体"/>
      <w:b/>
      <w:bCs/>
      <w:color w:val="000000"/>
      <w:sz w:val="21"/>
      <w:szCs w:val="21"/>
      <w:u w:val="none"/>
    </w:rPr>
  </w:style>
  <w:style w:type="paragraph" w:customStyle="1" w:styleId="85">
    <w:name w:val="Table Text"/>
    <w:basedOn w:val="1"/>
    <w:autoRedefine/>
    <w:semiHidden/>
    <w:qFormat/>
    <w:uiPriority w:val="0"/>
    <w:rPr>
      <w:rFonts w:ascii="宋体" w:hAnsi="宋体" w:eastAsia="宋体" w:cs="宋体"/>
      <w:sz w:val="24"/>
      <w:szCs w:val="24"/>
      <w:lang w:val="en-US" w:eastAsia="en-US" w:bidi="ar-SA"/>
    </w:rPr>
  </w:style>
  <w:style w:type="table" w:customStyle="1" w:styleId="86">
    <w:name w:val="Table Normal"/>
    <w:autoRedefine/>
    <w:semiHidden/>
    <w:unhideWhenUsed/>
    <w:qFormat/>
    <w:uiPriority w:val="0"/>
    <w:tblPr>
      <w:tblCellMar>
        <w:top w:w="0" w:type="dxa"/>
        <w:left w:w="0" w:type="dxa"/>
        <w:bottom w:w="0" w:type="dxa"/>
        <w:right w:w="0" w:type="dxa"/>
      </w:tblCellMar>
    </w:tblPr>
  </w:style>
  <w:style w:type="paragraph" w:customStyle="1" w:styleId="87">
    <w:name w:val="txt"/>
    <w:basedOn w:val="88"/>
    <w:autoRedefine/>
    <w:qFormat/>
    <w:uiPriority w:val="0"/>
    <w:rPr>
      <w:sz w:val="21"/>
      <w:szCs w:val="21"/>
    </w:rPr>
  </w:style>
  <w:style w:type="paragraph" w:customStyle="1" w:styleId="88">
    <w:name w:val="text"/>
    <w:basedOn w:val="1"/>
    <w:autoRedefine/>
    <w:qFormat/>
    <w:uiPriority w:val="0"/>
    <w:pPr>
      <w:wordWrap w:val="0"/>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jpe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C804A-4DB8-4C71-A2A0-3822057507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90</Pages>
  <Words>49445</Words>
  <Characters>53611</Characters>
  <Lines>327</Lines>
  <Paragraphs>92</Paragraphs>
  <TotalTime>1</TotalTime>
  <ScaleCrop>false</ScaleCrop>
  <LinksUpToDate>false</LinksUpToDate>
  <CharactersWithSpaces>54181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unfair。</cp:lastModifiedBy>
  <cp:lastPrinted>2024-03-21T10:55:00Z</cp:lastPrinted>
  <dcterms:modified xsi:type="dcterms:W3CDTF">2024-05-08T10:00:29Z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309238715_cloud</vt:lpwstr>
  </property>
  <property fmtid="{D5CDD505-2E9C-101B-9397-08002B2CF9AE}" pid="4" name="ICV">
    <vt:lpwstr>223464A865C94EB689CEE50FB5DEDF50_13</vt:lpwstr>
  </property>
</Properties>
</file>