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250" w:lineRule="auto"/>
        <w:rPr>
          <w:color w:val="auto"/>
        </w:rPr>
      </w:pPr>
    </w:p>
    <w:p>
      <w:pPr>
        <w:pStyle w:val="9"/>
        <w:spacing w:line="250" w:lineRule="auto"/>
        <w:rPr>
          <w:color w:val="auto"/>
        </w:rPr>
      </w:pPr>
    </w:p>
    <w:p>
      <w:pPr>
        <w:pStyle w:val="9"/>
        <w:spacing w:line="250" w:lineRule="auto"/>
        <w:rPr>
          <w:color w:val="auto"/>
        </w:rPr>
      </w:pPr>
    </w:p>
    <w:p>
      <w:pPr>
        <w:spacing w:before="231" w:line="221" w:lineRule="auto"/>
        <w:ind w:left="0" w:leftChars="0" w:firstLine="0" w:firstLineChars="0"/>
        <w:jc w:val="center"/>
        <w:outlineLvl w:val="0"/>
        <w:rPr>
          <w:rFonts w:ascii="宋体" w:hAnsi="宋体" w:eastAsia="宋体" w:cs="宋体"/>
          <w:color w:val="auto"/>
          <w:sz w:val="71"/>
          <w:szCs w:val="71"/>
        </w:rPr>
      </w:pPr>
      <w:r>
        <w:rPr>
          <w:rFonts w:ascii="宋体" w:hAnsi="宋体" w:eastAsia="宋体" w:cs="宋体"/>
          <w:color w:val="auto"/>
          <w:spacing w:val="6"/>
          <w:sz w:val="71"/>
          <w:szCs w:val="71"/>
        </w:rPr>
        <w:t>建设项目环境影响报告表</w:t>
      </w:r>
    </w:p>
    <w:p>
      <w:pPr>
        <w:spacing w:before="238" w:line="224" w:lineRule="auto"/>
        <w:jc w:val="center"/>
        <w:rPr>
          <w:rFonts w:ascii="宋体" w:hAnsi="宋体" w:eastAsia="宋体" w:cs="宋体"/>
          <w:color w:val="auto"/>
          <w:sz w:val="47"/>
          <w:szCs w:val="47"/>
        </w:rPr>
      </w:pPr>
      <w:r>
        <w:rPr>
          <w:rFonts w:ascii="宋体" w:hAnsi="宋体" w:eastAsia="宋体" w:cs="宋体"/>
          <w:color w:val="auto"/>
          <w:spacing w:val="3"/>
          <w:sz w:val="47"/>
          <w:szCs w:val="47"/>
        </w:rPr>
        <w:t>（生态影响类）</w:t>
      </w:r>
    </w:p>
    <w:p>
      <w:pPr>
        <w:pStyle w:val="9"/>
        <w:spacing w:line="252" w:lineRule="auto"/>
        <w:rPr>
          <w:color w:val="auto"/>
        </w:rPr>
      </w:pPr>
    </w:p>
    <w:p>
      <w:pPr>
        <w:pStyle w:val="9"/>
        <w:spacing w:line="252" w:lineRule="auto"/>
        <w:rPr>
          <w:color w:val="auto"/>
        </w:rPr>
      </w:pPr>
    </w:p>
    <w:p>
      <w:pPr>
        <w:pStyle w:val="9"/>
        <w:spacing w:line="252" w:lineRule="auto"/>
        <w:rPr>
          <w:color w:val="auto"/>
        </w:rPr>
      </w:pPr>
    </w:p>
    <w:p>
      <w:pPr>
        <w:pStyle w:val="9"/>
        <w:spacing w:line="252" w:lineRule="auto"/>
        <w:rPr>
          <w:color w:val="auto"/>
        </w:rPr>
      </w:pPr>
    </w:p>
    <w:p>
      <w:pPr>
        <w:pStyle w:val="9"/>
        <w:spacing w:line="253" w:lineRule="auto"/>
        <w:rPr>
          <w:color w:val="auto"/>
        </w:rPr>
      </w:pPr>
    </w:p>
    <w:p>
      <w:pPr>
        <w:pStyle w:val="9"/>
        <w:spacing w:line="253" w:lineRule="auto"/>
        <w:rPr>
          <w:color w:val="auto"/>
        </w:rPr>
      </w:pPr>
    </w:p>
    <w:p>
      <w:pPr>
        <w:pStyle w:val="9"/>
        <w:spacing w:line="253" w:lineRule="auto"/>
        <w:rPr>
          <w:color w:val="auto"/>
        </w:rPr>
      </w:pPr>
    </w:p>
    <w:p>
      <w:pPr>
        <w:pStyle w:val="9"/>
        <w:spacing w:line="253" w:lineRule="auto"/>
        <w:rPr>
          <w:color w:val="auto"/>
        </w:rPr>
      </w:pPr>
    </w:p>
    <w:p>
      <w:pPr>
        <w:pStyle w:val="9"/>
        <w:spacing w:line="253" w:lineRule="auto"/>
        <w:rPr>
          <w:color w:val="auto"/>
        </w:rPr>
      </w:pPr>
    </w:p>
    <w:p>
      <w:pPr>
        <w:pStyle w:val="9"/>
        <w:spacing w:line="253" w:lineRule="auto"/>
        <w:rPr>
          <w:color w:val="auto"/>
        </w:rPr>
      </w:pPr>
    </w:p>
    <w:p>
      <w:pPr>
        <w:pStyle w:val="9"/>
        <w:spacing w:line="253" w:lineRule="auto"/>
        <w:rPr>
          <w:color w:val="auto"/>
        </w:rPr>
      </w:pPr>
    </w:p>
    <w:p>
      <w:pPr>
        <w:pStyle w:val="9"/>
        <w:spacing w:line="253" w:lineRule="auto"/>
        <w:rPr>
          <w:color w:val="auto"/>
        </w:rPr>
      </w:pPr>
    </w:p>
    <w:p>
      <w:pPr>
        <w:pStyle w:val="9"/>
        <w:spacing w:line="253" w:lineRule="auto"/>
        <w:rPr>
          <w:color w:val="auto"/>
        </w:rPr>
      </w:pPr>
    </w:p>
    <w:p>
      <w:pPr>
        <w:pStyle w:val="9"/>
        <w:spacing w:line="253" w:lineRule="auto"/>
        <w:rPr>
          <w:color w:val="auto"/>
        </w:rPr>
      </w:pPr>
    </w:p>
    <w:p>
      <w:pPr>
        <w:tabs>
          <w:tab w:val="left" w:pos="8589"/>
        </w:tabs>
        <w:spacing w:before="113" w:line="296" w:lineRule="auto"/>
        <w:jc w:val="both"/>
        <w:rPr>
          <w:rFonts w:hint="default" w:ascii="宋体" w:hAnsi="宋体" w:eastAsia="宋体" w:cs="宋体"/>
          <w:color w:val="auto"/>
          <w:spacing w:val="1"/>
          <w:sz w:val="35"/>
          <w:szCs w:val="35"/>
          <w:u w:val="single"/>
          <w:lang w:eastAsia="zh-CN"/>
        </w:rPr>
      </w:pPr>
      <w:r>
        <w:rPr>
          <w:rFonts w:ascii="宋体" w:hAnsi="宋体" w:eastAsia="宋体" w:cs="宋体"/>
          <w:color w:val="auto"/>
          <w:spacing w:val="1"/>
          <w:sz w:val="35"/>
          <w:szCs w:val="35"/>
        </w:rPr>
        <w:t>项目名称：</w:t>
      </w:r>
      <w:r>
        <w:rPr>
          <w:rFonts w:hint="eastAsia" w:ascii="宋体" w:hAnsi="宋体" w:cs="宋体"/>
          <w:color w:val="auto"/>
          <w:spacing w:val="1"/>
          <w:sz w:val="35"/>
          <w:szCs w:val="35"/>
          <w:u w:val="single"/>
          <w:lang w:eastAsia="zh-CN"/>
        </w:rPr>
        <w:t>新疆鄯善县连木沁镇连木沁坎村北砂石料矿</w:t>
      </w:r>
    </w:p>
    <w:p>
      <w:pPr>
        <w:tabs>
          <w:tab w:val="left" w:pos="8589"/>
        </w:tabs>
        <w:spacing w:before="113" w:line="296" w:lineRule="auto"/>
        <w:jc w:val="both"/>
        <w:rPr>
          <w:rFonts w:ascii="宋体" w:hAnsi="宋体" w:eastAsia="宋体" w:cs="宋体"/>
          <w:color w:val="auto"/>
          <w:sz w:val="28"/>
          <w:szCs w:val="28"/>
        </w:rPr>
      </w:pPr>
      <w:r>
        <w:rPr>
          <w:rFonts w:ascii="宋体" w:hAnsi="宋体" w:eastAsia="宋体" w:cs="宋体"/>
          <w:color w:val="auto"/>
          <w:spacing w:val="1"/>
          <w:sz w:val="35"/>
          <w:szCs w:val="35"/>
        </w:rPr>
        <w:t>建设</w:t>
      </w:r>
      <w:r>
        <w:rPr>
          <w:rFonts w:hint="eastAsia" w:ascii="宋体" w:hAnsi="宋体" w:eastAsia="宋体" w:cs="宋体"/>
          <w:color w:val="auto"/>
          <w:spacing w:val="1"/>
          <w:sz w:val="35"/>
          <w:szCs w:val="35"/>
          <w:lang w:val="en-US" w:eastAsia="zh-CN"/>
        </w:rPr>
        <w:t>单位</w:t>
      </w:r>
      <w:r>
        <w:rPr>
          <w:rFonts w:ascii="宋体" w:hAnsi="宋体" w:eastAsia="宋体" w:cs="宋体"/>
          <w:color w:val="auto"/>
          <w:spacing w:val="1"/>
          <w:sz w:val="35"/>
          <w:szCs w:val="35"/>
        </w:rPr>
        <w:t>（盖章</w:t>
      </w:r>
      <w:r>
        <w:rPr>
          <w:rFonts w:ascii="宋体" w:hAnsi="宋体" w:eastAsia="宋体" w:cs="宋体"/>
          <w:color w:val="auto"/>
          <w:spacing w:val="25"/>
          <w:sz w:val="35"/>
          <w:szCs w:val="35"/>
        </w:rPr>
        <w:t>）：</w:t>
      </w:r>
      <w:r>
        <w:rPr>
          <w:rFonts w:hint="default" w:ascii="宋体" w:hAnsi="宋体" w:eastAsia="宋体" w:cs="宋体"/>
          <w:color w:val="auto"/>
          <w:spacing w:val="25"/>
          <w:sz w:val="35"/>
          <w:szCs w:val="35"/>
          <w:u w:val="single"/>
          <w:lang w:eastAsia="zh-CN"/>
        </w:rPr>
        <w:t>鄯善县泰航矿业有限公司</w:t>
      </w:r>
    </w:p>
    <w:p>
      <w:pPr>
        <w:tabs>
          <w:tab w:val="left" w:pos="8589"/>
        </w:tabs>
        <w:spacing w:before="113" w:line="296" w:lineRule="auto"/>
        <w:jc w:val="both"/>
        <w:rPr>
          <w:rFonts w:ascii="宋体" w:hAnsi="宋体" w:eastAsia="宋体" w:cs="宋体"/>
          <w:color w:val="auto"/>
          <w:spacing w:val="1"/>
          <w:sz w:val="35"/>
          <w:szCs w:val="35"/>
        </w:rPr>
      </w:pPr>
      <w:r>
        <w:rPr>
          <w:rFonts w:ascii="宋体" w:hAnsi="宋体" w:eastAsia="宋体" w:cs="宋体"/>
          <w:color w:val="auto"/>
          <w:spacing w:val="1"/>
          <w:sz w:val="35"/>
          <w:szCs w:val="35"/>
        </w:rPr>
        <w:t>编制日期：</w:t>
      </w:r>
      <w:r>
        <w:rPr>
          <w:rFonts w:ascii="宋体" w:hAnsi="宋体" w:eastAsia="宋体" w:cs="宋体"/>
          <w:color w:val="auto"/>
          <w:spacing w:val="1"/>
          <w:sz w:val="35"/>
          <w:szCs w:val="35"/>
          <w:u w:val="single"/>
        </w:rPr>
        <w:t xml:space="preserve">            202</w:t>
      </w:r>
      <w:r>
        <w:rPr>
          <w:rFonts w:hint="eastAsia" w:ascii="宋体" w:hAnsi="宋体" w:eastAsia="宋体" w:cs="宋体"/>
          <w:color w:val="auto"/>
          <w:spacing w:val="1"/>
          <w:sz w:val="35"/>
          <w:szCs w:val="35"/>
          <w:u w:val="single"/>
          <w:lang w:val="en-US" w:eastAsia="zh-CN"/>
        </w:rPr>
        <w:t>4</w:t>
      </w:r>
      <w:r>
        <w:rPr>
          <w:rFonts w:ascii="宋体" w:hAnsi="宋体" w:eastAsia="宋体" w:cs="宋体"/>
          <w:color w:val="auto"/>
          <w:spacing w:val="1"/>
          <w:sz w:val="35"/>
          <w:szCs w:val="35"/>
          <w:u w:val="single"/>
        </w:rPr>
        <w:t>年</w:t>
      </w:r>
      <w:r>
        <w:rPr>
          <w:rFonts w:hint="eastAsia" w:ascii="宋体" w:hAnsi="宋体" w:cs="宋体"/>
          <w:color w:val="auto"/>
          <w:spacing w:val="1"/>
          <w:sz w:val="35"/>
          <w:szCs w:val="35"/>
          <w:u w:val="single"/>
          <w:lang w:val="en-US" w:eastAsia="zh-CN"/>
        </w:rPr>
        <w:t>4</w:t>
      </w:r>
      <w:r>
        <w:rPr>
          <w:rFonts w:ascii="宋体" w:hAnsi="宋体" w:eastAsia="宋体" w:cs="宋体"/>
          <w:color w:val="auto"/>
          <w:spacing w:val="1"/>
          <w:sz w:val="35"/>
          <w:szCs w:val="35"/>
          <w:u w:val="single"/>
        </w:rPr>
        <w:t xml:space="preserve">月  </w:t>
      </w:r>
      <w:r>
        <w:rPr>
          <w:rFonts w:hint="eastAsia" w:ascii="宋体" w:hAnsi="宋体" w:eastAsia="宋体" w:cs="宋体"/>
          <w:color w:val="auto"/>
          <w:spacing w:val="1"/>
          <w:sz w:val="35"/>
          <w:szCs w:val="35"/>
          <w:u w:val="single"/>
          <w:lang w:val="en-US" w:eastAsia="zh-CN"/>
        </w:rPr>
        <w:t xml:space="preserve">         </w:t>
      </w:r>
      <w:r>
        <w:rPr>
          <w:rFonts w:ascii="宋体" w:hAnsi="宋体" w:eastAsia="宋体" w:cs="宋体"/>
          <w:color w:val="auto"/>
          <w:spacing w:val="1"/>
          <w:sz w:val="35"/>
          <w:szCs w:val="35"/>
        </w:rPr>
        <w:t xml:space="preserve">               </w:t>
      </w:r>
    </w:p>
    <w:p>
      <w:pPr>
        <w:pStyle w:val="9"/>
        <w:spacing w:line="254" w:lineRule="auto"/>
        <w:rPr>
          <w:color w:val="auto"/>
        </w:rPr>
      </w:pPr>
    </w:p>
    <w:p>
      <w:pPr>
        <w:pStyle w:val="9"/>
        <w:spacing w:line="254" w:lineRule="auto"/>
        <w:rPr>
          <w:color w:val="auto"/>
        </w:rPr>
      </w:pPr>
    </w:p>
    <w:p>
      <w:pPr>
        <w:pStyle w:val="9"/>
        <w:spacing w:line="254" w:lineRule="auto"/>
        <w:rPr>
          <w:color w:val="auto"/>
        </w:rPr>
      </w:pPr>
    </w:p>
    <w:p>
      <w:pPr>
        <w:pStyle w:val="9"/>
        <w:spacing w:line="255" w:lineRule="auto"/>
        <w:ind w:left="0" w:leftChars="0" w:firstLine="0" w:firstLineChars="0"/>
        <w:rPr>
          <w:rFonts w:hint="default" w:ascii="宋体" w:hAnsi="宋体" w:eastAsia="宋体" w:cs="宋体"/>
          <w:color w:val="auto"/>
          <w:spacing w:val="25"/>
          <w:kern w:val="2"/>
          <w:sz w:val="35"/>
          <w:szCs w:val="35"/>
          <w:u w:val="single"/>
          <w:lang w:val="en-US" w:eastAsia="zh-CN" w:bidi="ar-SA"/>
        </w:rPr>
      </w:pPr>
    </w:p>
    <w:p>
      <w:pPr>
        <w:spacing w:before="114" w:line="225" w:lineRule="auto"/>
        <w:ind w:left="1873"/>
        <w:rPr>
          <w:rFonts w:hint="default" w:ascii="宋体" w:hAnsi="宋体" w:eastAsia="宋体" w:cs="宋体"/>
          <w:color w:val="auto"/>
          <w:spacing w:val="25"/>
          <w:kern w:val="2"/>
          <w:sz w:val="35"/>
          <w:szCs w:val="35"/>
          <w:u w:val="none"/>
          <w:lang w:val="en-US" w:eastAsia="zh-CN" w:bidi="ar-SA"/>
        </w:rPr>
      </w:pPr>
      <w:r>
        <w:rPr>
          <w:rFonts w:hint="default" w:ascii="宋体" w:hAnsi="宋体" w:eastAsia="宋体" w:cs="宋体"/>
          <w:color w:val="auto"/>
          <w:spacing w:val="25"/>
          <w:kern w:val="2"/>
          <w:sz w:val="35"/>
          <w:szCs w:val="35"/>
          <w:u w:val="none"/>
          <w:lang w:val="en-US" w:eastAsia="zh-CN" w:bidi="ar-SA"/>
        </w:rPr>
        <w:t>中华人民共和国生态环境部制</w:t>
      </w:r>
    </w:p>
    <w:p>
      <w:pPr>
        <w:spacing w:line="225" w:lineRule="auto"/>
        <w:rPr>
          <w:rFonts w:hint="default" w:ascii="宋体" w:hAnsi="宋体" w:eastAsia="宋体" w:cs="宋体"/>
          <w:color w:val="auto"/>
          <w:spacing w:val="25"/>
          <w:kern w:val="2"/>
          <w:sz w:val="35"/>
          <w:szCs w:val="35"/>
          <w:u w:val="single"/>
          <w:lang w:val="en-US" w:eastAsia="zh-CN" w:bidi="ar-SA"/>
        </w:rPr>
        <w:sectPr>
          <w:footerReference r:id="rId5" w:type="default"/>
          <w:pgSz w:w="11906" w:h="16839"/>
          <w:pgMar w:top="1431" w:right="1530" w:bottom="1240" w:left="1785" w:header="0" w:footer="1078" w:gutter="0"/>
          <w:cols w:space="720" w:num="1"/>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sectPr>
          <w:headerReference r:id="rId6" w:type="default"/>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7" w:hRule="atLeast"/>
          <w:jc w:val="center"/>
        </w:trPr>
        <w:tc>
          <w:tcPr>
            <w:tcW w:w="4258" w:type="dxa"/>
            <w:noWrap w:val="0"/>
            <w:vAlign w:val="top"/>
          </w:tcPr>
          <w:p>
            <w:pPr>
              <w:tabs>
                <w:tab w:val="left" w:pos="1440"/>
              </w:tabs>
              <w:spacing w:line="240" w:lineRule="auto"/>
              <w:ind w:firstLine="0" w:firstLineChars="0"/>
              <w:rPr>
                <w:rFonts w:hint="default" w:ascii="Times New Roman" w:hAnsi="Times New Roman" w:eastAsia="仿宋" w:cs="Times New Roman"/>
                <w:b/>
                <w:color w:val="auto"/>
                <w:szCs w:val="28"/>
                <w:shd w:val="clear" w:color="auto" w:fill="auto"/>
              </w:rPr>
            </w:pPr>
            <w:r>
              <w:rPr>
                <w:color w:val="auto"/>
                <w:position w:val="-123"/>
              </w:rPr>
              <w:drawing>
                <wp:anchor distT="0" distB="0" distL="114300" distR="114300" simplePos="0" relativeHeight="251675648" behindDoc="1" locked="0" layoutInCell="1" allowOverlap="1">
                  <wp:simplePos x="0" y="0"/>
                  <wp:positionH relativeFrom="column">
                    <wp:posOffset>-11430</wp:posOffset>
                  </wp:positionH>
                  <wp:positionV relativeFrom="paragraph">
                    <wp:posOffset>97155</wp:posOffset>
                  </wp:positionV>
                  <wp:extent cx="2635250" cy="2236470"/>
                  <wp:effectExtent l="0" t="0" r="12700" b="11430"/>
                  <wp:wrapNone/>
                  <wp:docPr id="6" name="图片 2"/>
                  <wp:cNvGraphicFramePr/>
                  <a:graphic xmlns:a="http://schemas.openxmlformats.org/drawingml/2006/main">
                    <a:graphicData uri="http://schemas.openxmlformats.org/drawingml/2006/picture">
                      <pic:pic xmlns:pic="http://schemas.openxmlformats.org/drawingml/2006/picture">
                        <pic:nvPicPr>
                          <pic:cNvPr id="6" name="图片 2"/>
                          <pic:cNvPicPr/>
                        </pic:nvPicPr>
                        <pic:blipFill>
                          <a:blip r:embed="rId13"/>
                          <a:srcRect r="23798"/>
                          <a:stretch>
                            <a:fillRect/>
                          </a:stretch>
                        </pic:blipFill>
                        <pic:spPr>
                          <a:xfrm>
                            <a:off x="0" y="0"/>
                            <a:ext cx="2635250" cy="2236470"/>
                          </a:xfrm>
                          <a:prstGeom prst="rect">
                            <a:avLst/>
                          </a:prstGeom>
                          <a:noFill/>
                          <a:ln>
                            <a:noFill/>
                          </a:ln>
                        </pic:spPr>
                      </pic:pic>
                    </a:graphicData>
                  </a:graphic>
                </wp:anchor>
              </w:drawing>
            </w:r>
          </w:p>
          <w:p>
            <w:pPr>
              <w:tabs>
                <w:tab w:val="left" w:pos="1440"/>
              </w:tabs>
              <w:spacing w:line="240" w:lineRule="auto"/>
              <w:ind w:firstLine="0" w:firstLineChars="0"/>
              <w:jc w:val="center"/>
              <w:rPr>
                <w:rFonts w:hint="default" w:ascii="Times New Roman" w:hAnsi="Times New Roman" w:eastAsia="仿宋" w:cs="Times New Roman"/>
                <w:b/>
                <w:color w:val="auto"/>
                <w:szCs w:val="28"/>
                <w:shd w:val="clear" w:color="auto" w:fill="auto"/>
                <w:lang w:eastAsia="zh-CN"/>
              </w:rPr>
            </w:pPr>
          </w:p>
          <w:p>
            <w:pPr>
              <w:keepNext w:val="0"/>
              <w:keepLines w:val="0"/>
              <w:pageBreakBefore w:val="0"/>
              <w:widowControl w:val="0"/>
              <w:tabs>
                <w:tab w:val="left" w:pos="144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color w:val="auto"/>
                <w:szCs w:val="28"/>
                <w:shd w:val="clear" w:color="auto" w:fill="auto"/>
                <w:lang w:val="en-US" w:eastAsia="zh-CN"/>
              </w:rPr>
            </w:pPr>
          </w:p>
        </w:tc>
        <w:tc>
          <w:tcPr>
            <w:tcW w:w="4258" w:type="dxa"/>
            <w:noWrap w:val="0"/>
            <w:vAlign w:val="top"/>
          </w:tcPr>
          <w:p>
            <w:pPr>
              <w:tabs>
                <w:tab w:val="left" w:pos="1440"/>
              </w:tabs>
              <w:spacing w:line="240" w:lineRule="auto"/>
              <w:ind w:firstLine="0" w:firstLineChars="0"/>
              <w:jc w:val="both"/>
              <w:rPr>
                <w:rFonts w:hint="default" w:ascii="Times New Roman" w:hAnsi="Times New Roman" w:eastAsia="仿宋" w:cs="Times New Roman"/>
                <w:color w:val="auto"/>
                <w:lang w:eastAsia="zh-CN"/>
              </w:rPr>
            </w:pPr>
            <w:r>
              <w:rPr>
                <w:color w:val="auto"/>
                <w:position w:val="-124"/>
              </w:rPr>
              <w:drawing>
                <wp:anchor distT="0" distB="0" distL="114300" distR="114300" simplePos="0" relativeHeight="251677696" behindDoc="0" locked="0" layoutInCell="1" allowOverlap="1">
                  <wp:simplePos x="0" y="0"/>
                  <wp:positionH relativeFrom="column">
                    <wp:posOffset>-12065</wp:posOffset>
                  </wp:positionH>
                  <wp:positionV relativeFrom="paragraph">
                    <wp:posOffset>111760</wp:posOffset>
                  </wp:positionV>
                  <wp:extent cx="2610485" cy="2200275"/>
                  <wp:effectExtent l="0" t="0" r="18415" b="9525"/>
                  <wp:wrapNone/>
                  <wp:docPr id="7" name="图片 3"/>
                  <wp:cNvGraphicFramePr/>
                  <a:graphic xmlns:a="http://schemas.openxmlformats.org/drawingml/2006/main">
                    <a:graphicData uri="http://schemas.openxmlformats.org/drawingml/2006/picture">
                      <pic:pic xmlns:pic="http://schemas.openxmlformats.org/drawingml/2006/picture">
                        <pic:nvPicPr>
                          <pic:cNvPr id="7" name="图片 3"/>
                          <pic:cNvPicPr/>
                        </pic:nvPicPr>
                        <pic:blipFill>
                          <a:blip r:embed="rId14"/>
                          <a:srcRect r="26863"/>
                          <a:stretch>
                            <a:fillRect/>
                          </a:stretch>
                        </pic:blipFill>
                        <pic:spPr>
                          <a:xfrm>
                            <a:off x="0" y="0"/>
                            <a:ext cx="2610485" cy="2200275"/>
                          </a:xfrm>
                          <a:prstGeom prst="rect">
                            <a:avLst/>
                          </a:prstGeom>
                          <a:noFill/>
                          <a:ln>
                            <a:noFill/>
                          </a:ln>
                        </pic:spPr>
                      </pic:pic>
                    </a:graphicData>
                  </a:graphic>
                </wp:anchor>
              </w:drawing>
            </w:r>
          </w:p>
          <w:p>
            <w:pPr>
              <w:pStyle w:val="34"/>
              <w:rPr>
                <w:rFonts w:hint="default" w:ascii="Times New Roman" w:hAnsi="Times New Roman" w:eastAsia="仿宋" w:cs="Times New Roman"/>
                <w:color w:val="auto"/>
                <w:lang w:eastAsia="zh-CN"/>
              </w:rPr>
            </w:pPr>
          </w:p>
          <w:p>
            <w:pPr>
              <w:pStyle w:val="34"/>
              <w:jc w:val="center"/>
              <w:rPr>
                <w:rFonts w:hint="default" w:ascii="Times New Roman" w:hAnsi="Times New Roman" w:eastAsia="仿宋"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258" w:type="dxa"/>
            <w:noWrap w:val="0"/>
            <w:vAlign w:val="top"/>
          </w:tcPr>
          <w:p>
            <w:pPr>
              <w:keepNext w:val="0"/>
              <w:keepLines w:val="0"/>
              <w:pageBreakBefore w:val="0"/>
              <w:widowControl w:val="0"/>
              <w:tabs>
                <w:tab w:val="left" w:pos="144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color w:val="auto"/>
                <w:szCs w:val="28"/>
                <w:lang w:val="en-US" w:eastAsia="zh-CN"/>
              </w:rPr>
            </w:pPr>
            <w:r>
              <w:rPr>
                <w:rFonts w:hint="eastAsia" w:ascii="Times New Roman" w:hAnsi="Times New Roman" w:eastAsia="仿宋" w:cs="Times New Roman"/>
                <w:b/>
                <w:color w:val="auto"/>
                <w:szCs w:val="28"/>
                <w:lang w:val="en-US" w:eastAsia="zh-CN"/>
              </w:rPr>
              <w:t>项目区东侧</w:t>
            </w:r>
          </w:p>
        </w:tc>
        <w:tc>
          <w:tcPr>
            <w:tcW w:w="4258" w:type="dxa"/>
            <w:noWrap w:val="0"/>
            <w:vAlign w:val="top"/>
          </w:tcPr>
          <w:p>
            <w:pPr>
              <w:keepNext w:val="0"/>
              <w:keepLines w:val="0"/>
              <w:pageBreakBefore w:val="0"/>
              <w:widowControl w:val="0"/>
              <w:tabs>
                <w:tab w:val="left" w:pos="144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color w:val="auto"/>
                <w:szCs w:val="28"/>
                <w:lang w:val="en-US" w:eastAsia="zh-CN"/>
              </w:rPr>
            </w:pPr>
            <w:r>
              <w:rPr>
                <w:rFonts w:hint="eastAsia" w:ascii="Times New Roman" w:hAnsi="Times New Roman" w:eastAsia="仿宋" w:cs="Times New Roman"/>
                <w:b/>
                <w:color w:val="auto"/>
                <w:szCs w:val="28"/>
                <w:lang w:val="en-US" w:eastAsia="zh-CN"/>
              </w:rPr>
              <w:t>项目区南侧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4258" w:type="dxa"/>
            <w:noWrap w:val="0"/>
            <w:vAlign w:val="top"/>
          </w:tcPr>
          <w:p>
            <w:pPr>
              <w:pStyle w:val="34"/>
              <w:jc w:val="center"/>
              <w:rPr>
                <w:rFonts w:hint="default" w:ascii="Times New Roman" w:hAnsi="Times New Roman" w:eastAsia="仿宋" w:cs="Times New Roman"/>
                <w:b/>
                <w:color w:val="auto"/>
                <w:szCs w:val="28"/>
                <w:lang w:val="en-US" w:eastAsia="zh-CN"/>
              </w:rPr>
            </w:pPr>
            <w:r>
              <w:rPr>
                <w:color w:val="auto"/>
                <w:position w:val="-122"/>
              </w:rPr>
              <w:drawing>
                <wp:inline distT="0" distB="0" distL="114300" distR="114300">
                  <wp:extent cx="2576195" cy="2284730"/>
                  <wp:effectExtent l="0" t="0" r="14605" b="1270"/>
                  <wp:docPr id="22" name="图片 1"/>
                  <wp:cNvGraphicFramePr/>
                  <a:graphic xmlns:a="http://schemas.openxmlformats.org/drawingml/2006/main">
                    <a:graphicData uri="http://schemas.openxmlformats.org/drawingml/2006/picture">
                      <pic:pic xmlns:pic="http://schemas.openxmlformats.org/drawingml/2006/picture">
                        <pic:nvPicPr>
                          <pic:cNvPr id="22" name="图片 1"/>
                          <pic:cNvPicPr/>
                        </pic:nvPicPr>
                        <pic:blipFill>
                          <a:blip r:embed="rId15"/>
                          <a:srcRect r="35378"/>
                          <a:stretch>
                            <a:fillRect/>
                          </a:stretch>
                        </pic:blipFill>
                        <pic:spPr>
                          <a:xfrm>
                            <a:off x="0" y="0"/>
                            <a:ext cx="2576195" cy="2284730"/>
                          </a:xfrm>
                          <a:prstGeom prst="rect">
                            <a:avLst/>
                          </a:prstGeom>
                          <a:noFill/>
                          <a:ln>
                            <a:noFill/>
                          </a:ln>
                        </pic:spPr>
                      </pic:pic>
                    </a:graphicData>
                  </a:graphic>
                </wp:inline>
              </w:drawing>
            </w:r>
          </w:p>
        </w:tc>
        <w:tc>
          <w:tcPr>
            <w:tcW w:w="4258" w:type="dxa"/>
            <w:noWrap w:val="0"/>
            <w:vAlign w:val="top"/>
          </w:tcPr>
          <w:p>
            <w:pPr>
              <w:pStyle w:val="34"/>
              <w:jc w:val="center"/>
              <w:rPr>
                <w:rFonts w:hint="default" w:ascii="Times New Roman" w:hAnsi="Times New Roman" w:eastAsia="仿宋" w:cs="Times New Roman"/>
                <w:color w:val="auto"/>
                <w:lang w:val="en-US" w:eastAsia="zh-CN"/>
              </w:rPr>
            </w:pPr>
            <w:r>
              <w:rPr>
                <w:color w:val="auto"/>
                <w:position w:val="-121"/>
              </w:rPr>
              <w:drawing>
                <wp:inline distT="0" distB="0" distL="114300" distR="114300">
                  <wp:extent cx="2586990" cy="2272030"/>
                  <wp:effectExtent l="0" t="0" r="3810" b="13970"/>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16"/>
                          <a:srcRect r="9528"/>
                          <a:stretch>
                            <a:fillRect/>
                          </a:stretch>
                        </pic:blipFill>
                        <pic:spPr>
                          <a:xfrm>
                            <a:off x="0" y="0"/>
                            <a:ext cx="2586990" cy="22720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425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color w:val="auto"/>
                <w:szCs w:val="28"/>
                <w:lang w:val="en-US" w:eastAsia="zh-CN"/>
              </w:rPr>
            </w:pPr>
            <w:r>
              <w:rPr>
                <w:rFonts w:hint="eastAsia" w:ascii="Times New Roman" w:hAnsi="Times New Roman" w:eastAsia="仿宋" w:cs="Times New Roman"/>
                <w:b/>
                <w:color w:val="auto"/>
                <w:szCs w:val="28"/>
                <w:lang w:val="en-US" w:eastAsia="zh-CN"/>
              </w:rPr>
              <w:t>项目区西侧</w:t>
            </w:r>
          </w:p>
        </w:tc>
        <w:tc>
          <w:tcPr>
            <w:tcW w:w="425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lang w:val="en-US" w:eastAsia="zh-CN"/>
              </w:rPr>
            </w:pPr>
            <w:r>
              <w:rPr>
                <w:rFonts w:hint="eastAsia" w:ascii="Times New Roman" w:hAnsi="Times New Roman" w:eastAsia="仿宋" w:cs="Times New Roman"/>
                <w:b/>
                <w:color w:val="auto"/>
                <w:szCs w:val="28"/>
                <w:lang w:val="en-US" w:eastAsia="zh-CN"/>
              </w:rPr>
              <w:t>项目区北侧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4258" w:type="dxa"/>
            <w:noWrap w:val="0"/>
            <w:vAlign w:val="top"/>
          </w:tcPr>
          <w:p>
            <w:pPr>
              <w:pStyle w:val="34"/>
              <w:jc w:val="center"/>
              <w:rPr>
                <w:rFonts w:hint="default" w:ascii="Times New Roman" w:hAnsi="Times New Roman" w:eastAsia="仿宋" w:cs="Times New Roman"/>
                <w:b/>
                <w:color w:val="auto"/>
                <w:szCs w:val="28"/>
                <w:lang w:val="en-US" w:eastAsia="zh-CN"/>
              </w:rPr>
            </w:pPr>
            <w:r>
              <w:rPr>
                <w:color w:val="auto"/>
                <w:position w:val="-123"/>
              </w:rPr>
              <w:drawing>
                <wp:inline distT="0" distB="0" distL="114300" distR="114300">
                  <wp:extent cx="2576195" cy="2393950"/>
                  <wp:effectExtent l="0" t="0" r="14605" b="6350"/>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17"/>
                          <a:srcRect r="21468"/>
                          <a:stretch>
                            <a:fillRect/>
                          </a:stretch>
                        </pic:blipFill>
                        <pic:spPr>
                          <a:xfrm>
                            <a:off x="0" y="0"/>
                            <a:ext cx="2576195" cy="2393950"/>
                          </a:xfrm>
                          <a:prstGeom prst="rect">
                            <a:avLst/>
                          </a:prstGeom>
                          <a:noFill/>
                          <a:ln>
                            <a:noFill/>
                          </a:ln>
                        </pic:spPr>
                      </pic:pic>
                    </a:graphicData>
                  </a:graphic>
                </wp:inline>
              </w:drawing>
            </w:r>
          </w:p>
        </w:tc>
        <w:tc>
          <w:tcPr>
            <w:tcW w:w="4258" w:type="dxa"/>
            <w:noWrap w:val="0"/>
            <w:vAlign w:val="top"/>
          </w:tcPr>
          <w:p>
            <w:pPr>
              <w:pStyle w:val="34"/>
              <w:jc w:val="center"/>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drawing>
                <wp:inline distT="0" distB="0" distL="114300" distR="114300">
                  <wp:extent cx="2185670" cy="2914650"/>
                  <wp:effectExtent l="0" t="0" r="5080" b="0"/>
                  <wp:docPr id="23" name="图片 23" descr="IMG_20240330_17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0240330_173900"/>
                          <pic:cNvPicPr>
                            <a:picLocks noChangeAspect="1"/>
                          </pic:cNvPicPr>
                        </pic:nvPicPr>
                        <pic:blipFill>
                          <a:blip r:embed="rId18"/>
                          <a:stretch>
                            <a:fillRect/>
                          </a:stretch>
                        </pic:blipFill>
                        <pic:spPr>
                          <a:xfrm>
                            <a:off x="0" y="0"/>
                            <a:ext cx="2185670" cy="29146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258" w:type="dxa"/>
            <w:noWrap w:val="0"/>
            <w:vAlign w:val="top"/>
          </w:tcPr>
          <w:p>
            <w:pPr>
              <w:jc w:val="center"/>
              <w:rPr>
                <w:rFonts w:hint="default" w:ascii="Times New Roman" w:hAnsi="Times New Roman" w:eastAsia="仿宋" w:cs="Times New Roman"/>
                <w:b/>
                <w:color w:val="auto"/>
                <w:szCs w:val="28"/>
                <w:lang w:val="en-US" w:eastAsia="zh-CN"/>
              </w:rPr>
            </w:pPr>
            <w:r>
              <w:rPr>
                <w:rFonts w:hint="eastAsia" w:ascii="Times New Roman" w:hAnsi="Times New Roman" w:eastAsia="仿宋" w:cs="Times New Roman"/>
                <w:b/>
                <w:color w:val="auto"/>
                <w:szCs w:val="28"/>
                <w:lang w:val="en-US" w:eastAsia="zh-CN"/>
              </w:rPr>
              <w:t>项目区现状</w:t>
            </w:r>
          </w:p>
        </w:tc>
        <w:tc>
          <w:tcPr>
            <w:tcW w:w="4258" w:type="dxa"/>
            <w:noWrap w:val="0"/>
            <w:vAlign w:val="top"/>
          </w:tcPr>
          <w:p>
            <w:pPr>
              <w:jc w:val="center"/>
              <w:rPr>
                <w:rFonts w:hint="default" w:ascii="Times New Roman" w:hAnsi="Times New Roman" w:eastAsia="仿宋" w:cs="Times New Roman"/>
                <w:color w:val="auto"/>
                <w:lang w:val="en-US" w:eastAsia="zh-CN"/>
              </w:rPr>
            </w:pPr>
            <w:r>
              <w:rPr>
                <w:rFonts w:hint="eastAsia" w:ascii="Times New Roman" w:hAnsi="Times New Roman" w:eastAsia="仿宋" w:cs="Times New Roman"/>
                <w:b/>
                <w:color w:val="auto"/>
                <w:szCs w:val="28"/>
                <w:lang w:val="en-US" w:eastAsia="zh-CN"/>
              </w:rPr>
              <w:t>项目区现状</w:t>
            </w:r>
          </w:p>
        </w:tc>
      </w:tr>
    </w:tbl>
    <w:p>
      <w:pPr>
        <w:pStyle w:val="9"/>
        <w:jc w:val="center"/>
        <w:rPr>
          <w:rFonts w:hint="default" w:ascii="Times New Roman" w:hAnsi="Times New Roman" w:eastAsia="仿宋" w:cs="Times New Roman"/>
          <w:color w:val="auto"/>
        </w:rPr>
      </w:pPr>
    </w:p>
    <w:p>
      <w:pPr>
        <w:rPr>
          <w:color w:val="auto"/>
        </w:rPr>
        <w:sectPr>
          <w:footerReference r:id="rId8" w:type="default"/>
          <w:pgSz w:w="11906" w:h="16838"/>
          <w:pgMar w:top="1440" w:right="1800" w:bottom="1440" w:left="1800" w:header="851" w:footer="992" w:gutter="0"/>
          <w:cols w:space="720" w:num="1"/>
          <w:docGrid w:type="lines" w:linePitch="312" w:charSpace="0"/>
        </w:sectPr>
      </w:pPr>
      <w:r>
        <w:rPr>
          <w:rFonts w:hint="default" w:ascii="Times New Roman" w:hAnsi="Times New Roman" w:eastAsia="仿宋" w:cs="Times New Roman"/>
          <w:color w:val="auto"/>
          <w:sz w:val="21"/>
        </w:rPr>
        <mc:AlternateContent>
          <mc:Choice Requires="wps">
            <w:drawing>
              <wp:anchor distT="0" distB="0" distL="114300" distR="114300" simplePos="0" relativeHeight="251676672" behindDoc="0" locked="0" layoutInCell="1" allowOverlap="1">
                <wp:simplePos x="0" y="0"/>
                <wp:positionH relativeFrom="column">
                  <wp:posOffset>813435</wp:posOffset>
                </wp:positionH>
                <wp:positionV relativeFrom="paragraph">
                  <wp:posOffset>-247650</wp:posOffset>
                </wp:positionV>
                <wp:extent cx="3770630" cy="424815"/>
                <wp:effectExtent l="0" t="0" r="0" b="0"/>
                <wp:wrapNone/>
                <wp:docPr id="51" name="文本框 51"/>
                <wp:cNvGraphicFramePr/>
                <a:graphic xmlns:a="http://schemas.openxmlformats.org/drawingml/2006/main">
                  <a:graphicData uri="http://schemas.microsoft.com/office/word/2010/wordprocessingShape">
                    <wps:wsp>
                      <wps:cNvSpPr txBox="1"/>
                      <wps:spPr>
                        <a:xfrm>
                          <a:off x="1192530" y="8201025"/>
                          <a:ext cx="3770630" cy="424815"/>
                        </a:xfrm>
                        <a:prstGeom prst="rect">
                          <a:avLst/>
                        </a:prstGeom>
                        <a:noFill/>
                        <a:ln w="6350">
                          <a:noFill/>
                        </a:ln>
                        <a:effectLst/>
                      </wps:spPr>
                      <wps:txbx>
                        <w:txbxContent>
                          <w:p>
                            <w:pPr>
                              <w:jc w:val="center"/>
                              <w:rPr>
                                <w:highlight w:val="none"/>
                              </w:rPr>
                            </w:pPr>
                            <w:r>
                              <w:rPr>
                                <w:rFonts w:hint="eastAsia" w:ascii="宋体" w:hAnsi="宋体" w:eastAsia="宋体" w:cs="宋体"/>
                                <w:b/>
                                <w:bCs/>
                                <w:color w:val="auto"/>
                                <w:spacing w:val="0"/>
                                <w:position w:val="0"/>
                                <w:sz w:val="32"/>
                                <w:szCs w:val="32"/>
                                <w:highlight w:val="none"/>
                                <w:lang w:eastAsia="zh-CN"/>
                              </w:rPr>
                              <w:t>现场照</w:t>
                            </w:r>
                            <w:r>
                              <w:rPr>
                                <w:rFonts w:hint="eastAsia" w:ascii="宋体" w:hAnsi="宋体" w:eastAsia="宋体" w:cs="宋体"/>
                                <w:b/>
                                <w:bCs/>
                                <w:color w:val="auto"/>
                                <w:spacing w:val="0"/>
                                <w:position w:val="0"/>
                                <w:sz w:val="32"/>
                                <w:szCs w:val="32"/>
                                <w:highlight w:val="none"/>
                                <w:lang w:val="en-US" w:eastAsia="zh-CN"/>
                              </w:rPr>
                              <w:t>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05pt;margin-top:-19.5pt;height:33.45pt;width:296.9pt;z-index:251676672;mso-width-relative:page;mso-height-relative:page;" filled="f" stroked="f" coordsize="21600,21600" o:gfxdata="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lATofbAAAACgEAAA8A&#10;AAAAAAAAAQAgAAAAIgAAAGRycy9kb3ducmV2LnhtbFBLAQIUABQAAAAIAIdO4kC+VzSrTQIAAIIE&#10;AAAOAAAAAAAAAAEAIAAAACoBAABkcnMvZTJvRG9jLnhtbFBLBQYAAAAABgAGAFkBAADpBQAAAAA=&#10;">
                <v:fill on="f" focussize="0,0"/>
                <v:stroke on="f" weight="0.5pt"/>
                <v:imagedata o:title=""/>
                <o:lock v:ext="edit" aspectratio="f"/>
                <v:textbox>
                  <w:txbxContent>
                    <w:p>
                      <w:pPr>
                        <w:jc w:val="center"/>
                        <w:rPr>
                          <w:highlight w:val="none"/>
                        </w:rPr>
                      </w:pPr>
                      <w:r>
                        <w:rPr>
                          <w:rFonts w:hint="eastAsia" w:ascii="宋体" w:hAnsi="宋体" w:eastAsia="宋体" w:cs="宋体"/>
                          <w:b/>
                          <w:bCs/>
                          <w:color w:val="auto"/>
                          <w:spacing w:val="0"/>
                          <w:position w:val="0"/>
                          <w:sz w:val="32"/>
                          <w:szCs w:val="32"/>
                          <w:highlight w:val="none"/>
                          <w:lang w:eastAsia="zh-CN"/>
                        </w:rPr>
                        <w:t>现场照</w:t>
                      </w:r>
                      <w:r>
                        <w:rPr>
                          <w:rFonts w:hint="eastAsia" w:ascii="宋体" w:hAnsi="宋体" w:eastAsia="宋体" w:cs="宋体"/>
                          <w:b/>
                          <w:bCs/>
                          <w:color w:val="auto"/>
                          <w:spacing w:val="0"/>
                          <w:position w:val="0"/>
                          <w:sz w:val="32"/>
                          <w:szCs w:val="32"/>
                          <w:highlight w:val="none"/>
                          <w:lang w:val="en-US" w:eastAsia="zh-CN"/>
                        </w:rPr>
                        <w:t>片</w:t>
                      </w:r>
                    </w:p>
                  </w:txbxContent>
                </v:textbox>
              </v:shape>
            </w:pict>
          </mc:Fallback>
        </mc:AlternateContent>
      </w: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sectPr>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一、建设项目基本情况</w:t>
      </w:r>
    </w:p>
    <w:tbl>
      <w:tblPr>
        <w:tblStyle w:val="25"/>
        <w:tblW w:w="0" w:type="auto"/>
        <w:tblInd w:w="1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85"/>
        <w:gridCol w:w="2558"/>
        <w:gridCol w:w="2355"/>
        <w:gridCol w:w="8"/>
        <w:gridCol w:w="28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建设项目名称</w:t>
            </w:r>
          </w:p>
        </w:tc>
        <w:tc>
          <w:tcPr>
            <w:tcW w:w="7758" w:type="dxa"/>
            <w:gridSpan w:val="4"/>
            <w:vAlign w:val="center"/>
          </w:tcPr>
          <w:p>
            <w:pPr>
              <w:pStyle w:val="46"/>
              <w:spacing w:line="240" w:lineRule="auto"/>
              <w:ind w:firstLine="0" w:firstLineChars="0"/>
              <w:rPr>
                <w:rFonts w:hint="default" w:ascii="Times New Roman" w:hAnsi="Times New Roman" w:eastAsia="仿宋" w:cs="Times New Roman"/>
                <w:color w:val="auto"/>
                <w:kern w:val="2"/>
                <w:sz w:val="24"/>
                <w:szCs w:val="24"/>
                <w:highlight w:val="none"/>
                <w:lang w:eastAsia="zh-CN" w:bidi="ar-SA"/>
              </w:rPr>
            </w:pPr>
            <w:r>
              <w:rPr>
                <w:rFonts w:hint="eastAsia" w:ascii="Times New Roman" w:hAnsi="Times New Roman" w:eastAsia="仿宋" w:cs="Times New Roman"/>
                <w:color w:val="auto"/>
                <w:sz w:val="24"/>
                <w:szCs w:val="24"/>
                <w:highlight w:val="none"/>
                <w:lang w:eastAsia="zh-CN"/>
              </w:rPr>
              <w:t>新疆鄯善县连木沁镇连木沁坎村北砂石料矿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项目代码</w:t>
            </w:r>
          </w:p>
        </w:tc>
        <w:tc>
          <w:tcPr>
            <w:tcW w:w="7758" w:type="dxa"/>
            <w:gridSpan w:val="4"/>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建设单位联系人</w:t>
            </w:r>
          </w:p>
        </w:tc>
        <w:tc>
          <w:tcPr>
            <w:tcW w:w="2558"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p>
        </w:tc>
        <w:tc>
          <w:tcPr>
            <w:tcW w:w="2363"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联系方式</w:t>
            </w:r>
          </w:p>
        </w:tc>
        <w:tc>
          <w:tcPr>
            <w:tcW w:w="2837"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 w:val="24"/>
                <w:szCs w:val="24"/>
                <w:lang w:val="zh-CN" w:bidi="zh-CN"/>
              </w:rPr>
            </w:pPr>
            <w:r>
              <w:rPr>
                <w:rFonts w:hint="default" w:ascii="Times New Roman" w:hAnsi="Times New Roman" w:eastAsia="仿宋" w:cs="Times New Roman"/>
                <w:color w:val="auto"/>
                <w:sz w:val="24"/>
                <w:szCs w:val="24"/>
                <w:lang w:val="zh-CN"/>
              </w:rPr>
              <w:t>建设地点</w:t>
            </w:r>
          </w:p>
        </w:tc>
        <w:tc>
          <w:tcPr>
            <w:tcW w:w="7758" w:type="dxa"/>
            <w:gridSpan w:val="4"/>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地理坐标</w:t>
            </w:r>
          </w:p>
        </w:tc>
        <w:tc>
          <w:tcPr>
            <w:tcW w:w="7758" w:type="dxa"/>
            <w:gridSpan w:val="4"/>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建设项目</w:t>
            </w:r>
          </w:p>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行业类别</w:t>
            </w:r>
          </w:p>
        </w:tc>
        <w:tc>
          <w:tcPr>
            <w:tcW w:w="2558" w:type="dxa"/>
            <w:vAlign w:val="center"/>
          </w:tcPr>
          <w:p>
            <w:pPr>
              <w:pStyle w:val="46"/>
              <w:spacing w:before="2" w:line="240" w:lineRule="auto"/>
              <w:ind w:right="211" w:firstLine="0" w:firstLineChars="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八、非金属矿采选业，11、土砂石开采（101）（不含河道采砂项目）</w:t>
            </w:r>
          </w:p>
        </w:tc>
        <w:tc>
          <w:tcPr>
            <w:tcW w:w="2355"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用地（用海）面积（m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rPr>
              <w:t>）/长度（km）</w:t>
            </w:r>
          </w:p>
        </w:tc>
        <w:tc>
          <w:tcPr>
            <w:tcW w:w="2845"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63200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建设性质</w:t>
            </w:r>
          </w:p>
        </w:tc>
        <w:tc>
          <w:tcPr>
            <w:tcW w:w="2558" w:type="dxa"/>
            <w:vAlign w:val="center"/>
          </w:tcPr>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sym w:font="Wingdings 2" w:char="0052"/>
            </w:r>
            <w:r>
              <w:rPr>
                <w:rFonts w:hint="default" w:ascii="Times New Roman" w:hAnsi="Times New Roman" w:eastAsia="仿宋" w:cs="Times New Roman"/>
                <w:color w:val="auto"/>
                <w:sz w:val="24"/>
                <w:szCs w:val="24"/>
              </w:rPr>
              <w:t>新建（迁建）</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□改建</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□扩建</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□技术改造</w:t>
            </w:r>
          </w:p>
        </w:tc>
        <w:tc>
          <w:tcPr>
            <w:tcW w:w="2355"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建设项目</w:t>
            </w:r>
          </w:p>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申报情形</w:t>
            </w:r>
          </w:p>
        </w:tc>
        <w:tc>
          <w:tcPr>
            <w:tcW w:w="2845" w:type="dxa"/>
            <w:gridSpan w:val="2"/>
            <w:vAlign w:val="center"/>
          </w:tcPr>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sym w:font="Wingdings 2" w:char="0052"/>
            </w:r>
            <w:r>
              <w:rPr>
                <w:rFonts w:hint="default" w:ascii="Times New Roman" w:hAnsi="Times New Roman" w:eastAsia="仿宋" w:cs="Times New Roman"/>
                <w:color w:val="auto"/>
                <w:sz w:val="24"/>
                <w:szCs w:val="24"/>
              </w:rPr>
              <w:t>首次申报项目</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□不予批准后再次申报项目</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□超五年重新审核项目</w:t>
            </w:r>
          </w:p>
          <w:p>
            <w:pPr>
              <w:adjustRightInd w:val="0"/>
              <w:snapToGrid w:val="0"/>
              <w:spacing w:line="240" w:lineRule="auto"/>
              <w:ind w:firstLine="0" w:firstLineChars="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项目审批（核准/备案）部门（选填）</w:t>
            </w:r>
          </w:p>
        </w:tc>
        <w:tc>
          <w:tcPr>
            <w:tcW w:w="2558"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w:t>
            </w:r>
          </w:p>
        </w:tc>
        <w:tc>
          <w:tcPr>
            <w:tcW w:w="2355"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项目审批（核准/</w:t>
            </w:r>
          </w:p>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备案）文号（选填）</w:t>
            </w:r>
          </w:p>
        </w:tc>
        <w:tc>
          <w:tcPr>
            <w:tcW w:w="2845"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rPr>
            </w:pPr>
            <w:r>
              <w:rPr>
                <w:rFonts w:hint="default" w:ascii="Times New Roman" w:hAnsi="Times New Roman" w:eastAsia="仿宋"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总投资（万元）</w:t>
            </w:r>
          </w:p>
        </w:tc>
        <w:tc>
          <w:tcPr>
            <w:tcW w:w="2558"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284.23</w:t>
            </w:r>
          </w:p>
        </w:tc>
        <w:tc>
          <w:tcPr>
            <w:tcW w:w="235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环保投资（万元）</w:t>
            </w:r>
          </w:p>
        </w:tc>
        <w:tc>
          <w:tcPr>
            <w:tcW w:w="2845"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31.85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环保投资占比（%）</w:t>
            </w:r>
          </w:p>
        </w:tc>
        <w:tc>
          <w:tcPr>
            <w:tcW w:w="2558"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11.21</w:t>
            </w:r>
            <w:r>
              <w:rPr>
                <w:rFonts w:hint="default" w:ascii="Times New Roman" w:hAnsi="Times New Roman" w:eastAsia="仿宋" w:cs="Times New Roman"/>
                <w:color w:val="auto"/>
                <w:sz w:val="24"/>
                <w:szCs w:val="24"/>
                <w:highlight w:val="none"/>
                <w:lang w:val="en-US" w:eastAsia="zh-CN"/>
              </w:rPr>
              <w:t>%</w:t>
            </w:r>
          </w:p>
        </w:tc>
        <w:tc>
          <w:tcPr>
            <w:tcW w:w="235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施工工期</w:t>
            </w:r>
          </w:p>
        </w:tc>
        <w:tc>
          <w:tcPr>
            <w:tcW w:w="2845"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是否开工建设</w:t>
            </w:r>
          </w:p>
        </w:tc>
        <w:tc>
          <w:tcPr>
            <w:tcW w:w="7758" w:type="dxa"/>
            <w:gridSpan w:val="4"/>
            <w:vAlign w:val="center"/>
          </w:tcPr>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sym w:font="Wingdings 2" w:char="0052"/>
            </w:r>
            <w:r>
              <w:rPr>
                <w:rFonts w:hint="default" w:ascii="Times New Roman" w:hAnsi="Times New Roman" w:eastAsia="仿宋" w:cs="Times New Roman"/>
                <w:color w:val="auto"/>
                <w:sz w:val="24"/>
                <w:szCs w:val="24"/>
              </w:rPr>
              <w:t>否</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专项评价设置情况</w:t>
            </w:r>
          </w:p>
        </w:tc>
        <w:tc>
          <w:tcPr>
            <w:tcW w:w="7758" w:type="dxa"/>
            <w:gridSpan w:val="4"/>
            <w:tcMar>
              <w:top w:w="16" w:type="dxa"/>
              <w:left w:w="16" w:type="dxa"/>
              <w:right w:w="16" w:type="dxa"/>
            </w:tcMar>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规划情况</w:t>
            </w:r>
          </w:p>
        </w:tc>
        <w:tc>
          <w:tcPr>
            <w:tcW w:w="7758" w:type="dxa"/>
            <w:gridSpan w:val="4"/>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《新疆维吾尔自治区矿产资源总体规划》（</w:t>
            </w:r>
            <w:r>
              <w:rPr>
                <w:rFonts w:hint="default" w:ascii="Times New Roman" w:hAnsi="Times New Roman" w:eastAsia="仿宋" w:cs="Times New Roman"/>
                <w:color w:val="auto"/>
                <w:sz w:val="24"/>
                <w:szCs w:val="24"/>
                <w:lang w:val="en-US" w:eastAsia="zh-CN"/>
              </w:rPr>
              <w:t>2021</w:t>
            </w:r>
            <w:r>
              <w:rPr>
                <w:rFonts w:hint="default" w:ascii="Times New Roman" w:hAnsi="Times New Roman" w:eastAsia="仿宋" w:cs="Times New Roman"/>
                <w:color w:val="auto"/>
                <w:sz w:val="24"/>
                <w:szCs w:val="24"/>
              </w:rPr>
              <w:t>-20</w:t>
            </w:r>
            <w:r>
              <w:rPr>
                <w:rFonts w:hint="default" w:ascii="Times New Roman" w:hAnsi="Times New Roman" w:eastAsia="仿宋" w:cs="Times New Roman"/>
                <w:color w:val="auto"/>
                <w:sz w:val="24"/>
                <w:szCs w:val="24"/>
                <w:lang w:val="en-US" w:eastAsia="zh-CN"/>
              </w:rPr>
              <w:t>25</w:t>
            </w:r>
            <w:r>
              <w:rPr>
                <w:rFonts w:hint="default" w:ascii="Times New Roman" w:hAnsi="Times New Roman" w:eastAsia="仿宋" w:cs="Times New Roman"/>
                <w:color w:val="auto"/>
                <w:sz w:val="24"/>
                <w:szCs w:val="24"/>
              </w:rPr>
              <w:t>年），自然资源部；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sz w:val="24"/>
                <w:szCs w:val="24"/>
              </w:rPr>
              <w:t>规划环境影响评价情况</w:t>
            </w:r>
          </w:p>
        </w:tc>
        <w:tc>
          <w:tcPr>
            <w:tcW w:w="7758" w:type="dxa"/>
            <w:gridSpan w:val="4"/>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lang w:val="en-US" w:eastAsia="zh-CN"/>
              </w:rPr>
            </w:pPr>
            <w:r>
              <w:rPr>
                <w:rFonts w:hint="eastAsia" w:eastAsia="仿宋" w:cs="Times New Roman"/>
                <w:color w:val="auto"/>
                <w:sz w:val="24"/>
                <w:szCs w:val="24"/>
                <w:lang w:val="en-US" w:eastAsia="zh-CN"/>
              </w:rPr>
              <w:t>《关于&lt;新疆维吾尔自治区矿产资源总体规划（2021-2025）环境影响报告书&gt;的审查意见》环审[2022]124号，2022年8月12日，生态环境部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规划及</w:t>
            </w:r>
            <w:r>
              <w:rPr>
                <w:rFonts w:hint="default" w:ascii="Times New Roman" w:hAnsi="Times New Roman" w:eastAsia="仿宋" w:cs="Times New Roman"/>
                <w:color w:val="auto"/>
                <w:sz w:val="24"/>
                <w:szCs w:val="24"/>
              </w:rPr>
              <w:t>规划环境影响评价</w:t>
            </w:r>
            <w:r>
              <w:rPr>
                <w:rFonts w:hint="default" w:ascii="Times New Roman" w:hAnsi="Times New Roman" w:eastAsia="仿宋" w:cs="Times New Roman"/>
                <w:color w:val="auto"/>
                <w:kern w:val="0"/>
                <w:sz w:val="24"/>
                <w:szCs w:val="24"/>
              </w:rPr>
              <w:t>符合性分析</w:t>
            </w:r>
          </w:p>
        </w:tc>
        <w:tc>
          <w:tcPr>
            <w:tcW w:w="7758" w:type="dxa"/>
            <w:gridSpan w:val="4"/>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0"/>
              <w:textAlignment w:val="auto"/>
              <w:rPr>
                <w:rFonts w:hint="default" w:ascii="Times New Roman" w:hAnsi="Times New Roman" w:eastAsia="仿宋" w:cs="Times New Roman"/>
                <w:bCs/>
                <w:color w:val="auto"/>
                <w:kern w:val="0"/>
                <w:sz w:val="24"/>
                <w:szCs w:val="24"/>
                <w:lang w:val="en-US" w:eastAsia="zh-CN"/>
              </w:rPr>
            </w:pPr>
            <w:r>
              <w:rPr>
                <w:rFonts w:hint="default" w:ascii="Times New Roman" w:hAnsi="Times New Roman" w:eastAsia="仿宋" w:cs="Times New Roman"/>
                <w:bCs/>
                <w:color w:val="auto"/>
                <w:kern w:val="0"/>
                <w:sz w:val="24"/>
                <w:szCs w:val="24"/>
              </w:rPr>
              <w:t>本项目</w:t>
            </w:r>
            <w:r>
              <w:rPr>
                <w:rFonts w:hint="default" w:ascii="Times New Roman" w:hAnsi="Times New Roman" w:eastAsia="仿宋" w:cs="Times New Roman"/>
                <w:bCs/>
                <w:color w:val="auto"/>
                <w:kern w:val="0"/>
                <w:sz w:val="24"/>
                <w:szCs w:val="24"/>
                <w:lang w:eastAsia="zh-CN"/>
              </w:rPr>
              <w:t>与</w:t>
            </w:r>
            <w:r>
              <w:rPr>
                <w:rFonts w:hint="default" w:ascii="Times New Roman" w:hAnsi="Times New Roman" w:eastAsia="仿宋" w:cs="Times New Roman"/>
                <w:bCs/>
                <w:color w:val="auto"/>
                <w:kern w:val="0"/>
                <w:sz w:val="24"/>
                <w:szCs w:val="24"/>
              </w:rPr>
              <w:t>《新疆维吾尔自治区矿产资源总体规划（20</w:t>
            </w:r>
            <w:r>
              <w:rPr>
                <w:rFonts w:hint="default" w:ascii="Times New Roman" w:hAnsi="Times New Roman" w:eastAsia="仿宋" w:cs="Times New Roman"/>
                <w:bCs/>
                <w:color w:val="auto"/>
                <w:kern w:val="0"/>
                <w:sz w:val="24"/>
                <w:szCs w:val="24"/>
                <w:lang w:val="en-US" w:eastAsia="zh-CN"/>
              </w:rPr>
              <w:t>21</w:t>
            </w:r>
            <w:r>
              <w:rPr>
                <w:rFonts w:hint="default" w:ascii="Times New Roman" w:hAnsi="Times New Roman" w:eastAsia="仿宋" w:cs="Times New Roman"/>
                <w:bCs/>
                <w:color w:val="auto"/>
                <w:kern w:val="0"/>
                <w:sz w:val="24"/>
                <w:szCs w:val="24"/>
              </w:rPr>
              <w:t>－202</w:t>
            </w:r>
            <w:r>
              <w:rPr>
                <w:rFonts w:hint="default" w:ascii="Times New Roman" w:hAnsi="Times New Roman" w:eastAsia="仿宋" w:cs="Times New Roman"/>
                <w:bCs/>
                <w:color w:val="auto"/>
                <w:kern w:val="0"/>
                <w:sz w:val="24"/>
                <w:szCs w:val="24"/>
                <w:lang w:val="en-US" w:eastAsia="zh-CN"/>
              </w:rPr>
              <w:t>5</w:t>
            </w:r>
            <w:r>
              <w:rPr>
                <w:rFonts w:hint="default" w:ascii="Times New Roman" w:hAnsi="Times New Roman" w:eastAsia="仿宋" w:cs="Times New Roman"/>
                <w:bCs/>
                <w:color w:val="auto"/>
                <w:kern w:val="0"/>
                <w:sz w:val="24"/>
                <w:szCs w:val="24"/>
              </w:rPr>
              <w:t>年）》</w:t>
            </w:r>
            <w:r>
              <w:rPr>
                <w:rFonts w:hint="default" w:ascii="Times New Roman" w:hAnsi="Times New Roman" w:eastAsia="仿宋" w:cs="Times New Roman"/>
                <w:bCs/>
                <w:color w:val="auto"/>
                <w:kern w:val="0"/>
                <w:sz w:val="24"/>
                <w:szCs w:val="24"/>
                <w:lang w:val="en-US" w:eastAsia="zh-CN"/>
              </w:rPr>
              <w:t>的</w:t>
            </w:r>
            <w:r>
              <w:rPr>
                <w:rFonts w:hint="default" w:ascii="Times New Roman" w:hAnsi="Times New Roman" w:eastAsia="仿宋" w:cs="Times New Roman"/>
                <w:bCs/>
                <w:color w:val="auto"/>
                <w:kern w:val="0"/>
                <w:sz w:val="24"/>
                <w:szCs w:val="24"/>
              </w:rPr>
              <w:t>符合性分析见表1-1</w:t>
            </w:r>
            <w:r>
              <w:rPr>
                <w:rFonts w:hint="default" w:ascii="Times New Roman" w:hAnsi="Times New Roman" w:eastAsia="仿宋" w:cs="Times New Roman"/>
                <w:bCs/>
                <w:color w:val="auto"/>
                <w:kern w:val="0"/>
                <w:sz w:val="24"/>
                <w:szCs w:val="24"/>
                <w:lang w:eastAsia="zh-CN"/>
              </w:rPr>
              <w:t>，</w:t>
            </w:r>
            <w:r>
              <w:rPr>
                <w:rFonts w:hint="default" w:ascii="Times New Roman" w:hAnsi="Times New Roman" w:eastAsia="仿宋" w:cs="Times New Roman"/>
                <w:bCs/>
                <w:color w:val="auto"/>
                <w:kern w:val="0"/>
                <w:sz w:val="24"/>
                <w:szCs w:val="24"/>
                <w:lang w:val="en-US" w:eastAsia="zh-CN"/>
              </w:rPr>
              <w:t>与《新疆维吾尔自治区矿产资源总体规划（2021-2025）环境影响报告书》的审查意见符合性分析</w:t>
            </w:r>
            <w:r>
              <w:rPr>
                <w:rFonts w:hint="default" w:ascii="Times New Roman" w:hAnsi="Times New Roman" w:eastAsia="仿宋" w:cs="Times New Roman"/>
                <w:color w:val="auto"/>
                <w:sz w:val="24"/>
                <w:szCs w:val="24"/>
                <w:lang w:val="en-US" w:eastAsia="zh-CN"/>
              </w:rPr>
              <w:t>见表1-2。</w:t>
            </w:r>
          </w:p>
          <w:p>
            <w:pPr>
              <w:pStyle w:val="66"/>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仿宋" w:cs="Times New Roman"/>
                <w:b/>
                <w:color w:val="auto"/>
                <w:kern w:val="0"/>
                <w:sz w:val="21"/>
                <w:szCs w:val="21"/>
              </w:rPr>
            </w:pPr>
          </w:p>
          <w:p>
            <w:pPr>
              <w:pStyle w:val="66"/>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仿宋" w:cs="Times New Roman"/>
                <w:b/>
                <w:color w:val="auto"/>
                <w:kern w:val="0"/>
                <w:sz w:val="21"/>
                <w:szCs w:val="21"/>
              </w:rPr>
            </w:pPr>
          </w:p>
          <w:p>
            <w:pPr>
              <w:pStyle w:val="66"/>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仿宋" w:cs="Times New Roman"/>
                <w:b/>
                <w:color w:val="auto"/>
                <w:kern w:val="0"/>
                <w:sz w:val="21"/>
                <w:szCs w:val="21"/>
              </w:rPr>
            </w:pPr>
          </w:p>
          <w:p>
            <w:pPr>
              <w:pStyle w:val="66"/>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表1-1与《新疆维吾尔自治区矿产资源总体规划（20</w:t>
            </w:r>
            <w:r>
              <w:rPr>
                <w:rFonts w:hint="default" w:ascii="Times New Roman" w:hAnsi="Times New Roman" w:eastAsia="仿宋" w:cs="Times New Roman"/>
                <w:b/>
                <w:color w:val="auto"/>
                <w:kern w:val="0"/>
                <w:sz w:val="21"/>
                <w:szCs w:val="21"/>
                <w:lang w:val="en-US" w:eastAsia="zh-CN"/>
              </w:rPr>
              <w:t>21</w:t>
            </w:r>
            <w:r>
              <w:rPr>
                <w:rFonts w:hint="default" w:ascii="Times New Roman" w:hAnsi="Times New Roman" w:eastAsia="仿宋" w:cs="Times New Roman"/>
                <w:b/>
                <w:color w:val="auto"/>
                <w:kern w:val="0"/>
                <w:sz w:val="21"/>
                <w:szCs w:val="21"/>
              </w:rPr>
              <w:t>－202</w:t>
            </w:r>
            <w:r>
              <w:rPr>
                <w:rFonts w:hint="default" w:ascii="Times New Roman" w:hAnsi="Times New Roman" w:eastAsia="仿宋" w:cs="Times New Roman"/>
                <w:b/>
                <w:color w:val="auto"/>
                <w:kern w:val="0"/>
                <w:sz w:val="21"/>
                <w:szCs w:val="21"/>
                <w:lang w:val="en-US" w:eastAsia="zh-CN"/>
              </w:rPr>
              <w:t>5</w:t>
            </w:r>
            <w:r>
              <w:rPr>
                <w:rFonts w:hint="default" w:ascii="Times New Roman" w:hAnsi="Times New Roman" w:eastAsia="仿宋" w:cs="Times New Roman"/>
                <w:b/>
                <w:color w:val="auto"/>
                <w:kern w:val="0"/>
                <w:sz w:val="21"/>
                <w:szCs w:val="21"/>
              </w:rPr>
              <w:t>年）》符合性分析</w:t>
            </w:r>
          </w:p>
          <w:tbl>
            <w:tblPr>
              <w:tblStyle w:val="25"/>
              <w:tblW w:w="48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04"/>
              <w:gridCol w:w="2731"/>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《新疆维吾尔自治区矿产资源总体规划</w:t>
                  </w:r>
                </w:p>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（20</w:t>
                  </w:r>
                  <w:r>
                    <w:rPr>
                      <w:rFonts w:hint="default" w:ascii="Times New Roman" w:hAnsi="Times New Roman" w:eastAsia="仿宋" w:cs="Times New Roman"/>
                      <w:color w:val="auto"/>
                      <w:kern w:val="0"/>
                      <w:sz w:val="21"/>
                      <w:szCs w:val="21"/>
                      <w:lang w:val="en-US" w:eastAsia="zh-CN"/>
                    </w:rPr>
                    <w:t>21</w:t>
                  </w:r>
                  <w:r>
                    <w:rPr>
                      <w:rFonts w:hint="default" w:ascii="Times New Roman" w:hAnsi="Times New Roman" w:eastAsia="仿宋" w:cs="Times New Roman"/>
                      <w:color w:val="auto"/>
                      <w:kern w:val="0"/>
                      <w:sz w:val="21"/>
                      <w:szCs w:val="21"/>
                    </w:rPr>
                    <w:t>－202</w:t>
                  </w:r>
                  <w:r>
                    <w:rPr>
                      <w:rFonts w:hint="default" w:ascii="Times New Roman" w:hAnsi="Times New Roman" w:eastAsia="仿宋" w:cs="Times New Roman"/>
                      <w:color w:val="auto"/>
                      <w:kern w:val="0"/>
                      <w:sz w:val="21"/>
                      <w:szCs w:val="21"/>
                      <w:lang w:val="en-US" w:eastAsia="zh-CN"/>
                    </w:rPr>
                    <w:t>5</w:t>
                  </w:r>
                  <w:r>
                    <w:rPr>
                      <w:rFonts w:hint="default" w:ascii="Times New Roman" w:hAnsi="Times New Roman" w:eastAsia="仿宋" w:cs="Times New Roman"/>
                      <w:color w:val="auto"/>
                      <w:kern w:val="0"/>
                      <w:sz w:val="21"/>
                      <w:szCs w:val="21"/>
                    </w:rPr>
                    <w:t>年）》要求</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本项目</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3"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b/>
                      <w:bCs/>
                      <w:color w:val="auto"/>
                      <w:kern w:val="0"/>
                      <w:sz w:val="21"/>
                      <w:szCs w:val="21"/>
                    </w:rPr>
                    <w:t>重点勘查区</w:t>
                  </w:r>
                  <w:r>
                    <w:rPr>
                      <w:rFonts w:hint="default" w:ascii="Times New Roman" w:hAnsi="Times New Roman" w:eastAsia="仿宋" w:cs="Times New Roman"/>
                      <w:color w:val="auto"/>
                      <w:kern w:val="0"/>
                      <w:sz w:val="21"/>
                      <w:szCs w:val="21"/>
                    </w:rPr>
                    <w:t>：部署45个国家级和38个自治区级重点勘查区。在国家和自治区紧缺矿种的具有找矿潜力的区域，南疆四地州经济欠发达地区所在的西南天山、昆仑山以及阿尔金山地区等重点勘查区内，通过优先设置出让探矿权，引导商业性矿产资源勘查，促进社会资本投入</w:t>
                  </w:r>
                  <w:r>
                    <w:rPr>
                      <w:rFonts w:hint="default" w:ascii="Times New Roman" w:hAnsi="Times New Roman" w:eastAsia="仿宋" w:cs="Times New Roman"/>
                      <w:color w:val="auto"/>
                      <w:kern w:val="0"/>
                      <w:sz w:val="21"/>
                      <w:szCs w:val="21"/>
                      <w:lang w:eastAsia="zh-CN"/>
                    </w:rPr>
                    <w:t>。</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rPr>
                    <w:t>本项目</w:t>
                  </w:r>
                  <w:r>
                    <w:rPr>
                      <w:rFonts w:hint="default" w:ascii="Times New Roman" w:hAnsi="Times New Roman" w:eastAsia="仿宋" w:cs="Times New Roman"/>
                      <w:color w:val="auto"/>
                      <w:kern w:val="0"/>
                      <w:sz w:val="21"/>
                      <w:szCs w:val="21"/>
                      <w:lang w:eastAsia="zh-CN"/>
                    </w:rPr>
                    <w:t>砂石矿</w:t>
                  </w:r>
                  <w:r>
                    <w:rPr>
                      <w:rFonts w:hint="default" w:ascii="Times New Roman" w:hAnsi="Times New Roman" w:eastAsia="仿宋" w:cs="Times New Roman"/>
                      <w:color w:val="auto"/>
                      <w:kern w:val="0"/>
                      <w:sz w:val="21"/>
                      <w:szCs w:val="21"/>
                    </w:rPr>
                    <w:t>采矿权通过挂牌竞拍取得，本项目的建成后，有利于</w:t>
                  </w:r>
                  <w:r>
                    <w:rPr>
                      <w:rFonts w:hint="eastAsia" w:eastAsia="仿宋" w:cs="Times New Roman"/>
                      <w:color w:val="auto"/>
                      <w:kern w:val="0"/>
                      <w:sz w:val="21"/>
                      <w:szCs w:val="21"/>
                      <w:lang w:val="en-US" w:eastAsia="zh-CN"/>
                    </w:rPr>
                    <w:t>鄯善县</w:t>
                  </w:r>
                  <w:r>
                    <w:rPr>
                      <w:rFonts w:hint="default" w:ascii="Times New Roman" w:hAnsi="Times New Roman" w:eastAsia="仿宋" w:cs="Times New Roman"/>
                      <w:color w:val="auto"/>
                      <w:kern w:val="0"/>
                      <w:sz w:val="21"/>
                      <w:szCs w:val="21"/>
                    </w:rPr>
                    <w:t>的社会发展</w:t>
                  </w:r>
                  <w:r>
                    <w:rPr>
                      <w:rFonts w:hint="default" w:ascii="Times New Roman" w:hAnsi="Times New Roman" w:eastAsia="仿宋" w:cs="Times New Roman"/>
                      <w:color w:val="auto"/>
                      <w:kern w:val="0"/>
                      <w:sz w:val="21"/>
                      <w:szCs w:val="21"/>
                      <w:lang w:eastAsia="zh-CN"/>
                    </w:rPr>
                    <w:t>。</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6"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highlight w:val="none"/>
                      <w:lang w:eastAsia="zh-CN"/>
                    </w:rPr>
                  </w:pPr>
                  <w:r>
                    <w:rPr>
                      <w:rFonts w:hint="default" w:ascii="Times New Roman" w:hAnsi="Times New Roman" w:eastAsia="仿宋" w:cs="Times New Roman"/>
                      <w:b/>
                      <w:bCs/>
                      <w:color w:val="auto"/>
                      <w:kern w:val="0"/>
                      <w:sz w:val="21"/>
                      <w:szCs w:val="21"/>
                      <w:highlight w:val="none"/>
                    </w:rPr>
                    <w:t>限制勘查区</w:t>
                  </w:r>
                  <w:r>
                    <w:rPr>
                      <w:rFonts w:hint="default" w:ascii="Times New Roman" w:hAnsi="Times New Roman" w:eastAsia="仿宋" w:cs="Times New Roman"/>
                      <w:color w:val="auto"/>
                      <w:kern w:val="0"/>
                      <w:sz w:val="21"/>
                      <w:szCs w:val="21"/>
                      <w:highlight w:val="none"/>
                    </w:rPr>
                    <w:t>：钨、稀土等国家规定实行保护性开采的特定矿种分布区域；严重供大于求以及下游产业产能过剩、耗能大、污染重的矿产分布区域；具有地方特色且资源储量有限，需要保护的区域；虽有可靠的资源基础和市场需求，但现阶段开发技术条件不成熟的区域；军事管理区，国家和自治区级自然保护区、风景名胜区、历史遗迹保护区，重要饮用水水源保护区、重要湿地保护区、国家级森林公园、地质公园，铁路、高速公路、国道、省道、油气管线等线型工程两侧一定距离内，重要工业区、大型水利工程设施、城镇市政工程设施等一定范围内，机场、国防工程设施圈定的地区。把生态文明建设目标任务落实到国土资源管理工作中，做好探矿权稳妥有序退出保护区基础工作，并确保新设探矿权不再进入国家和自治区级自然保护区</w:t>
                  </w:r>
                  <w:r>
                    <w:rPr>
                      <w:rFonts w:hint="default" w:ascii="Times New Roman" w:hAnsi="Times New Roman" w:eastAsia="仿宋" w:cs="Times New Roman"/>
                      <w:color w:val="auto"/>
                      <w:kern w:val="0"/>
                      <w:sz w:val="21"/>
                      <w:szCs w:val="21"/>
                      <w:highlight w:val="none"/>
                      <w:lang w:eastAsia="zh-CN"/>
                    </w:rPr>
                    <w:t>。</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highlight w:val="none"/>
                      <w:lang w:eastAsia="zh-CN"/>
                    </w:rPr>
                  </w:pPr>
                  <w:r>
                    <w:rPr>
                      <w:rFonts w:hint="default" w:ascii="Times New Roman" w:hAnsi="Times New Roman" w:eastAsia="仿宋" w:cs="Times New Roman"/>
                      <w:color w:val="auto"/>
                      <w:kern w:val="0"/>
                      <w:sz w:val="21"/>
                      <w:szCs w:val="21"/>
                      <w:highlight w:val="none"/>
                    </w:rPr>
                    <w:t>本项目不涉及军事管理区，国家和自治区级自然保护区、风景名胜区、历史遗迹保护区，重要饮用水水源保护区、重要湿地保护区、国家级森林公园、地质公园，铁路、高速公路、国道、省道、油气管线等线型工程两侧一定距离内，重要工业区、大型水利工程设施、城镇市政工程设施等一定范围内，机场、国防工程设施圈定的地区及有关法律法规规定的限制勘查区</w:t>
                  </w:r>
                  <w:r>
                    <w:rPr>
                      <w:rFonts w:hint="default" w:ascii="Times New Roman" w:hAnsi="Times New Roman" w:eastAsia="仿宋" w:cs="Times New Roman"/>
                      <w:color w:val="auto"/>
                      <w:kern w:val="0"/>
                      <w:sz w:val="21"/>
                      <w:szCs w:val="21"/>
                      <w:highlight w:val="none"/>
                      <w:lang w:eastAsia="zh-CN"/>
                    </w:rPr>
                    <w:t>。</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8"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b/>
                      <w:bCs/>
                      <w:color w:val="auto"/>
                      <w:kern w:val="0"/>
                      <w:sz w:val="21"/>
                      <w:szCs w:val="21"/>
                    </w:rPr>
                    <w:t>重点矿区</w:t>
                  </w:r>
                  <w:r>
                    <w:rPr>
                      <w:rFonts w:hint="default" w:ascii="Times New Roman" w:hAnsi="Times New Roman" w:eastAsia="仿宋" w:cs="Times New Roman"/>
                      <w:color w:val="auto"/>
                      <w:kern w:val="0"/>
                      <w:sz w:val="21"/>
                      <w:szCs w:val="21"/>
                    </w:rPr>
                    <w:t>：加大《全国矿产资源规划（2016－2020年）》划定的35个国家规划矿区开发力度。加强阿尔泰山，塔里木盆地、准噶尔盆地、吐哈盆地及周边，西准噶尔，东准噶尔，西天山，东天山，西南天山，西昆仑，阿尔金山等9大区域矿产资源开发。重点矿区内新建矿山必须符合国家、自治区产业政策和规划，达到国家有关矿山企业准入条件；矿山采矿规模不低于本规划确定的矿山最低开采规模，矿山占有矿石资源储量与矿山开采规模及矿山服务年限相匹配，具备与矿山开采规模相配套的人才、资金、技术和管理资质条件。统筹安排重点矿区内的矿产资源勘查开发活动，争取国家相关优惠政策，引导和支持各类生产要素聚集，加强矿产资源整合开发力度，优化布局和矿山企业结构，促进规模开采和集约利用</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eastAsia" w:eastAsia="仿宋" w:cs="Times New Roman"/>
                      <w:color w:val="auto"/>
                      <w:kern w:val="0"/>
                      <w:sz w:val="21"/>
                      <w:szCs w:val="21"/>
                      <w:lang w:eastAsia="zh-CN"/>
                    </w:rPr>
                    <w:t>本项目位于新疆维吾尔自治区吐鲁番地区</w:t>
                  </w:r>
                  <w:r>
                    <w:rPr>
                      <w:rFonts w:hint="eastAsia" w:eastAsia="仿宋" w:cs="Times New Roman"/>
                      <w:color w:val="auto"/>
                      <w:kern w:val="0"/>
                      <w:sz w:val="21"/>
                      <w:szCs w:val="21"/>
                      <w:lang w:val="en-US" w:eastAsia="zh-CN"/>
                    </w:rPr>
                    <w:t>鄯善县北西280°方位，直线距离约30千米</w:t>
                  </w:r>
                  <w:r>
                    <w:rPr>
                      <w:rFonts w:hint="default" w:ascii="Times New Roman" w:hAnsi="Times New Roman" w:eastAsia="仿宋" w:cs="Times New Roman"/>
                      <w:color w:val="auto"/>
                      <w:kern w:val="0"/>
                      <w:sz w:val="21"/>
                      <w:szCs w:val="21"/>
                      <w:lang w:val="en-US" w:eastAsia="zh-CN"/>
                    </w:rPr>
                    <w:t>，项目的建设有利于矿山资源的开发，</w:t>
                  </w:r>
                  <w:r>
                    <w:rPr>
                      <w:rFonts w:hint="default" w:ascii="Times New Roman" w:hAnsi="Times New Roman" w:eastAsia="仿宋" w:cs="Times New Roman"/>
                      <w:color w:val="auto"/>
                      <w:kern w:val="0"/>
                      <w:sz w:val="21"/>
                      <w:szCs w:val="21"/>
                    </w:rPr>
                    <w:t>矿山占有矿石资源储量与矿山开采规模及矿山服务年限相匹配，具备与矿山开采规模相配套的人才、资金、技术和管理资质条件，符合当地的矿产资源总体规划</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b/>
                      <w:bCs/>
                      <w:color w:val="auto"/>
                      <w:kern w:val="0"/>
                      <w:sz w:val="21"/>
                      <w:szCs w:val="21"/>
                    </w:rPr>
                    <w:t>限制开采区</w:t>
                  </w:r>
                  <w:r>
                    <w:rPr>
                      <w:rFonts w:hint="default" w:ascii="Times New Roman" w:hAnsi="Times New Roman" w:eastAsia="仿宋" w:cs="Times New Roman"/>
                      <w:color w:val="auto"/>
                      <w:kern w:val="0"/>
                      <w:sz w:val="21"/>
                      <w:szCs w:val="21"/>
                    </w:rPr>
                    <w:t>：严重供大于求以及下游产业产能过剩、耗能大、污染重的矿产分布区域；具有地方特色且需保护性限制开采矿种的分布区域；虽有可靠的资源基础，但当前市场容量有限，应用研究不够，资源利用方式不合理的区域；在较高技术经济条件与一定外部条件下，才能达到资源合理利用的区域；需要进行矿产资源储备和保护的矿产地；钨矿分布区域；国家和地方规定的其他限制开采矿产资源的区域。区内要进一步严格矿业权管理，按照现行法律法规加强监督管理</w:t>
                  </w:r>
                </w:p>
              </w:tc>
              <w:tc>
                <w:tcPr>
                  <w:tcW w:w="1811" w:type="pct"/>
                  <w:vMerge w:val="restar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本项目不在限制开采区，亦不在禁止开采区内，符合规划要求</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0"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b/>
                      <w:bCs/>
                      <w:color w:val="auto"/>
                      <w:kern w:val="0"/>
                      <w:sz w:val="21"/>
                      <w:szCs w:val="21"/>
                    </w:rPr>
                    <w:t>禁止开采区</w:t>
                  </w:r>
                  <w:r>
                    <w:rPr>
                      <w:rFonts w:hint="default" w:ascii="Times New Roman" w:hAnsi="Times New Roman" w:eastAsia="仿宋" w:cs="Times New Roman"/>
                      <w:color w:val="auto"/>
                      <w:kern w:val="0"/>
                      <w:sz w:val="21"/>
                      <w:szCs w:val="21"/>
                    </w:rPr>
                    <w:t>：国家和自治区级自然保护区、风景名胜区、历史遗迹保护区，重要饮用水水源保护区、重要湿地保护区、国家级森林公园、地质公园；铁路、高速公路、国道、省道、油气管线等线型工程两侧一定距离内；军事管理区、重要工业区、大型水利工程设施、城镇市政工程设施等一定范围内，机场和国防工程设施圈定的地区。</w:t>
                  </w:r>
                </w:p>
              </w:tc>
              <w:tc>
                <w:tcPr>
                  <w:tcW w:w="1811" w:type="pct"/>
                  <w:vMerge w:val="continue"/>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8"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全面落实主体功能区规划和生态保护要求，严格执行矿产资源规划分区管理措施。区内未经主管部门同意，不得新设与资源环境保护功能不相符的矿业权。全面清理相关区域内已有的矿产资源勘查开发项目，研究制定退出补偿方案，在维护矿业权人合法权益的前提下逐步有序退出，及时复垦被破坏土地；确需保留的项目，实行清单式管理，明确资源环境保护要求和措施，强化资源环境保护</w:t>
                  </w:r>
                </w:p>
              </w:tc>
              <w:tc>
                <w:tcPr>
                  <w:tcW w:w="1811" w:type="pct"/>
                  <w:vAlign w:val="center"/>
                </w:tcPr>
                <w:p>
                  <w:pPr>
                    <w:widowControl/>
                    <w:adjustRightInd w:val="0"/>
                    <w:snapToGrid w:val="0"/>
                    <w:spacing w:line="240" w:lineRule="auto"/>
                    <w:ind w:firstLine="0" w:firstLineChars="0"/>
                    <w:jc w:val="center"/>
                    <w:rPr>
                      <w:rFonts w:hint="eastAsia"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rPr>
                    <w:t>本项目建设单位通过挂牌竞拍取得</w:t>
                  </w:r>
                  <w:r>
                    <w:rPr>
                      <w:rFonts w:hint="default" w:ascii="Times New Roman" w:hAnsi="Times New Roman" w:eastAsia="仿宋" w:cs="Times New Roman"/>
                      <w:color w:val="auto"/>
                      <w:kern w:val="0"/>
                      <w:sz w:val="21"/>
                      <w:szCs w:val="21"/>
                      <w:lang w:eastAsia="zh-CN"/>
                    </w:rPr>
                    <w:t>砂石矿</w:t>
                  </w:r>
                  <w:r>
                    <w:rPr>
                      <w:rFonts w:hint="default" w:ascii="Times New Roman" w:hAnsi="Times New Roman" w:eastAsia="仿宋" w:cs="Times New Roman"/>
                      <w:color w:val="auto"/>
                      <w:kern w:val="0"/>
                      <w:sz w:val="21"/>
                      <w:szCs w:val="21"/>
                    </w:rPr>
                    <w:t>采矿权，并已制定了矿产资源开发利用方案，建设单位</w:t>
                  </w:r>
                  <w:r>
                    <w:rPr>
                      <w:rFonts w:hint="default" w:ascii="Times New Roman" w:hAnsi="Times New Roman" w:eastAsia="仿宋" w:cs="Times New Roman"/>
                      <w:color w:val="auto"/>
                      <w:kern w:val="0"/>
                      <w:sz w:val="21"/>
                      <w:szCs w:val="21"/>
                      <w:lang w:val="en-US" w:eastAsia="zh-CN"/>
                    </w:rPr>
                    <w:t>已</w:t>
                  </w:r>
                  <w:r>
                    <w:rPr>
                      <w:rFonts w:hint="default" w:ascii="Times New Roman" w:hAnsi="Times New Roman" w:eastAsia="仿宋" w:cs="Times New Roman"/>
                      <w:color w:val="auto"/>
                      <w:kern w:val="0"/>
                      <w:sz w:val="21"/>
                      <w:szCs w:val="21"/>
                    </w:rPr>
                    <w:t>委托</w:t>
                  </w:r>
                  <w:r>
                    <w:rPr>
                      <w:rFonts w:hint="default" w:ascii="Times New Roman" w:hAnsi="Times New Roman" w:eastAsia="仿宋" w:cs="Times New Roman"/>
                      <w:color w:val="auto"/>
                      <w:kern w:val="0"/>
                      <w:sz w:val="21"/>
                      <w:szCs w:val="21"/>
                      <w:lang w:eastAsia="zh-CN"/>
                    </w:rPr>
                    <w:t>新疆瑞新源矿业技术有限公司</w:t>
                  </w:r>
                  <w:r>
                    <w:rPr>
                      <w:rFonts w:hint="default" w:ascii="Times New Roman" w:hAnsi="Times New Roman" w:eastAsia="仿宋" w:cs="Times New Roman"/>
                      <w:color w:val="auto"/>
                      <w:kern w:val="0"/>
                      <w:sz w:val="21"/>
                      <w:szCs w:val="21"/>
                    </w:rPr>
                    <w:t>编制</w:t>
                  </w:r>
                  <w:r>
                    <w:rPr>
                      <w:rFonts w:hint="default" w:ascii="Times New Roman" w:hAnsi="Times New Roman" w:eastAsia="仿宋" w:cs="Times New Roman"/>
                      <w:color w:val="auto"/>
                      <w:kern w:val="0"/>
                      <w:sz w:val="21"/>
                      <w:szCs w:val="21"/>
                      <w:lang w:val="en-US" w:eastAsia="zh-CN"/>
                    </w:rPr>
                    <w:t>了</w:t>
                  </w:r>
                  <w:r>
                    <w:rPr>
                      <w:rFonts w:hint="default" w:ascii="Times New Roman" w:hAnsi="Times New Roman" w:eastAsia="仿宋" w:cs="Times New Roman"/>
                      <w:color w:val="auto"/>
                      <w:kern w:val="0"/>
                      <w:sz w:val="21"/>
                      <w:szCs w:val="21"/>
                    </w:rPr>
                    <w:t>《</w:t>
                  </w:r>
                  <w:r>
                    <w:rPr>
                      <w:rFonts w:hint="eastAsia" w:eastAsia="仿宋" w:cs="Times New Roman"/>
                      <w:color w:val="auto"/>
                      <w:kern w:val="0"/>
                      <w:sz w:val="21"/>
                      <w:szCs w:val="21"/>
                      <w:lang w:eastAsia="zh-CN"/>
                    </w:rPr>
                    <w:t>新疆鄯善县木鄯公路东砂石料矿</w:t>
                  </w:r>
                  <w:r>
                    <w:rPr>
                      <w:rFonts w:hint="default" w:ascii="Times New Roman" w:hAnsi="Times New Roman" w:eastAsia="仿宋" w:cs="Times New Roman"/>
                      <w:color w:val="auto"/>
                      <w:kern w:val="0"/>
                      <w:sz w:val="21"/>
                      <w:szCs w:val="21"/>
                      <w:lang w:eastAsia="zh-CN"/>
                    </w:rPr>
                    <w:t>矿产资源开发利用与生态保护修复方案</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做到边开采边复垦</w:t>
                  </w:r>
                  <w:r>
                    <w:rPr>
                      <w:rFonts w:hint="eastAsia" w:eastAsia="仿宋" w:cs="Times New Roman"/>
                      <w:color w:val="auto"/>
                      <w:kern w:val="0"/>
                      <w:sz w:val="21"/>
                      <w:szCs w:val="21"/>
                      <w:lang w:eastAsia="zh-CN"/>
                    </w:rPr>
                    <w:t>。</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bl>
          <w:p>
            <w:pPr>
              <w:pStyle w:val="66"/>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表1-</w:t>
            </w:r>
            <w:r>
              <w:rPr>
                <w:rFonts w:hint="default" w:ascii="Times New Roman" w:hAnsi="Times New Roman" w:eastAsia="仿宋" w:cs="Times New Roman"/>
                <w:b/>
                <w:color w:val="auto"/>
                <w:kern w:val="0"/>
                <w:sz w:val="21"/>
                <w:szCs w:val="21"/>
                <w:lang w:val="en-US" w:eastAsia="zh-CN"/>
              </w:rPr>
              <w:t>2</w:t>
            </w:r>
            <w:r>
              <w:rPr>
                <w:rFonts w:hint="default" w:ascii="Times New Roman" w:hAnsi="Times New Roman" w:eastAsia="仿宋" w:cs="Times New Roman"/>
                <w:b/>
                <w:color w:val="auto"/>
                <w:kern w:val="0"/>
                <w:sz w:val="21"/>
                <w:szCs w:val="21"/>
              </w:rPr>
              <w:t>与《新疆维吾尔自治区矿产资源总体规划（2021-2025）环境影响报告书》的审查意见符合性分析</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8"/>
              <w:gridCol w:w="1983"/>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sz w:val="21"/>
                      <w:szCs w:val="21"/>
                      <w:vertAlign w:val="baseline"/>
                    </w:rPr>
                    <w:t>《新疆维吾尔自治区矿产资源总体规划（2021-2025）环境影响报告书）环境影响报告书》的审查意见</w:t>
                  </w:r>
                </w:p>
              </w:tc>
              <w:tc>
                <w:tcPr>
                  <w:tcW w:w="1983" w:type="dxa"/>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rPr>
                    <w:t>本项目</w:t>
                  </w:r>
                </w:p>
              </w:tc>
              <w:tc>
                <w:tcPr>
                  <w:tcW w:w="798" w:type="dxa"/>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eastAsia="zh-CN"/>
                    </w:rPr>
                  </w:pPr>
                  <w:r>
                    <w:rPr>
                      <w:rFonts w:hint="default" w:ascii="Times New Roman" w:hAnsi="Times New Roman" w:eastAsia="仿宋" w:cs="Times New Roman"/>
                      <w:color w:val="auto"/>
                      <w:sz w:val="21"/>
                      <w:szCs w:val="21"/>
                      <w:vertAlign w:val="baseline"/>
                      <w:lang w:eastAsia="zh-CN"/>
                    </w:rPr>
                    <w:t>（一）坚持生态优先，绿色发展。坚持以习近平生态文明思想为指导，严格落实绿水青山就是金山银山理念，立足于生态系统稳定和生态环境质量改善，处理好生态环境保护与矿产资源开发的关系，合理控制矿产资源开发规模与强度，不得占用依法应当禁止开发的区域，优先避让生态环境敏感区域。进一步强化《规划》的生态环境保护总体要求，将细化后的绿色开发、生态修复等相关目标、指标作为《规划》实施的硬约束。《规划》应严格执行国家矿产资源合理开发利用“三率”（即开采回采率、选矿回收率、综合利用率）相关要求，确保全区矿山整体“三率”水平达标率达到85%以上。优化并落实绿色矿山建设标准体系，到规划期末，全区大中型固体生产矿山基本达到绿色矿山建设水平。应进一步合理确定布局、规模、结构和开发时序，采取严格的生态保护和修复措施，确保优化后的《规划》符合绿色发展要求，推动生态环境保护与矿产资源开发目标同步实现。</w:t>
                  </w:r>
                </w:p>
              </w:tc>
              <w:tc>
                <w:tcPr>
                  <w:tcW w:w="1983"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本项目不占用禁止开发的区域，矿区范围内无保护区等环境敏感目标；环评要求</w:t>
                  </w:r>
                  <w:r>
                    <w:rPr>
                      <w:rFonts w:hint="eastAsia" w:ascii="Times New Roman" w:hAnsi="Times New Roman" w:eastAsia="仿宋" w:cs="Times New Roman"/>
                      <w:color w:val="auto"/>
                      <w:sz w:val="21"/>
                      <w:szCs w:val="21"/>
                      <w:vertAlign w:val="baseline"/>
                      <w:lang w:val="en-US" w:eastAsia="zh-CN"/>
                    </w:rPr>
                    <w:t>建筑用砂</w:t>
                  </w:r>
                  <w:r>
                    <w:rPr>
                      <w:rFonts w:hint="default" w:ascii="Times New Roman" w:hAnsi="Times New Roman" w:eastAsia="仿宋" w:cs="Times New Roman"/>
                      <w:color w:val="auto"/>
                      <w:sz w:val="21"/>
                      <w:szCs w:val="21"/>
                      <w:vertAlign w:val="baseline"/>
                      <w:lang w:val="en-US" w:eastAsia="zh-CN"/>
                    </w:rPr>
                    <w:t>按照绿色矿山水平进行建设；环评中提出了生态保护和污染防治措施，确保矿山达到绿色矿山建设水平。</w:t>
                  </w:r>
                </w:p>
              </w:tc>
              <w:tc>
                <w:tcPr>
                  <w:tcW w:w="79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二）严格保护生态空间，优化《规划》布局。将生态保护红线作为保障和维护区域生态安全的底线，应进一步优化矿业权设置和空间布局，依法依规对生态空间实施严格保护。与生态保护红线存在空间重叠的6个能源资源基地、24个国家规划矿区、22个重点勘查区、32个重点开采区等，后续设置矿业权时，应进一步优化布局，确保满足生态保护红线管控要求。与大气环境优先保护区（自然保护区、森林公园、世界遗产地等）存在空间重叠的90个勘查规划区块、25个开采规划区块，以及与水环境优先保护区存在空间重叠的462个勘查规划区块、153个开采规划区块和与农用地优先保护区存在空间重叠的28个勘查规划区块、8个开采规划区块等，后续设置矿业权时，应进一步优化布局、强化管控措施，确保满足生态环境分区管控及相关环境保护要求。</w:t>
                  </w:r>
                </w:p>
              </w:tc>
              <w:tc>
                <w:tcPr>
                  <w:tcW w:w="1983"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本项目不涉及生态保护红线；属国家规划矿区；</w:t>
                  </w:r>
                  <w:r>
                    <w:rPr>
                      <w:rFonts w:hint="eastAsia" w:ascii="Times New Roman" w:hAnsi="Times New Roman" w:eastAsia="仿宋" w:cs="Times New Roman"/>
                      <w:color w:val="auto"/>
                      <w:sz w:val="21"/>
                      <w:szCs w:val="21"/>
                      <w:vertAlign w:val="baseline"/>
                      <w:lang w:val="en-US" w:eastAsia="zh-CN"/>
                    </w:rPr>
                    <w:t>建筑用砂矿</w:t>
                  </w:r>
                  <w:r>
                    <w:rPr>
                      <w:rFonts w:hint="default" w:ascii="Times New Roman" w:hAnsi="Times New Roman" w:eastAsia="仿宋" w:cs="Times New Roman"/>
                      <w:color w:val="auto"/>
                      <w:sz w:val="21"/>
                      <w:szCs w:val="21"/>
                      <w:vertAlign w:val="baseline"/>
                      <w:lang w:val="en-US" w:eastAsia="zh-CN"/>
                    </w:rPr>
                    <w:t>建设符合“三线一单”要求，符合生态环境分区管控及相关环境保护要求。</w:t>
                  </w:r>
                </w:p>
              </w:tc>
              <w:tc>
                <w:tcPr>
                  <w:tcW w:w="79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rPr>
                  </w:pPr>
                  <w:r>
                    <w:rPr>
                      <w:rFonts w:hint="default" w:ascii="Times New Roman" w:hAnsi="Times New Roman" w:eastAsia="仿宋" w:cs="Times New Roman"/>
                      <w:b w:val="0"/>
                      <w:bCs w:val="0"/>
                      <w:color w:val="auto"/>
                      <w:sz w:val="21"/>
                      <w:szCs w:val="21"/>
                      <w:vertAlign w:val="baseline"/>
                    </w:rPr>
                    <w:t>（三）严格产业准入，合理控制矿山开采种类和规模。严格落实《规划》提出的重点矿种矿山最低开采规模准入要求；进一步控制矿山总数，提高大中型矿山比例，加大低效产能压减、无效产能腾退力度，逐步关闭退出安全隐患突出、生态环境问题明显、违法违规问题多的“小弱散”矿山和未达到最低生产规模的矿山。禁止开采砷和放射性等有毒有害物质超过规定标准的煤炭，以及砂铁、汞、可耕地砖瓦用粘土等矿产；限制开采硫铁矿、砖瓦用粘土等矿产；严格控制开采钨、稀土等特定保护性矿产。严格尾矿库的新建和管理，确保符合相关要求。</w:t>
                  </w:r>
                </w:p>
              </w:tc>
              <w:tc>
                <w:tcPr>
                  <w:tcW w:w="1983"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本项目建设规模符合矿区总体规划要求和《产业结构调整指导目录（2024年）》；建设规模属于</w:t>
                  </w:r>
                  <w:r>
                    <w:rPr>
                      <w:rFonts w:hint="eastAsia" w:ascii="Times New Roman" w:hAnsi="Times New Roman" w:eastAsia="仿宋" w:cs="Times New Roman"/>
                      <w:color w:val="auto"/>
                      <w:sz w:val="21"/>
                      <w:szCs w:val="21"/>
                      <w:vertAlign w:val="baseline"/>
                      <w:lang w:val="en-US" w:eastAsia="zh-CN"/>
                    </w:rPr>
                    <w:t>中</w:t>
                  </w:r>
                  <w:r>
                    <w:rPr>
                      <w:rFonts w:hint="default" w:ascii="Times New Roman" w:hAnsi="Times New Roman" w:eastAsia="仿宋" w:cs="Times New Roman"/>
                      <w:color w:val="auto"/>
                      <w:sz w:val="21"/>
                      <w:szCs w:val="21"/>
                      <w:vertAlign w:val="baseline"/>
                      <w:lang w:val="en-US" w:eastAsia="zh-CN"/>
                    </w:rPr>
                    <w:t>型矿山，符合矿山最低开采规模准入要求；煤矿对</w:t>
                  </w:r>
                  <w:r>
                    <w:rPr>
                      <w:rFonts w:hint="eastAsia" w:ascii="Times New Roman" w:hAnsi="Times New Roman" w:eastAsia="仿宋" w:cs="Times New Roman"/>
                      <w:color w:val="auto"/>
                      <w:sz w:val="21"/>
                      <w:szCs w:val="21"/>
                      <w:vertAlign w:val="baseline"/>
                      <w:lang w:val="en-US" w:eastAsia="zh-CN"/>
                    </w:rPr>
                    <w:t>建筑用砂矿</w:t>
                  </w:r>
                  <w:r>
                    <w:rPr>
                      <w:rFonts w:hint="default" w:ascii="Times New Roman" w:hAnsi="Times New Roman" w:eastAsia="仿宋" w:cs="Times New Roman"/>
                      <w:color w:val="auto"/>
                      <w:sz w:val="21"/>
                      <w:szCs w:val="21"/>
                      <w:vertAlign w:val="baseline"/>
                      <w:lang w:val="en-US" w:eastAsia="zh-CN"/>
                    </w:rPr>
                    <w:t>进行了生态整治和土地复垦</w:t>
                  </w:r>
                </w:p>
              </w:tc>
              <w:tc>
                <w:tcPr>
                  <w:tcW w:w="79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rPr>
                  </w:pPr>
                  <w:r>
                    <w:rPr>
                      <w:rFonts w:hint="default" w:ascii="Times New Roman" w:hAnsi="Times New Roman" w:eastAsia="仿宋" w:cs="Times New Roman"/>
                      <w:b w:val="0"/>
                      <w:bCs w:val="0"/>
                      <w:color w:val="auto"/>
                      <w:sz w:val="21"/>
                      <w:szCs w:val="21"/>
                      <w:vertAlign w:val="baseline"/>
                    </w:rPr>
                    <w:t>四）严格环境准入，保护区域生态功能。按照新疆维吾尔自治区生态环境分区管控方案、生态环境保护规划等新要求，与大气环境优先保护区、水环境优先保护区、农用地优先保护区等存在空间重叠的现有矿业权、勘查规划区块、开采规划区块，应严格执行相应管控要求，控制勘查、开采活动范围和强度，严格执行绿色勘查、开采及矿山环境生态保护修复相关要求，确保生态系统结构和主要功能不受破坏。严格控制涉及生物多样性保护优先区域、国家重点生态功能区、国家重要生态功能区、水源涵养区、水土流失重点防治区等区域矿产资源开发活动，并采取相应保护措施，防止加剧对重点生态功能区的不良环境影响。</w:t>
                  </w:r>
                </w:p>
              </w:tc>
              <w:tc>
                <w:tcPr>
                  <w:tcW w:w="1983"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建筑用砂矿</w:t>
                  </w:r>
                  <w:r>
                    <w:rPr>
                      <w:rFonts w:hint="default" w:ascii="Times New Roman" w:hAnsi="Times New Roman" w:eastAsia="仿宋" w:cs="Times New Roman"/>
                      <w:color w:val="auto"/>
                      <w:sz w:val="21"/>
                      <w:szCs w:val="21"/>
                      <w:vertAlign w:val="baseline"/>
                      <w:lang w:val="en-US" w:eastAsia="zh-CN"/>
                    </w:rPr>
                    <w:t>建设符合自治区生态环境分区管控方案；不涉及生态红线；矿山建设和运营过程中采取了污染防治措施和生态保护措施，减轻</w:t>
                  </w:r>
                  <w:r>
                    <w:rPr>
                      <w:rFonts w:hint="eastAsia" w:ascii="Times New Roman" w:hAnsi="Times New Roman" w:eastAsia="仿宋" w:cs="Times New Roman"/>
                      <w:color w:val="auto"/>
                      <w:sz w:val="21"/>
                      <w:szCs w:val="21"/>
                      <w:vertAlign w:val="baseline"/>
                      <w:lang w:val="en-US" w:eastAsia="zh-CN"/>
                    </w:rPr>
                    <w:t>建筑用砂矿</w:t>
                  </w:r>
                  <w:r>
                    <w:rPr>
                      <w:rFonts w:hint="default" w:ascii="Times New Roman" w:hAnsi="Times New Roman" w:eastAsia="仿宋" w:cs="Times New Roman"/>
                      <w:color w:val="auto"/>
                      <w:sz w:val="21"/>
                      <w:szCs w:val="21"/>
                      <w:vertAlign w:val="baseline"/>
                      <w:lang w:val="en-US" w:eastAsia="zh-CN"/>
                    </w:rPr>
                    <w:t>开采带来的不良环境影响。</w:t>
                  </w:r>
                </w:p>
              </w:tc>
              <w:tc>
                <w:tcPr>
                  <w:tcW w:w="79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rPr>
                  </w:pPr>
                  <w:r>
                    <w:rPr>
                      <w:rFonts w:hint="default" w:ascii="Times New Roman" w:hAnsi="Times New Roman" w:eastAsia="仿宋" w:cs="Times New Roman"/>
                      <w:b w:val="0"/>
                      <w:bCs w:val="0"/>
                      <w:color w:val="auto"/>
                      <w:sz w:val="21"/>
                      <w:szCs w:val="21"/>
                      <w:vertAlign w:val="baseline"/>
                    </w:rPr>
                    <w:t>五）加强矿山生态修复和环境治理。结合区域生态环境质量改善目标和主要生态环境问题，分区域、分矿种确定矿山生态修复和环境治理总体要求，将目标任务分解细化到具体矿区、矿山，确保“十四五”规划期矿山生态修复治理面积不低于11000公顷。重视关闭矿山及历史遗留矿山的生态环境问题，明确污染治理、生态修复的任务、要求和完成时限。对可能造成重金属污染等环境问题的矿区，进一步优化开发方式，推进结构调整，加大治理投入。</w:t>
                  </w:r>
                </w:p>
              </w:tc>
              <w:tc>
                <w:tcPr>
                  <w:tcW w:w="1983"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已加强</w:t>
                  </w:r>
                  <w:r>
                    <w:rPr>
                      <w:rFonts w:hint="default" w:ascii="Times New Roman" w:hAnsi="Times New Roman" w:eastAsia="仿宋" w:cs="Times New Roman"/>
                      <w:color w:val="auto"/>
                      <w:sz w:val="21"/>
                      <w:szCs w:val="21"/>
                      <w:vertAlign w:val="baseline"/>
                      <w:lang w:val="en-US" w:eastAsia="zh-CN"/>
                    </w:rPr>
                    <w:t>矿山生态恢复和环境治理；对运营过程中的废气、废水等</w:t>
                  </w:r>
                  <w:r>
                    <w:rPr>
                      <w:rFonts w:hint="eastAsia" w:ascii="Times New Roman" w:hAnsi="Times New Roman" w:eastAsia="仿宋" w:cs="Times New Roman"/>
                      <w:color w:val="auto"/>
                      <w:sz w:val="21"/>
                      <w:szCs w:val="21"/>
                      <w:vertAlign w:val="baseline"/>
                      <w:lang w:val="en-US" w:eastAsia="zh-CN"/>
                    </w:rPr>
                    <w:t>提出</w:t>
                  </w:r>
                  <w:r>
                    <w:rPr>
                      <w:rFonts w:hint="default" w:ascii="Times New Roman" w:hAnsi="Times New Roman" w:eastAsia="仿宋" w:cs="Times New Roman"/>
                      <w:color w:val="auto"/>
                      <w:sz w:val="21"/>
                      <w:szCs w:val="21"/>
                      <w:vertAlign w:val="baseline"/>
                      <w:lang w:val="en-US" w:eastAsia="zh-CN"/>
                    </w:rPr>
                    <w:t>污染防治措施。</w:t>
                  </w:r>
                </w:p>
              </w:tc>
              <w:tc>
                <w:tcPr>
                  <w:tcW w:w="79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rPr>
                  </w:pPr>
                  <w:r>
                    <w:rPr>
                      <w:rFonts w:hint="default" w:ascii="Times New Roman" w:hAnsi="Times New Roman" w:eastAsia="仿宋" w:cs="Times New Roman"/>
                      <w:b w:val="0"/>
                      <w:bCs w:val="0"/>
                      <w:color w:val="auto"/>
                      <w:sz w:val="21"/>
                      <w:szCs w:val="21"/>
                      <w:vertAlign w:val="baseline"/>
                    </w:rPr>
                    <w:t>（六）加强生态环境保护监测和预警。结合生态保护、饮用水水源保护区及水环境功能区水质保护及改善要求、土壤污染防治目标等，推进重点矿区建立生态、地表水、地下水、土壤等环境要素的长期监测监控体系，明确责任主体、强化资金保障，其中，在用尾矿库100%安装在线监测装置；组织开展主要矿种集中开采区域生态修复效果评估，并根据监测和评估结果增加和优化必要的保护措施。针对地表水环境及土壤环境累积影响、地下水环境质量下降、生态退化等情形，建立预警机制。</w:t>
                  </w:r>
                </w:p>
              </w:tc>
              <w:tc>
                <w:tcPr>
                  <w:tcW w:w="1983"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环评要求</w:t>
                  </w:r>
                  <w:r>
                    <w:rPr>
                      <w:rFonts w:hint="eastAsia" w:ascii="Times New Roman" w:hAnsi="Times New Roman" w:eastAsia="仿宋" w:cs="Times New Roman"/>
                      <w:color w:val="auto"/>
                      <w:sz w:val="21"/>
                      <w:szCs w:val="21"/>
                      <w:vertAlign w:val="baseline"/>
                      <w:lang w:val="en-US" w:eastAsia="zh-CN"/>
                    </w:rPr>
                    <w:t>建筑用砂矿</w:t>
                  </w:r>
                  <w:r>
                    <w:rPr>
                      <w:rFonts w:hint="default" w:ascii="Times New Roman" w:hAnsi="Times New Roman" w:eastAsia="仿宋" w:cs="Times New Roman"/>
                      <w:color w:val="auto"/>
                      <w:sz w:val="21"/>
                      <w:szCs w:val="21"/>
                      <w:vertAlign w:val="baseline"/>
                      <w:lang w:val="en-US" w:eastAsia="zh-CN"/>
                    </w:rPr>
                    <w:t>建设生态、地下水、土壤等监控体系和预警机制；采取污染防治措施和生态保护措施，防止地下水、土壤环境质量下降。</w:t>
                  </w:r>
                </w:p>
              </w:tc>
              <w:tc>
                <w:tcPr>
                  <w:tcW w:w="79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bl>
          <w:p>
            <w:pPr>
              <w:pStyle w:val="35"/>
              <w:ind w:left="0" w:leftChars="0" w:firstLine="0" w:firstLineChars="0"/>
              <w:rPr>
                <w:rFonts w:hint="default" w:ascii="Times New Roman" w:hAnsi="Times New Roman" w:eastAsia="仿宋"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rFonts w:hint="default" w:ascii="Times New Roman" w:hAnsi="Times New Roman" w:eastAsia="仿宋" w:cs="Times New Roman"/>
                <w:color w:val="auto"/>
                <w:kern w:val="0"/>
                <w:szCs w:val="21"/>
              </w:rPr>
            </w:pPr>
            <w:bookmarkStart w:id="0" w:name="_Hlk56690880"/>
            <w:r>
              <w:rPr>
                <w:rFonts w:hint="default" w:ascii="Times New Roman" w:hAnsi="Times New Roman" w:eastAsia="仿宋" w:cs="Times New Roman"/>
                <w:color w:val="auto"/>
                <w:kern w:val="0"/>
                <w:sz w:val="24"/>
                <w:szCs w:val="24"/>
              </w:rPr>
              <w:t>其他符合性分析</w:t>
            </w:r>
            <w:bookmarkEnd w:id="0"/>
          </w:p>
        </w:tc>
        <w:tc>
          <w:tcPr>
            <w:tcW w:w="7758" w:type="dxa"/>
            <w:gridSpan w:val="4"/>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1、产业政策符合性分析</w:t>
            </w:r>
          </w:p>
          <w:p>
            <w:pPr>
              <w:autoSpaceDE w:val="0"/>
              <w:autoSpaceDN w:val="0"/>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根据调查分析，本项目生产规模、采用生产工艺和设备及产品均不属于《产业结构调整指导目录（2024年本）》2023年第7号令中鼓励类、限制类和淘汰类的项目，属于鼓励类、限制类和淘汰类之外的允许类项目，符合国家、自治区及地方当前产业政策的要求。</w:t>
            </w:r>
          </w:p>
          <w:p>
            <w:pPr>
              <w:numPr>
                <w:ilvl w:val="0"/>
                <w:numId w:val="1"/>
              </w:numPr>
              <w:autoSpaceDE w:val="0"/>
              <w:autoSpaceDN w:val="0"/>
              <w:adjustRightInd w:val="0"/>
              <w:snapToGrid w:val="0"/>
              <w:ind w:firstLine="422"/>
              <w:rPr>
                <w:rFonts w:hint="default" w:ascii="Times New Roman" w:hAnsi="Times New Roman" w:eastAsia="仿宋" w:cs="Times New Roman"/>
                <w:b/>
                <w:color w:val="auto"/>
                <w:kern w:val="0"/>
                <w:sz w:val="24"/>
                <w:szCs w:val="24"/>
                <w:highlight w:val="none"/>
              </w:rPr>
            </w:pPr>
            <w:r>
              <w:rPr>
                <w:rFonts w:hint="default" w:ascii="Times New Roman" w:hAnsi="Times New Roman" w:eastAsia="仿宋" w:cs="Times New Roman"/>
                <w:b/>
                <w:color w:val="auto"/>
                <w:kern w:val="0"/>
                <w:sz w:val="24"/>
                <w:szCs w:val="24"/>
                <w:highlight w:val="none"/>
              </w:rPr>
              <w:t>“三线一单”符合性分析</w:t>
            </w:r>
          </w:p>
          <w:p>
            <w:pPr>
              <w:numPr>
                <w:ilvl w:val="0"/>
                <w:numId w:val="0"/>
              </w:numPr>
              <w:autoSpaceDE w:val="0"/>
              <w:autoSpaceDN w:val="0"/>
              <w:adjustRightInd w:val="0"/>
              <w:snapToGrid w:val="0"/>
              <w:ind w:firstLine="480" w:firstLineChars="200"/>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（1）与新疆维吾尔自治区“三线一单”符合性分析</w:t>
            </w:r>
          </w:p>
          <w:p>
            <w:pPr>
              <w:numPr>
                <w:ilvl w:val="0"/>
                <w:numId w:val="0"/>
              </w:numPr>
              <w:autoSpaceDE w:val="0"/>
              <w:autoSpaceDN w:val="0"/>
              <w:adjustRightInd w:val="0"/>
              <w:snapToGrid w:val="0"/>
              <w:spacing w:line="360" w:lineRule="auto"/>
              <w:ind w:firstLine="480" w:firstLineChars="200"/>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根据新疆维吾尔自治区人民政府办公厅新政发〔2021〕18号《关于印发《新疆维吾尔自治区“三线一单”生态环境分区管控方案》的通知》要求，</w:t>
            </w:r>
          </w:p>
          <w:p>
            <w:pPr>
              <w:pStyle w:val="85"/>
              <w:spacing w:line="360" w:lineRule="auto"/>
              <w:ind w:left="0" w:leftChars="0" w:firstLine="0" w:firstLineChars="0"/>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对照自治区编制的三线一单生态环境分区管控要求，分析如下。</w:t>
            </w:r>
          </w:p>
          <w:p>
            <w:pPr>
              <w:pStyle w:val="85"/>
              <w:spacing w:line="360" w:lineRule="auto"/>
              <w:ind w:left="0" w:leftChars="0" w:firstLine="0" w:firstLineChars="0"/>
              <w:jc w:val="center"/>
              <w:rPr>
                <w:rFonts w:hint="default" w:ascii="Times New Roman" w:hAnsi="Times New Roman" w:eastAsia="仿宋" w:cs="Times New Roman"/>
                <w:b/>
                <w:bCs/>
                <w:color w:val="auto"/>
                <w:kern w:val="0"/>
                <w:sz w:val="21"/>
                <w:szCs w:val="21"/>
                <w:lang w:val="en-US" w:eastAsia="zh-CN" w:bidi="ar-SA"/>
              </w:rPr>
            </w:pPr>
            <w:r>
              <w:rPr>
                <w:rFonts w:hint="eastAsia" w:ascii="Times New Roman" w:hAnsi="Times New Roman" w:eastAsia="仿宋" w:cs="Times New Roman"/>
                <w:b/>
                <w:bCs/>
                <w:color w:val="auto"/>
                <w:kern w:val="0"/>
                <w:sz w:val="21"/>
                <w:szCs w:val="21"/>
                <w:lang w:val="en-US" w:eastAsia="zh-CN" w:bidi="ar-SA"/>
              </w:rPr>
              <w:t>表1-3</w:t>
            </w:r>
            <w:r>
              <w:rPr>
                <w:rFonts w:hint="default" w:ascii="Times New Roman" w:hAnsi="Times New Roman" w:eastAsia="仿宋" w:cs="Times New Roman"/>
                <w:b/>
                <w:bCs/>
                <w:color w:val="auto"/>
                <w:kern w:val="0"/>
                <w:sz w:val="21"/>
                <w:szCs w:val="21"/>
                <w:lang w:val="en-US" w:eastAsia="zh-CN" w:bidi="ar-SA"/>
              </w:rPr>
              <w:t>与新疆维吾尔自治区“三线一单”符合性分析</w:t>
            </w:r>
          </w:p>
          <w:tbl>
            <w:tblPr>
              <w:tblStyle w:val="86"/>
              <w:tblW w:w="494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
              <w:gridCol w:w="3543"/>
              <w:gridCol w:w="2942"/>
              <w:gridCol w:w="5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2734" w:type="pct"/>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“三线一单”要求</w:t>
                  </w:r>
                </w:p>
              </w:tc>
              <w:tc>
                <w:tcPr>
                  <w:tcW w:w="1926"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 w:cs="Times New Roman"/>
                      <w:b w:val="0"/>
                      <w:bCs w:val="0"/>
                      <w:color w:val="auto"/>
                      <w:kern w:val="2"/>
                      <w:sz w:val="21"/>
                      <w:szCs w:val="21"/>
                      <w:vertAlign w:val="baseli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本项目情况</w:t>
                  </w:r>
                </w:p>
              </w:tc>
              <w:tc>
                <w:tcPr>
                  <w:tcW w:w="339"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4" w:hRule="atLeast"/>
                <w:jc w:val="center"/>
              </w:trPr>
              <w:tc>
                <w:tcPr>
                  <w:tcW w:w="415"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生态保护红线</w:t>
                  </w:r>
                </w:p>
              </w:tc>
              <w:tc>
                <w:tcPr>
                  <w:tcW w:w="2318"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指在生态空间范围内具有特殊重要生态功能、必须强制性严格保护的区域，是保障和维护国家生态安全的底线和生命线，通常包括具有重要水源涵养、生物多样性维护、水土保持、防风固沙、海岸生态稳定等功能的生态功能重要区域，以及水土流失、土地沙化、石漠化、盐渍化等生态环境敏感脆弱区域。</w:t>
                  </w:r>
                </w:p>
              </w:tc>
              <w:tc>
                <w:tcPr>
                  <w:tcW w:w="1926"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项目位于</w:t>
                  </w:r>
                  <w:r>
                    <w:rPr>
                      <w:rFonts w:hint="eastAsia" w:ascii="Times New Roman" w:hAnsi="Times New Roman" w:eastAsia="仿宋" w:cs="Times New Roman"/>
                      <w:b w:val="0"/>
                      <w:bCs w:val="0"/>
                      <w:color w:val="auto"/>
                      <w:kern w:val="2"/>
                      <w:sz w:val="21"/>
                      <w:szCs w:val="21"/>
                      <w:vertAlign w:val="baseline"/>
                      <w:lang w:val="en-US" w:eastAsia="zh-CN" w:bidi="ar-SA"/>
                    </w:rPr>
                    <w:t>新疆维吾尔自治区吐鲁番地区鄯善县北西280°方位，直线距离约30千米</w:t>
                  </w:r>
                  <w:r>
                    <w:rPr>
                      <w:rFonts w:hint="default" w:ascii="Times New Roman" w:hAnsi="Times New Roman" w:eastAsia="仿宋" w:cs="Times New Roman"/>
                      <w:b w:val="0"/>
                      <w:bCs w:val="0"/>
                      <w:color w:val="auto"/>
                      <w:kern w:val="2"/>
                      <w:sz w:val="21"/>
                      <w:szCs w:val="21"/>
                      <w:vertAlign w:val="baseline"/>
                      <w:lang w:val="en-US" w:eastAsia="zh-CN" w:bidi="ar-SA"/>
                    </w:rPr>
                    <w:t>，项目周边无自然保护区、饮用水源地保护区等生态保护目标，符合生态保护红线要求。</w:t>
                  </w:r>
                </w:p>
              </w:tc>
              <w:tc>
                <w:tcPr>
                  <w:tcW w:w="339"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jc w:val="center"/>
              </w:trPr>
              <w:tc>
                <w:tcPr>
                  <w:tcW w:w="415"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环境质量底线</w:t>
                  </w:r>
                </w:p>
              </w:tc>
              <w:tc>
                <w:tcPr>
                  <w:tcW w:w="2318"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1926"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本项目产生的废气、废水、噪声、固废等污染物均采取了严格的治理和处置措施，污染物能达标排放，采取相应措施后经预测能够满足相关标准要求，符合环境质量底线的要求，不会对环境质量底线产生冲击。</w:t>
                  </w:r>
                </w:p>
              </w:tc>
              <w:tc>
                <w:tcPr>
                  <w:tcW w:w="339"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jc w:val="center"/>
              </w:trPr>
              <w:tc>
                <w:tcPr>
                  <w:tcW w:w="415"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资源利用上线</w:t>
                  </w:r>
                </w:p>
              </w:tc>
              <w:tc>
                <w:tcPr>
                  <w:tcW w:w="2318"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指按照自然资源资产“只能增值、不能贬值”的原则，以保障生态安全和改善环境质量为目的，利用自然资源资产负债表，结合自然资源开发管控，提出的分区域分阶段的资源开发利用总量、强度、效率等上线管控要求。</w:t>
                  </w:r>
                </w:p>
              </w:tc>
              <w:tc>
                <w:tcPr>
                  <w:tcW w:w="1926" w:type="pct"/>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本项目为土砂石开采项目，运营期间仅使用少量水资源和电量，不会突破资源利用上线。</w:t>
                  </w:r>
                </w:p>
              </w:tc>
              <w:tc>
                <w:tcPr>
                  <w:tcW w:w="339"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2" w:hRule="atLeast"/>
                <w:jc w:val="center"/>
              </w:trPr>
              <w:tc>
                <w:tcPr>
                  <w:tcW w:w="415" w:type="pct"/>
                  <w:tcBorders>
                    <w:bottom w:val="single" w:color="000000" w:sz="6"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环境准入清单</w:t>
                  </w:r>
                </w:p>
              </w:tc>
              <w:tc>
                <w:tcPr>
                  <w:tcW w:w="2318" w:type="pct"/>
                  <w:tcBorders>
                    <w:bottom w:val="single" w:color="000000" w:sz="6"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指基于环境管控单元，统筹考虑生态保护红线、环境质量底线、资源利用上线的管控要求，提出的空间布局、污染物排放、环境风险、资源开发利用等方面禁止和限制的环境准入要求。</w:t>
                  </w:r>
                </w:p>
              </w:tc>
              <w:tc>
                <w:tcPr>
                  <w:tcW w:w="1926" w:type="pct"/>
                  <w:tcBorders>
                    <w:bottom w:val="single" w:color="000000" w:sz="6"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本项目属于土砂石开采项目，根据《吐鲁番市“三线一单”生态环境分区管控方案》中附件3吐鲁番市生态环境准入清单分析，本项目符合鄯善县生态环境准入清单要求。本项目不属于《新疆维吾尔自治区28个国家重点生态功能区县（市）产业准入负面清单（试行）》中产业准入负面清单范畴。</w:t>
                  </w:r>
                </w:p>
              </w:tc>
              <w:tc>
                <w:tcPr>
                  <w:tcW w:w="339" w:type="pct"/>
                  <w:tcBorders>
                    <w:bottom w:val="single" w:color="000000" w:sz="6"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w:t>
                  </w:r>
                </w:p>
              </w:tc>
            </w:tr>
          </w:tbl>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通过上表可知，本项目与《新疆维吾尔自治区“三线一单”生态环境分区管控方案的通知》相符。</w:t>
            </w:r>
          </w:p>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（2）与吐鲁番市“三线一单”符合性：</w:t>
            </w:r>
          </w:p>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①生态保护红线</w:t>
            </w:r>
          </w:p>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本项目位于新疆吐鲁番市</w:t>
            </w:r>
            <w:r>
              <w:rPr>
                <w:rFonts w:hint="eastAsia" w:eastAsia="仿宋" w:cs="Times New Roman"/>
                <w:color w:val="auto"/>
                <w:kern w:val="0"/>
                <w:sz w:val="24"/>
                <w:szCs w:val="24"/>
                <w:highlight w:val="none"/>
                <w:lang w:val="en-US" w:eastAsia="zh-CN" w:bidi="ar"/>
              </w:rPr>
              <w:t>鄯善县连木沁镇</w:t>
            </w:r>
            <w:r>
              <w:rPr>
                <w:rFonts w:hint="default" w:ascii="Times New Roman" w:hAnsi="Times New Roman" w:eastAsia="仿宋" w:cs="Times New Roman"/>
                <w:color w:val="auto"/>
                <w:kern w:val="0"/>
                <w:sz w:val="24"/>
                <w:szCs w:val="24"/>
                <w:highlight w:val="none"/>
                <w:lang w:val="en-US" w:eastAsia="zh-CN" w:bidi="ar"/>
              </w:rPr>
              <w:t>，不位于生态保护红线区域和生态保护红线区以外的饮用水水源保护区、水源涵养区、防风固沙区、土地沙化防控区、水土流失防控区等一般生态空间管控区，项目所在区域属于重点管控单元，不属于生态红线划定范围区。</w:t>
            </w:r>
          </w:p>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②环境质量底线</w:t>
            </w:r>
          </w:p>
          <w:p>
            <w:pPr>
              <w:keepNext w:val="0"/>
              <w:keepLines w:val="0"/>
              <w:widowControl/>
              <w:suppressLineNumbers w:val="0"/>
              <w:jc w:val="left"/>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color w:val="auto"/>
                <w:kern w:val="0"/>
                <w:sz w:val="24"/>
                <w:szCs w:val="24"/>
                <w:highlight w:val="none"/>
                <w:lang w:val="en-US" w:eastAsia="zh-CN" w:bidi="ar"/>
              </w:rPr>
              <w:t>依据《生态保护红线、环境质量底线、资源利用上线和环境准入负面清单编制技术指南（试行）》（环办环评[2017]99号），环境质量底线是指按照水、大气、土壤</w:t>
            </w:r>
            <w:r>
              <w:rPr>
                <w:rFonts w:hint="default" w:ascii="Times New Roman" w:hAnsi="Times New Roman" w:eastAsia="仿宋" w:cs="Times New Roman"/>
                <w:b w:val="0"/>
                <w:bCs w:val="0"/>
                <w:color w:val="auto"/>
                <w:kern w:val="0"/>
                <w:sz w:val="24"/>
                <w:szCs w:val="24"/>
                <w:highlight w:val="none"/>
                <w:lang w:val="en-US" w:eastAsia="zh-CN" w:bidi="ar"/>
              </w:rPr>
              <w:t>环境</w:t>
            </w:r>
            <w:r>
              <w:rPr>
                <w:rFonts w:hint="default" w:ascii="Times New Roman" w:hAnsi="Times New Roman" w:eastAsia="仿宋" w:cs="Times New Roman"/>
                <w:b w:val="0"/>
                <w:bCs w:val="0"/>
                <w:color w:val="auto"/>
                <w:kern w:val="0"/>
                <w:sz w:val="24"/>
                <w:szCs w:val="24"/>
              </w:rPr>
              <w:t>质量不断优化的原则，结合环境质量现状和相关规划、功能区划要求，考虑环境质量改善潜力，确定的分区域分阶段环境质量目标及相应的环境管控、污染物排放控制等要求。项目所在区域地下水环境、声环境及土壤环境质量现状良好，均可达到相应的环境功能区划要求。项目污染物经处理后达标排放，对周边环境质量影响较小，符合环境质量底线要求。</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val="0"/>
                <w:bCs/>
                <w:color w:val="auto"/>
                <w:kern w:val="0"/>
                <w:sz w:val="24"/>
                <w:szCs w:val="24"/>
              </w:rPr>
            </w:pPr>
            <w:r>
              <w:rPr>
                <w:rFonts w:hint="default" w:ascii="Times New Roman" w:hAnsi="Times New Roman" w:eastAsia="仿宋" w:cs="Times New Roman"/>
                <w:b w:val="0"/>
                <w:bCs/>
                <w:color w:val="auto"/>
                <w:kern w:val="0"/>
                <w:sz w:val="24"/>
                <w:szCs w:val="24"/>
              </w:rPr>
              <w:t>③资源利用上线</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val="0"/>
                <w:bCs/>
                <w:color w:val="auto"/>
                <w:kern w:val="0"/>
                <w:sz w:val="24"/>
                <w:szCs w:val="24"/>
              </w:rPr>
            </w:pPr>
            <w:r>
              <w:rPr>
                <w:rFonts w:hint="default" w:ascii="Times New Roman" w:hAnsi="Times New Roman" w:eastAsia="仿宋" w:cs="Times New Roman"/>
                <w:b w:val="0"/>
                <w:bCs/>
                <w:color w:val="auto"/>
                <w:kern w:val="0"/>
                <w:sz w:val="24"/>
                <w:szCs w:val="24"/>
              </w:rPr>
              <w:t>依据《生态保护红线、环境质量底线、资源利用上线和环境准入负面清单编制技术指南（试行）》（环办环评[2017]99号），资源利用上线是指按照自然资源资产“只能增值、不能贬值”的原则，以保证生态安全和改善环境质量为目的，利用自然资源资产负债表，结合自然资源开发管控，提出的分区域分阶段的资源开发利用总量、强度、效率等上线管控要求。本项目主要进行煤炭提质工作，项目建设不会对区域资源利用上线造成冲击。</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val="0"/>
                <w:bCs/>
                <w:color w:val="auto"/>
                <w:kern w:val="0"/>
                <w:sz w:val="24"/>
                <w:szCs w:val="24"/>
              </w:rPr>
            </w:pPr>
            <w:r>
              <w:rPr>
                <w:rFonts w:hint="default" w:ascii="Times New Roman" w:hAnsi="Times New Roman" w:eastAsia="仿宋" w:cs="Times New Roman"/>
                <w:b w:val="0"/>
                <w:bCs/>
                <w:color w:val="auto"/>
                <w:kern w:val="0"/>
                <w:sz w:val="24"/>
                <w:szCs w:val="24"/>
              </w:rPr>
              <w:t>④生态环境准入清单</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rPr>
              <w:t>根据吐鲁番市人民政府办公室2021年6月发布的《吐鲁番市“三线一单”生态环境分区管控方案》（吐政办〔2021〕24号），吐鲁番市共划定管控单元64个，优先保护单元17个，重点管控单元36个，一般管控单元11个</w:t>
            </w:r>
            <w:r>
              <w:rPr>
                <w:rFonts w:hint="default" w:ascii="Times New Roman" w:hAnsi="Times New Roman" w:eastAsia="仿宋" w:cs="Times New Roman"/>
                <w:b w:val="0"/>
                <w:bCs/>
                <w:color w:val="auto"/>
                <w:kern w:val="0"/>
                <w:sz w:val="24"/>
                <w:szCs w:val="24"/>
                <w:highlight w:val="none"/>
                <w:lang w:eastAsia="zh-CN"/>
              </w:rPr>
              <w:t>，</w:t>
            </w:r>
            <w:r>
              <w:rPr>
                <w:rFonts w:hint="default" w:ascii="Times New Roman" w:hAnsi="Times New Roman" w:eastAsia="仿宋" w:cs="Times New Roman"/>
                <w:b w:val="0"/>
                <w:bCs/>
                <w:color w:val="auto"/>
                <w:kern w:val="0"/>
                <w:sz w:val="24"/>
                <w:szCs w:val="24"/>
                <w:highlight w:val="none"/>
              </w:rPr>
              <w:t>本项目位于新疆吐鲁番市</w:t>
            </w:r>
            <w:r>
              <w:rPr>
                <w:rFonts w:hint="eastAsia" w:eastAsia="仿宋" w:cs="Times New Roman"/>
                <w:b w:val="0"/>
                <w:bCs/>
                <w:color w:val="auto"/>
                <w:kern w:val="0"/>
                <w:sz w:val="24"/>
                <w:szCs w:val="24"/>
                <w:highlight w:val="none"/>
                <w:lang w:eastAsia="zh-CN"/>
              </w:rPr>
              <w:t>鄯善县连木沁镇</w:t>
            </w:r>
            <w:r>
              <w:rPr>
                <w:rFonts w:hint="default" w:ascii="Times New Roman" w:hAnsi="Times New Roman" w:eastAsia="仿宋" w:cs="Times New Roman"/>
                <w:b w:val="0"/>
                <w:bCs/>
                <w:color w:val="auto"/>
                <w:kern w:val="0"/>
                <w:sz w:val="24"/>
                <w:szCs w:val="24"/>
                <w:highlight w:val="none"/>
              </w:rPr>
              <w:t>，</w:t>
            </w:r>
            <w:r>
              <w:rPr>
                <w:rFonts w:hint="default" w:ascii="Times New Roman" w:hAnsi="Times New Roman" w:eastAsia="仿宋" w:cs="Times New Roman"/>
                <w:b w:val="0"/>
                <w:bCs/>
                <w:color w:val="auto"/>
                <w:kern w:val="0"/>
                <w:sz w:val="24"/>
                <w:szCs w:val="24"/>
                <w:highlight w:val="none"/>
                <w:lang w:val="en-US" w:eastAsia="zh-CN"/>
              </w:rPr>
              <w:t>环境管控单元编码为</w:t>
            </w:r>
            <w:r>
              <w:rPr>
                <w:rFonts w:hint="default" w:ascii="Times New Roman" w:hAnsi="Times New Roman" w:eastAsia="仿宋" w:cs="Times New Roman"/>
                <w:b w:val="0"/>
                <w:bCs/>
                <w:color w:val="auto"/>
                <w:kern w:val="0"/>
                <w:sz w:val="24"/>
                <w:szCs w:val="24"/>
              </w:rPr>
              <w:t>ZH65042130004</w:t>
            </w:r>
            <w:r>
              <w:rPr>
                <w:rFonts w:hint="default" w:ascii="Times New Roman" w:hAnsi="Times New Roman" w:eastAsia="仿宋" w:cs="Times New Roman"/>
                <w:b w:val="0"/>
                <w:bCs/>
                <w:color w:val="auto"/>
                <w:kern w:val="0"/>
                <w:sz w:val="24"/>
                <w:szCs w:val="24"/>
                <w:highlight w:val="none"/>
                <w:lang w:val="en-US" w:eastAsia="zh-CN"/>
              </w:rPr>
              <w:t>，</w:t>
            </w:r>
            <w:r>
              <w:rPr>
                <w:rFonts w:hint="default" w:ascii="Times New Roman" w:hAnsi="Times New Roman" w:eastAsia="仿宋" w:cs="Times New Roman"/>
                <w:b w:val="0"/>
                <w:bCs/>
                <w:color w:val="auto"/>
                <w:kern w:val="0"/>
                <w:sz w:val="24"/>
                <w:szCs w:val="24"/>
                <w:highlight w:val="none"/>
              </w:rPr>
              <w:t>根据吐政办〔2021〕24号项目所在单元属于</w:t>
            </w:r>
            <w:r>
              <w:rPr>
                <w:rFonts w:hint="default" w:ascii="Times New Roman" w:hAnsi="Times New Roman" w:eastAsia="仿宋" w:cs="Times New Roman"/>
                <w:b w:val="0"/>
                <w:bCs/>
                <w:color w:val="auto"/>
                <w:kern w:val="0"/>
                <w:sz w:val="24"/>
                <w:szCs w:val="24"/>
              </w:rPr>
              <w:t>鄯善县其他一般管控单元</w:t>
            </w:r>
            <w:r>
              <w:rPr>
                <w:rFonts w:hint="default" w:ascii="Times New Roman" w:hAnsi="Times New Roman" w:eastAsia="仿宋" w:cs="Times New Roman"/>
                <w:b w:val="0"/>
                <w:bCs/>
                <w:color w:val="auto"/>
                <w:kern w:val="0"/>
                <w:sz w:val="24"/>
                <w:szCs w:val="24"/>
                <w:highlight w:val="none"/>
              </w:rPr>
              <w:t>，符合性分析见表1-</w:t>
            </w:r>
            <w:r>
              <w:rPr>
                <w:rFonts w:hint="eastAsia" w:eastAsia="仿宋" w:cs="Times New Roman"/>
                <w:b w:val="0"/>
                <w:bCs/>
                <w:color w:val="auto"/>
                <w:kern w:val="0"/>
                <w:sz w:val="24"/>
                <w:szCs w:val="24"/>
                <w:highlight w:val="none"/>
                <w:lang w:val="en-US" w:eastAsia="zh-CN"/>
              </w:rPr>
              <w:t>4</w:t>
            </w:r>
            <w:r>
              <w:rPr>
                <w:rFonts w:hint="default" w:ascii="Times New Roman" w:hAnsi="Times New Roman" w:eastAsia="仿宋" w:cs="Times New Roman"/>
                <w:b w:val="0"/>
                <w:bCs/>
                <w:color w:val="auto"/>
                <w:kern w:val="0"/>
                <w:sz w:val="24"/>
                <w:szCs w:val="24"/>
                <w:highlight w:val="none"/>
              </w:rPr>
              <w:t>。</w:t>
            </w:r>
            <w:r>
              <w:rPr>
                <w:rFonts w:hint="eastAsia" w:ascii="Times New Roman" w:hAnsi="Times New Roman" w:eastAsia="仿宋" w:cs="Times New Roman"/>
                <w:b w:val="0"/>
                <w:bCs/>
                <w:color w:val="auto"/>
                <w:kern w:val="0"/>
                <w:sz w:val="24"/>
                <w:szCs w:val="24"/>
                <w:highlight w:val="none"/>
                <w:lang w:val="en-US" w:eastAsia="zh-CN"/>
              </w:rPr>
              <w:t>详见图1-1：项目与吐鲁番市环境综合管控单元关系图。</w:t>
            </w:r>
          </w:p>
          <w:p>
            <w:pPr>
              <w:keepNext w:val="0"/>
              <w:keepLines w:val="0"/>
              <w:pageBreakBefore w:val="0"/>
              <w:widowControl w:val="0"/>
              <w:kinsoku/>
              <w:wordWrap/>
              <w:overflowPunct/>
              <w:topLinePunct w:val="0"/>
              <w:autoSpaceDE w:val="0"/>
              <w:autoSpaceDN w:val="0"/>
              <w:bidi w:val="0"/>
              <w:adjustRightInd/>
              <w:snapToGrid/>
              <w:spacing w:line="360" w:lineRule="auto"/>
              <w:ind w:firstLine="422"/>
              <w:jc w:val="center"/>
              <w:textAlignment w:val="auto"/>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表1-</w:t>
            </w:r>
            <w:r>
              <w:rPr>
                <w:rFonts w:hint="eastAsia" w:eastAsia="仿宋" w:cs="Times New Roman"/>
                <w:b/>
                <w:color w:val="auto"/>
                <w:kern w:val="0"/>
                <w:sz w:val="21"/>
                <w:szCs w:val="21"/>
                <w:highlight w:val="none"/>
                <w:lang w:val="en-US" w:eastAsia="zh-CN"/>
              </w:rPr>
              <w:t>4</w:t>
            </w:r>
            <w:r>
              <w:rPr>
                <w:rFonts w:hint="default" w:ascii="Times New Roman" w:hAnsi="Times New Roman" w:eastAsia="仿宋" w:cs="Times New Roman"/>
                <w:b/>
                <w:color w:val="auto"/>
                <w:kern w:val="0"/>
                <w:sz w:val="21"/>
                <w:szCs w:val="21"/>
                <w:highlight w:val="none"/>
              </w:rPr>
              <w:t>与《吐鲁番市生态环境准入清单》的符合性分析</w:t>
            </w:r>
          </w:p>
          <w:tbl>
            <w:tblPr>
              <w:tblStyle w:val="86"/>
              <w:tblW w:w="489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
              <w:gridCol w:w="4023"/>
              <w:gridCol w:w="2037"/>
              <w:gridCol w:w="5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3314" w:type="pct"/>
                  <w:gridSpan w:val="2"/>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管控要求</w:t>
                  </w:r>
                </w:p>
              </w:tc>
              <w:tc>
                <w:tcPr>
                  <w:tcW w:w="1348"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本项目情况</w:t>
                  </w:r>
                </w:p>
              </w:tc>
              <w:tc>
                <w:tcPr>
                  <w:tcW w:w="337"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重空间</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布局约束</w:t>
                  </w:r>
                </w:p>
              </w:tc>
              <w:tc>
                <w:tcPr>
                  <w:tcW w:w="2662"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1.禁止新建、扩建、改建原油加工、天然气加工、油母页岩提炼原油、煤制原油及其他石油制品、煤化工、炼焦、煤炭热解、电石、除单纯混合和分装外的化学原料制造、化学品制造、炼钢、炼铁、金属冶炼等等三类工业项目，现有三类工业项目应制定计划，限期外迁；禁止新建金属压延加工、含有电镀/喷漆等表面处理工艺的金属制品加工制造（喷漆工艺指使用油性漆量（含稀释剂）10吨及以上）等涉气二类工业项目（基础设施等民生工程除外），改、扩建的不得新增大气污染物排放因子和排放总量。</w:t>
                  </w:r>
                </w:p>
              </w:tc>
              <w:tc>
                <w:tcPr>
                  <w:tcW w:w="1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本项目不属于禁止类建设项目。</w:t>
                  </w:r>
                </w:p>
              </w:tc>
              <w:tc>
                <w:tcPr>
                  <w:tcW w:w="337"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符合</w:t>
                  </w:r>
                </w:p>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tc>
              <w:tc>
                <w:tcPr>
                  <w:tcW w:w="266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2.不得在居民集中区新建垃圾分拣中心等臭气异味影响较大的项目；不得在居民集中区新建涉及易燃易爆物质的大型仓储项目</w:t>
                  </w:r>
                </w:p>
              </w:tc>
              <w:tc>
                <w:tcPr>
                  <w:tcW w:w="1348"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本项目位于鄯善</w:t>
                  </w:r>
                  <w:r>
                    <w:rPr>
                      <w:rFonts w:hint="eastAsia" w:ascii="Times New Roman" w:hAnsi="Times New Roman" w:eastAsia="仿宋" w:cs="Times New Roman"/>
                      <w:b w:val="0"/>
                      <w:bCs/>
                      <w:color w:val="auto"/>
                      <w:kern w:val="0"/>
                      <w:sz w:val="21"/>
                      <w:szCs w:val="21"/>
                      <w:highlight w:val="none"/>
                      <w:lang w:val="en-US" w:eastAsia="zh-CN" w:bidi="ar-SA"/>
                    </w:rPr>
                    <w:t>县连木沁镇</w:t>
                  </w:r>
                  <w:r>
                    <w:rPr>
                      <w:rFonts w:hint="default" w:ascii="Times New Roman" w:hAnsi="Times New Roman" w:eastAsia="仿宋" w:cs="Times New Roman"/>
                      <w:b w:val="0"/>
                      <w:bCs/>
                      <w:color w:val="auto"/>
                      <w:kern w:val="0"/>
                      <w:sz w:val="21"/>
                      <w:szCs w:val="21"/>
                      <w:highlight w:val="none"/>
                      <w:lang w:val="en-US" w:eastAsia="zh-CN" w:bidi="ar-SA"/>
                    </w:rPr>
                    <w:t>，选址不在居民区。</w:t>
                  </w:r>
                </w:p>
              </w:tc>
              <w:tc>
                <w:tcPr>
                  <w:tcW w:w="337"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tc>
              <w:tc>
                <w:tcPr>
                  <w:tcW w:w="266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3.新建、扩建、改建公路、铁路、输油输气管道等各类工程，需要穿越、跨越坎儿井的，应当对工程建设期间、运行过程中可能给坎儿井造成的危害进行论证，并制定坎儿井保护方案。</w:t>
                  </w:r>
                </w:p>
              </w:tc>
              <w:tc>
                <w:tcPr>
                  <w:tcW w:w="1348"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eastAsia" w:ascii="Times New Roman" w:hAnsi="Times New Roman" w:eastAsia="仿宋" w:cs="Times New Roman"/>
                      <w:b w:val="0"/>
                      <w:bCs/>
                      <w:color w:val="auto"/>
                      <w:kern w:val="0"/>
                      <w:sz w:val="21"/>
                      <w:szCs w:val="21"/>
                      <w:highlight w:val="none"/>
                      <w:lang w:val="en-US" w:eastAsia="zh-CN" w:bidi="ar-SA"/>
                    </w:rPr>
                    <w:t>项目不涉及</w:t>
                  </w:r>
                  <w:r>
                    <w:rPr>
                      <w:rFonts w:hint="default" w:ascii="Times New Roman" w:hAnsi="Times New Roman" w:eastAsia="仿宋" w:cs="Times New Roman"/>
                      <w:b w:val="0"/>
                      <w:bCs/>
                      <w:color w:val="auto"/>
                      <w:kern w:val="0"/>
                      <w:sz w:val="21"/>
                      <w:szCs w:val="21"/>
                      <w:highlight w:val="none"/>
                      <w:lang w:val="en-US" w:eastAsia="zh-CN" w:bidi="ar-SA"/>
                    </w:rPr>
                    <w:t>。</w:t>
                  </w:r>
                </w:p>
              </w:tc>
              <w:tc>
                <w:tcPr>
                  <w:tcW w:w="337"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污染物</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排放管控</w:t>
                  </w:r>
                </w:p>
              </w:tc>
              <w:tc>
                <w:tcPr>
                  <w:tcW w:w="2662"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1.加强噪声和臭气异味防治。涉臭气异味企业应采取封闭、加盖等收集处理措施，提高臭气废气收集率和处理率，明显减少工业臭气异味排放；完成餐饮油烟综合整治，大中型餐饮企业（包括单位食堂）必须安装高效油烟净化装置并进行定期清洗；严格施工扬尘监管。</w:t>
                  </w:r>
                </w:p>
              </w:tc>
              <w:tc>
                <w:tcPr>
                  <w:tcW w:w="1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本项目排放污染物均能达标。</w:t>
                  </w:r>
                </w:p>
              </w:tc>
              <w:tc>
                <w:tcPr>
                  <w:tcW w:w="337"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tc>
              <w:tc>
                <w:tcPr>
                  <w:tcW w:w="266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2.加强污水处理设施运行管理，全面加强配套管网建设，推进污泥处理处置</w:t>
                  </w:r>
                </w:p>
              </w:tc>
              <w:tc>
                <w:tcPr>
                  <w:tcW w:w="1348"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w:t>
                  </w:r>
                  <w:r>
                    <w:rPr>
                      <w:rFonts w:hint="eastAsia" w:ascii="Times New Roman" w:hAnsi="Times New Roman" w:eastAsia="仿宋" w:cs="Times New Roman"/>
                      <w:b w:val="0"/>
                      <w:bCs/>
                      <w:color w:val="auto"/>
                      <w:kern w:val="0"/>
                      <w:sz w:val="21"/>
                      <w:szCs w:val="21"/>
                      <w:highlight w:val="none"/>
                      <w:lang w:val="en-US" w:eastAsia="zh-CN" w:bidi="ar-SA"/>
                    </w:rPr>
                    <w:t>不设办公生活区，无生活污水产生</w:t>
                  </w:r>
                  <w:r>
                    <w:rPr>
                      <w:rFonts w:hint="default" w:ascii="Times New Roman" w:hAnsi="Times New Roman" w:eastAsia="仿宋" w:cs="Times New Roman"/>
                      <w:b w:val="0"/>
                      <w:bCs/>
                      <w:color w:val="auto"/>
                      <w:kern w:val="0"/>
                      <w:sz w:val="21"/>
                      <w:szCs w:val="21"/>
                      <w:highlight w:val="none"/>
                      <w:lang w:val="en-US" w:eastAsia="zh-CN" w:bidi="ar-SA"/>
                    </w:rPr>
                    <w:t>。</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tc>
              <w:tc>
                <w:tcPr>
                  <w:tcW w:w="266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3.通过经济手段引导供热、供气、供电管网覆盖区域居民减少散煤使用，大力推进“电化农村”建设。逐步将风能、太阳能、电力等清洁能源利用项目扩展到各乡镇。</w:t>
                  </w: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w:t>
                  </w:r>
                  <w:r>
                    <w:rPr>
                      <w:rFonts w:hint="eastAsia" w:ascii="Times New Roman" w:hAnsi="Times New Roman" w:eastAsia="仿宋" w:cs="Times New Roman"/>
                      <w:b w:val="0"/>
                      <w:bCs/>
                      <w:color w:val="auto"/>
                      <w:kern w:val="0"/>
                      <w:sz w:val="21"/>
                      <w:szCs w:val="21"/>
                      <w:highlight w:val="none"/>
                      <w:lang w:val="en-US" w:eastAsia="zh-CN" w:bidi="ar-SA"/>
                    </w:rPr>
                    <w:t>不设办公生活区，工作人员食宿租用鄯善县连木沁镇民房。</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tc>
              <w:tc>
                <w:tcPr>
                  <w:tcW w:w="266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4.推进农业农村污染防治，防治畜禽养殖污染，科学规划布局畜禽养殖，配套建设粪便污水贮存、处理、利用设施，新改扩建规模化畜禽养殖场（小区）要实施雨污分流、粪便污水资源化利用；控制农业面源污染，控制农田化肥农药使用量，大力发展生态循环农业，加快推广测土配方施肥、</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安全用药、绿色防控、农业废弃物资源化利用等农业清洁生产技术与装备；优化种植业结构与布局；加快农村环境综合整治。</w:t>
                  </w: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本项目不涉及。</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tc>
              <w:tc>
                <w:tcPr>
                  <w:tcW w:w="266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5.推进农村生活污水治理。因地制宜，采取“以城带村”、“以乡（镇）带村”、“联村”、“单村”、“联户”、“单户”等多种方式，实施农村生活污水治理工程，合理布局，科学设计。</w:t>
                  </w:r>
                </w:p>
              </w:tc>
              <w:tc>
                <w:tcPr>
                  <w:tcW w:w="1348"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w:t>
                  </w:r>
                  <w:r>
                    <w:rPr>
                      <w:rFonts w:hint="eastAsia" w:ascii="Times New Roman" w:hAnsi="Times New Roman" w:eastAsia="仿宋" w:cs="Times New Roman"/>
                      <w:b w:val="0"/>
                      <w:bCs/>
                      <w:color w:val="auto"/>
                      <w:kern w:val="0"/>
                      <w:sz w:val="21"/>
                      <w:szCs w:val="21"/>
                      <w:highlight w:val="none"/>
                      <w:lang w:val="en-US" w:eastAsia="zh-CN" w:bidi="ar-SA"/>
                    </w:rPr>
                    <w:t>不设办公生活区，无生活污水产生。</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tc>
              <w:tc>
                <w:tcPr>
                  <w:tcW w:w="266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6.严格按照《新疆维吾尔自治区坎儿井保护条例》对区域内坎儿井进行保护，禁止向坎儿井水源、明渠、蓄水池倾倒废污水、垃圾等废弃物。</w:t>
                  </w:r>
                </w:p>
              </w:tc>
              <w:tc>
                <w:tcPr>
                  <w:tcW w:w="1348"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w:t>
                  </w:r>
                  <w:r>
                    <w:rPr>
                      <w:rFonts w:hint="eastAsia" w:ascii="Times New Roman" w:hAnsi="Times New Roman" w:eastAsia="仿宋" w:cs="Times New Roman"/>
                      <w:b w:val="0"/>
                      <w:bCs/>
                      <w:color w:val="auto"/>
                      <w:kern w:val="0"/>
                      <w:sz w:val="21"/>
                      <w:szCs w:val="21"/>
                      <w:highlight w:val="none"/>
                      <w:lang w:val="en-US" w:eastAsia="zh-CN" w:bidi="ar-SA"/>
                    </w:rPr>
                    <w:t>不涉及</w:t>
                  </w:r>
                  <w:r>
                    <w:rPr>
                      <w:rFonts w:hint="default" w:ascii="Times New Roman" w:hAnsi="Times New Roman" w:eastAsia="仿宋" w:cs="Times New Roman"/>
                      <w:b w:val="0"/>
                      <w:bCs/>
                      <w:color w:val="auto"/>
                      <w:kern w:val="0"/>
                      <w:sz w:val="21"/>
                      <w:szCs w:val="21"/>
                      <w:highlight w:val="none"/>
                      <w:lang w:val="en-US" w:eastAsia="zh-CN" w:bidi="ar-SA"/>
                    </w:rPr>
                    <w:t>。</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环境风险防控</w:t>
                  </w:r>
                </w:p>
              </w:tc>
              <w:tc>
                <w:tcPr>
                  <w:tcW w:w="2662"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1.紧邻居住、科教、医院等环境敏感点的工业用地，禁止新建环境风险潜势等级高于Ⅲ级的建设项目</w:t>
                  </w:r>
                </w:p>
              </w:tc>
              <w:tc>
                <w:tcPr>
                  <w:tcW w:w="1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w:t>
                  </w:r>
                  <w:r>
                    <w:rPr>
                      <w:rFonts w:hint="eastAsia" w:eastAsia="仿宋" w:cs="Times New Roman"/>
                      <w:b w:val="0"/>
                      <w:bCs/>
                      <w:color w:val="auto"/>
                      <w:kern w:val="0"/>
                      <w:sz w:val="21"/>
                      <w:szCs w:val="21"/>
                      <w:highlight w:val="none"/>
                      <w:lang w:val="en-US" w:eastAsia="zh-CN" w:bidi="ar-SA"/>
                    </w:rPr>
                    <w:t>无风险物质</w:t>
                  </w:r>
                  <w:r>
                    <w:rPr>
                      <w:rFonts w:hint="default" w:ascii="Times New Roman" w:hAnsi="Times New Roman" w:eastAsia="仿宋" w:cs="Times New Roman"/>
                      <w:b w:val="0"/>
                      <w:bCs/>
                      <w:color w:val="auto"/>
                      <w:kern w:val="0"/>
                      <w:sz w:val="21"/>
                      <w:szCs w:val="21"/>
                      <w:highlight w:val="none"/>
                      <w:lang w:val="en-US" w:eastAsia="zh-CN" w:bidi="ar-SA"/>
                    </w:rPr>
                    <w:t>。</w:t>
                  </w:r>
                </w:p>
              </w:tc>
              <w:tc>
                <w:tcPr>
                  <w:tcW w:w="337"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符合</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tc>
              <w:tc>
                <w:tcPr>
                  <w:tcW w:w="266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2.严格管控易导致环境风险的有毒有害和易燃易爆物质的使用和贮运，涉及此类物质的项目必须编制风险应急预案</w:t>
                  </w: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w:t>
                  </w:r>
                  <w:r>
                    <w:rPr>
                      <w:rFonts w:hint="eastAsia" w:eastAsia="仿宋" w:cs="Times New Roman"/>
                      <w:b w:val="0"/>
                      <w:bCs/>
                      <w:color w:val="auto"/>
                      <w:kern w:val="0"/>
                      <w:sz w:val="21"/>
                      <w:szCs w:val="21"/>
                      <w:highlight w:val="none"/>
                      <w:lang w:val="en-US" w:eastAsia="zh-CN" w:bidi="ar-SA"/>
                    </w:rPr>
                    <w:t>无风险物质</w:t>
                  </w:r>
                  <w:r>
                    <w:rPr>
                      <w:rFonts w:hint="default" w:ascii="Times New Roman" w:hAnsi="Times New Roman" w:eastAsia="仿宋" w:cs="Times New Roman"/>
                      <w:b w:val="0"/>
                      <w:bCs/>
                      <w:color w:val="auto"/>
                      <w:kern w:val="0"/>
                      <w:sz w:val="21"/>
                      <w:szCs w:val="21"/>
                      <w:highlight w:val="none"/>
                      <w:lang w:val="en-US" w:eastAsia="zh-CN" w:bidi="ar-SA"/>
                    </w:rPr>
                    <w:t>。</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tc>
              <w:tc>
                <w:tcPr>
                  <w:tcW w:w="266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3.强化企业环境风险防范设施设备建设和正常运行监管，建立常态化的企业隐患排查整治监管机制，涉危的风险企业应及时编制环境风险应急预案并定期更新，每年至少开展一次应急演练。强化应急物资储备和救援队伍建设</w:t>
                  </w:r>
                </w:p>
              </w:tc>
              <w:tc>
                <w:tcPr>
                  <w:tcW w:w="1348"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w:t>
                  </w:r>
                  <w:r>
                    <w:rPr>
                      <w:rFonts w:hint="eastAsia" w:eastAsia="仿宋" w:cs="Times New Roman"/>
                      <w:b w:val="0"/>
                      <w:bCs/>
                      <w:color w:val="auto"/>
                      <w:kern w:val="0"/>
                      <w:sz w:val="21"/>
                      <w:szCs w:val="21"/>
                      <w:highlight w:val="none"/>
                      <w:lang w:val="en-US" w:eastAsia="zh-CN" w:bidi="ar-SA"/>
                    </w:rPr>
                    <w:t>无风险物质</w:t>
                  </w:r>
                  <w:r>
                    <w:rPr>
                      <w:rFonts w:hint="default" w:ascii="Times New Roman" w:hAnsi="Times New Roman" w:eastAsia="仿宋" w:cs="Times New Roman"/>
                      <w:b w:val="0"/>
                      <w:bCs/>
                      <w:color w:val="auto"/>
                      <w:kern w:val="0"/>
                      <w:sz w:val="21"/>
                      <w:szCs w:val="21"/>
                      <w:highlight w:val="none"/>
                      <w:lang w:val="en-US" w:eastAsia="zh-CN" w:bidi="ar-SA"/>
                    </w:rPr>
                    <w:t>。</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tc>
              <w:tc>
                <w:tcPr>
                  <w:tcW w:w="266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4.加强风险防控体系建设，防范环境风险。稳妥处置突发环境污染事件，制定和完善污染事故处置应急预案，强化危险源、敏感点的监测、分析、预测、预警</w:t>
                  </w:r>
                </w:p>
              </w:tc>
              <w:tc>
                <w:tcPr>
                  <w:tcW w:w="1348"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w:t>
                  </w:r>
                  <w:r>
                    <w:rPr>
                      <w:rFonts w:hint="eastAsia" w:eastAsia="仿宋" w:cs="Times New Roman"/>
                      <w:b w:val="0"/>
                      <w:bCs/>
                      <w:color w:val="auto"/>
                      <w:kern w:val="0"/>
                      <w:sz w:val="21"/>
                      <w:szCs w:val="21"/>
                      <w:highlight w:val="none"/>
                      <w:lang w:val="en-US" w:eastAsia="zh-CN" w:bidi="ar-SA"/>
                    </w:rPr>
                    <w:t>无风险物质</w:t>
                  </w:r>
                  <w:r>
                    <w:rPr>
                      <w:rFonts w:hint="default" w:ascii="Times New Roman" w:hAnsi="Times New Roman" w:eastAsia="仿宋" w:cs="Times New Roman"/>
                      <w:b w:val="0"/>
                      <w:bCs/>
                      <w:color w:val="auto"/>
                      <w:kern w:val="0"/>
                      <w:sz w:val="21"/>
                      <w:szCs w:val="21"/>
                      <w:highlight w:val="none"/>
                      <w:lang w:val="en-US" w:eastAsia="zh-CN" w:bidi="ar-SA"/>
                    </w:rPr>
                    <w:t>。</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资源利</w:t>
                  </w:r>
                </w:p>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用要求</w:t>
                  </w:r>
                </w:p>
              </w:tc>
              <w:tc>
                <w:tcPr>
                  <w:tcW w:w="266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全面开展节水型社会建设，推进节水产品推广普及，限制高耗水服务业用水</w:t>
                  </w:r>
                </w:p>
              </w:tc>
              <w:tc>
                <w:tcPr>
                  <w:tcW w:w="1348"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本项目不属于高耗水行业。</w:t>
                  </w:r>
                </w:p>
              </w:tc>
              <w:tc>
                <w:tcPr>
                  <w:tcW w:w="337"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符合</w:t>
                  </w: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eastAsia="仿宋" w:cs="Times New Roman"/>
                <w:b/>
                <w:bCs/>
                <w:color w:val="auto"/>
                <w:spacing w:val="-1"/>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eastAsia="仿宋" w:cs="Times New Roman"/>
                <w:b/>
                <w:bCs/>
                <w:color w:val="auto"/>
                <w:spacing w:val="-1"/>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eastAsia="仿宋" w:cs="Times New Roman"/>
                <w:b/>
                <w:bCs/>
                <w:color w:val="auto"/>
                <w:spacing w:val="-1"/>
                <w:highlight w:val="none"/>
              </w:rPr>
            </w:pPr>
            <w:r>
              <w:rPr>
                <w:rFonts w:hint="default" w:ascii="Times New Roman" w:hAnsi="Times New Roman" w:eastAsia="仿宋" w:cs="Times New Roman"/>
                <w:b/>
                <w:bCs/>
                <w:color w:val="auto"/>
                <w:spacing w:val="-1"/>
                <w:highlight w:val="none"/>
              </w:rPr>
              <w:t>表 1-</w:t>
            </w:r>
            <w:r>
              <w:rPr>
                <w:rFonts w:hint="eastAsia" w:eastAsia="仿宋" w:cs="Times New Roman"/>
                <w:b/>
                <w:bCs/>
                <w:color w:val="auto"/>
                <w:spacing w:val="-1"/>
                <w:highlight w:val="none"/>
                <w:lang w:val="en-US" w:eastAsia="zh-CN"/>
              </w:rPr>
              <w:t>5</w:t>
            </w:r>
            <w:r>
              <w:rPr>
                <w:rFonts w:hint="default" w:ascii="Times New Roman" w:hAnsi="Times New Roman" w:eastAsia="仿宋" w:cs="Times New Roman"/>
                <w:b/>
                <w:bCs/>
                <w:color w:val="auto"/>
                <w:spacing w:val="-1"/>
                <w:highlight w:val="none"/>
              </w:rPr>
              <w:t xml:space="preserve">  项目与鄯善县环境管控单元生态环境准入清单（ 一般管控单元）符合性</w:t>
            </w:r>
          </w:p>
          <w:tbl>
            <w:tblPr>
              <w:tblStyle w:val="25"/>
              <w:tblW w:w="7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19"/>
              <w:gridCol w:w="637"/>
              <w:gridCol w:w="489"/>
              <w:gridCol w:w="3120"/>
              <w:gridCol w:w="1498"/>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Cs/>
                      <w:color w:val="auto"/>
                      <w:sz w:val="21"/>
                      <w:szCs w:val="21"/>
                      <w:lang w:bidi="en-US"/>
                    </w:rPr>
                  </w:pPr>
                  <w:r>
                    <w:rPr>
                      <w:rFonts w:hint="default" w:ascii="Times New Roman" w:hAnsi="Times New Roman" w:eastAsia="仿宋" w:cs="Times New Roman"/>
                      <w:b w:val="0"/>
                      <w:bCs/>
                      <w:color w:val="auto"/>
                      <w:kern w:val="0"/>
                      <w:sz w:val="21"/>
                      <w:szCs w:val="21"/>
                      <w:lang w:val="en-US" w:eastAsia="zh-CN"/>
                    </w:rPr>
                    <w:t>管控单元编码</w:t>
                  </w:r>
                </w:p>
              </w:tc>
              <w:tc>
                <w:tcPr>
                  <w:tcW w:w="46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环境管控单元名称</w:t>
                  </w:r>
                </w:p>
              </w:tc>
              <w:tc>
                <w:tcPr>
                  <w:tcW w:w="4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Cs/>
                      <w:color w:val="auto"/>
                      <w:sz w:val="21"/>
                      <w:szCs w:val="21"/>
                      <w:lang w:val="en-US" w:eastAsia="zh-CN" w:bidi="en-US"/>
                    </w:rPr>
                  </w:pPr>
                  <w:r>
                    <w:rPr>
                      <w:rFonts w:hint="default" w:ascii="Times New Roman" w:hAnsi="Times New Roman" w:eastAsia="仿宋" w:cs="Times New Roman"/>
                      <w:bCs/>
                      <w:color w:val="auto"/>
                      <w:sz w:val="21"/>
                      <w:szCs w:val="21"/>
                      <w:lang w:val="en-US" w:eastAsia="zh-CN" w:bidi="en-US"/>
                    </w:rPr>
                    <w:t>环境管控单元类别</w:t>
                  </w:r>
                </w:p>
              </w:tc>
              <w:tc>
                <w:tcPr>
                  <w:tcW w:w="2350"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lang w:val="en-US" w:eastAsia="zh-CN" w:bidi="en-US"/>
                    </w:rPr>
                  </w:pPr>
                  <w:r>
                    <w:rPr>
                      <w:rFonts w:hint="default" w:ascii="Times New Roman" w:hAnsi="Times New Roman" w:eastAsia="仿宋" w:cs="Times New Roman"/>
                      <w:color w:val="auto"/>
                      <w:sz w:val="21"/>
                      <w:szCs w:val="21"/>
                      <w:lang w:val="en-US" w:eastAsia="zh-CN" w:bidi="en-US"/>
                    </w:rPr>
                    <w:t>管控要求</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lang w:val="en-US" w:eastAsia="zh-CN" w:bidi="en-US"/>
                    </w:rPr>
                  </w:pPr>
                  <w:r>
                    <w:rPr>
                      <w:rFonts w:hint="default" w:ascii="Times New Roman" w:hAnsi="Times New Roman" w:eastAsia="仿宋" w:cs="Times New Roman"/>
                      <w:color w:val="auto"/>
                      <w:sz w:val="21"/>
                      <w:szCs w:val="21"/>
                      <w:lang w:bidi="en-US"/>
                    </w:rPr>
                    <w:t>本项目情况</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lang w:val="en-US" w:eastAsia="zh-CN" w:bidi="en-US"/>
                    </w:rPr>
                  </w:pPr>
                  <w:r>
                    <w:rPr>
                      <w:rFonts w:hint="eastAsia" w:ascii="Times New Roman" w:hAnsi="Times New Roman" w:eastAsia="仿宋" w:cs="Times New Roman"/>
                      <w:color w:val="auto"/>
                      <w:sz w:val="21"/>
                      <w:szCs w:val="21"/>
                      <w:lang w:val="en-US" w:eastAsia="zh-CN" w:bidi="en-US"/>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r>
                    <w:rPr>
                      <w:rFonts w:hint="default" w:ascii="Times New Roman" w:hAnsi="Times New Roman" w:eastAsia="仿宋" w:cs="Times New Roman"/>
                      <w:bCs/>
                      <w:color w:val="auto"/>
                      <w:sz w:val="21"/>
                      <w:szCs w:val="21"/>
                      <w:lang w:bidi="en-US"/>
                    </w:rPr>
                    <w:t>ZH65042130004</w:t>
                  </w:r>
                </w:p>
              </w:tc>
              <w:tc>
                <w:tcPr>
                  <w:tcW w:w="46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val="0"/>
                      <w:bCs/>
                      <w:color w:val="auto"/>
                      <w:sz w:val="21"/>
                      <w:szCs w:val="21"/>
                      <w:lang w:bidi="en-US"/>
                    </w:rPr>
                  </w:pPr>
                  <w:r>
                    <w:rPr>
                      <w:rFonts w:hint="default" w:ascii="Times New Roman" w:hAnsi="Times New Roman" w:eastAsia="仿宋" w:cs="Times New Roman"/>
                      <w:b w:val="0"/>
                      <w:bCs/>
                      <w:color w:val="auto"/>
                      <w:sz w:val="21"/>
                      <w:szCs w:val="21"/>
                      <w:lang w:bidi="en-US"/>
                    </w:rPr>
                    <w:t>鄯善县其他一般管控单元</w:t>
                  </w:r>
                </w:p>
              </w:tc>
              <w:tc>
                <w:tcPr>
                  <w:tcW w:w="41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val="0"/>
                      <w:bCs/>
                      <w:color w:val="auto"/>
                      <w:sz w:val="21"/>
                      <w:szCs w:val="21"/>
                      <w:lang w:bidi="en-US"/>
                    </w:rPr>
                  </w:pPr>
                  <w:r>
                    <w:rPr>
                      <w:rFonts w:hint="default" w:ascii="Times New Roman" w:hAnsi="Times New Roman" w:eastAsia="仿宋" w:cs="Times New Roman"/>
                      <w:b w:val="0"/>
                      <w:bCs/>
                      <w:color w:val="auto"/>
                      <w:sz w:val="21"/>
                      <w:szCs w:val="21"/>
                      <w:lang w:bidi="en-US"/>
                    </w:rPr>
                    <w:t>一般管控单元</w:t>
                  </w:r>
                </w:p>
              </w:tc>
              <w:tc>
                <w:tcPr>
                  <w:tcW w:w="3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r>
                    <w:rPr>
                      <w:rFonts w:hint="default" w:ascii="Times New Roman" w:hAnsi="Times New Roman" w:eastAsia="仿宋" w:cs="Times New Roman"/>
                      <w:bCs/>
                      <w:color w:val="auto"/>
                      <w:sz w:val="21"/>
                      <w:szCs w:val="21"/>
                      <w:lang w:bidi="en-US"/>
                    </w:rPr>
                    <w:t>空间布局约束</w:t>
                  </w:r>
                </w:p>
              </w:tc>
              <w:tc>
                <w:tcPr>
                  <w:tcW w:w="2031" w:type="pct"/>
                  <w:shd w:val="clear" w:color="auto" w:fill="auto"/>
                  <w:vAlign w:val="center"/>
                </w:tcPr>
                <w:p>
                  <w:pPr>
                    <w:adjustRightInd w:val="0"/>
                    <w:snapToGrid w:val="0"/>
                    <w:spacing w:line="240" w:lineRule="auto"/>
                    <w:ind w:left="0" w:leftChars="0" w:firstLine="0" w:firstLineChars="0"/>
                    <w:rPr>
                      <w:rFonts w:ascii="仿宋_GB2312" w:hAnsi="Times New Roman" w:eastAsia="仿宋_GB2312" w:cs="Times New Roman"/>
                      <w:color w:val="auto"/>
                      <w:lang w:bidi="en-US"/>
                    </w:rPr>
                  </w:pPr>
                  <w:r>
                    <w:rPr>
                      <w:rFonts w:hint="eastAsia" w:ascii="仿宋_GB2312" w:hAnsi="Times New Roman" w:eastAsia="仿宋_GB2312" w:cs="Times New Roman"/>
                      <w:color w:val="auto"/>
                      <w:lang w:bidi="en-US"/>
                    </w:rPr>
                    <w:t>1.原则上禁止建设涉及一类重金属、持久性有机污染物排放的工业项目。</w:t>
                  </w:r>
                </w:p>
                <w:p>
                  <w:pPr>
                    <w:adjustRightInd w:val="0"/>
                    <w:snapToGrid w:val="0"/>
                    <w:spacing w:line="240" w:lineRule="auto"/>
                    <w:ind w:left="0" w:leftChars="0" w:firstLine="0" w:firstLineChars="0"/>
                    <w:rPr>
                      <w:rFonts w:ascii="仿宋_GB2312" w:hAnsi="Times New Roman" w:eastAsia="仿宋_GB2312" w:cs="Times New Roman"/>
                      <w:color w:val="auto"/>
                      <w:lang w:bidi="en-US"/>
                    </w:rPr>
                  </w:pPr>
                  <w:r>
                    <w:rPr>
                      <w:rFonts w:ascii="仿宋_GB2312" w:hAnsi="Times New Roman" w:eastAsia="仿宋_GB2312" w:cs="Times New Roman"/>
                      <w:color w:val="auto"/>
                      <w:lang w:bidi="en-US"/>
                    </w:rPr>
                    <w:t>2.</w:t>
                  </w:r>
                  <w:r>
                    <w:rPr>
                      <w:rFonts w:hint="eastAsia" w:ascii="仿宋_GB2312" w:hAnsi="Times New Roman" w:eastAsia="仿宋_GB2312" w:cs="Times New Roman"/>
                      <w:color w:val="auto"/>
                      <w:lang w:bidi="en-US"/>
                    </w:rPr>
                    <w:t>限制进行大规模高强度工业化、城镇化开发，严格控制金属冶炼、石油化工、焦化等“高污染、高环境风险产品”工业项目，原则上不增加产能。现有“高污染、高环境风险产品”工业项目持续削减污染物排放总量并严格控制环境风险。</w:t>
                  </w:r>
                </w:p>
                <w:p>
                  <w:pPr>
                    <w:adjustRightInd w:val="0"/>
                    <w:snapToGrid w:val="0"/>
                    <w:spacing w:line="240" w:lineRule="auto"/>
                    <w:ind w:left="0" w:leftChars="0" w:firstLine="0" w:firstLineChars="0"/>
                    <w:rPr>
                      <w:rFonts w:ascii="仿宋_GB2312" w:hAnsi="Times New Roman" w:eastAsia="仿宋_GB2312" w:cs="Times New Roman"/>
                      <w:color w:val="auto"/>
                      <w:lang w:bidi="en-US"/>
                    </w:rPr>
                  </w:pPr>
                  <w:r>
                    <w:rPr>
                      <w:rFonts w:ascii="仿宋_GB2312" w:hAnsi="Times New Roman" w:eastAsia="仿宋_GB2312" w:cs="Times New Roman"/>
                      <w:color w:val="auto"/>
                      <w:lang w:bidi="en-US"/>
                    </w:rPr>
                    <w:t>3.</w:t>
                  </w:r>
                  <w:r>
                    <w:rPr>
                      <w:rFonts w:hint="eastAsia" w:ascii="仿宋_GB2312" w:hAnsi="Times New Roman" w:eastAsia="仿宋_GB2312" w:cs="Times New Roman"/>
                      <w:color w:val="auto"/>
                      <w:lang w:bidi="en-US"/>
                    </w:rPr>
                    <w:t>推进新能源的开发和利用，鼓励发展风力发电和太阳能发电。</w:t>
                  </w:r>
                </w:p>
                <w:p>
                  <w:pPr>
                    <w:adjustRightInd w:val="0"/>
                    <w:snapToGrid w:val="0"/>
                    <w:spacing w:line="240" w:lineRule="auto"/>
                    <w:ind w:left="0" w:leftChars="0" w:firstLine="0" w:firstLineChars="0"/>
                    <w:rPr>
                      <w:rFonts w:hint="default" w:ascii="Times New Roman" w:hAnsi="Times New Roman" w:eastAsia="仿宋" w:cs="Times New Roman"/>
                      <w:color w:val="auto"/>
                      <w:sz w:val="21"/>
                      <w:szCs w:val="21"/>
                      <w:lang w:bidi="en-US"/>
                    </w:rPr>
                  </w:pPr>
                  <w:r>
                    <w:rPr>
                      <w:rFonts w:ascii="仿宋_GB2312" w:hAnsi="Times New Roman" w:eastAsia="仿宋_GB2312" w:cs="Times New Roman"/>
                      <w:color w:val="auto"/>
                      <w:lang w:bidi="en-US"/>
                    </w:rPr>
                    <w:t>4</w:t>
                  </w:r>
                  <w:r>
                    <w:rPr>
                      <w:rFonts w:hint="eastAsia" w:ascii="仿宋_GB2312" w:hAnsi="Times New Roman" w:eastAsia="仿宋_GB2312" w:cs="Times New Roman"/>
                      <w:color w:val="auto"/>
                      <w:lang w:bidi="en-US"/>
                    </w:rPr>
                    <w:t>.建立集镇居住商业区、耕地保护区与工业功能区等集聚区块之间的防护带。</w:t>
                  </w:r>
                  <w:r>
                    <w:rPr>
                      <w:rFonts w:ascii="仿宋_GB2312" w:hAnsi="Times New Roman" w:eastAsia="仿宋_GB2312" w:cs="Times New Roman"/>
                      <w:color w:val="auto"/>
                      <w:lang w:bidi="en-US"/>
                    </w:rPr>
                    <w:t>5.</w:t>
                  </w:r>
                  <w:r>
                    <w:rPr>
                      <w:rFonts w:hint="eastAsia" w:ascii="仿宋_GB2312" w:hAnsi="Times New Roman" w:eastAsia="仿宋_GB2312" w:cs="Times New Roman"/>
                      <w:color w:val="auto"/>
                      <w:lang w:bidi="en-US"/>
                    </w:rPr>
                    <w:t>严格执行畜禽养殖禁养区规定，根据区域用地和消纳水平，合理确定养殖规模。加强基本农田保护，严格限制非农项目占用耕地。</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sz w:val="21"/>
                      <w:szCs w:val="21"/>
                      <w:lang w:bidi="en-US"/>
                    </w:rPr>
                    <w:t>本项目均不涉及</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Times New Roman" w:hAnsi="Times New Roman" w:eastAsia="仿宋" w:cs="Times New Roman"/>
                      <w:color w:val="auto"/>
                      <w:sz w:val="21"/>
                      <w:szCs w:val="21"/>
                      <w:lang w:val="en-US" w:eastAsia="zh-CN" w:bidi="en-US"/>
                    </w:rPr>
                  </w:pPr>
                  <w:r>
                    <w:rPr>
                      <w:rFonts w:hint="eastAsia" w:ascii="Times New Roman" w:hAnsi="Times New Roman" w:eastAsia="仿宋" w:cs="Times New Roman"/>
                      <w:color w:val="auto"/>
                      <w:sz w:val="21"/>
                      <w:szCs w:val="21"/>
                      <w:lang w:val="en-US" w:eastAsia="zh-CN" w:bidi="en-US"/>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6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1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3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r>
                    <w:rPr>
                      <w:rFonts w:hint="default" w:ascii="Times New Roman" w:hAnsi="Times New Roman" w:eastAsia="仿宋" w:cs="Times New Roman"/>
                      <w:bCs/>
                      <w:color w:val="auto"/>
                      <w:sz w:val="21"/>
                      <w:szCs w:val="21"/>
                      <w:lang w:bidi="en-US"/>
                    </w:rPr>
                    <w:t>污染物排放管控</w:t>
                  </w:r>
                </w:p>
              </w:tc>
              <w:tc>
                <w:tcPr>
                  <w:tcW w:w="2031" w:type="pct"/>
                  <w:shd w:val="clear" w:color="auto" w:fill="auto"/>
                  <w:vAlign w:val="center"/>
                </w:tcPr>
                <w:p>
                  <w:pPr>
                    <w:adjustRightInd w:val="0"/>
                    <w:snapToGrid w:val="0"/>
                    <w:spacing w:line="240" w:lineRule="auto"/>
                    <w:ind w:left="0" w:leftChars="0" w:firstLine="0" w:firstLineChars="0"/>
                    <w:rPr>
                      <w:rFonts w:ascii="仿宋_GB2312" w:hAnsi="Times New Roman" w:eastAsia="仿宋_GB2312" w:cs="Times New Roman"/>
                      <w:color w:val="auto"/>
                      <w:lang w:bidi="en-US"/>
                    </w:rPr>
                  </w:pPr>
                  <w:r>
                    <w:rPr>
                      <w:rFonts w:hint="eastAsia" w:ascii="Times New Roman" w:hAnsi="Times New Roman" w:eastAsia="仿宋_GB2312" w:cs="Times New Roman"/>
                      <w:bCs/>
                      <w:color w:val="auto"/>
                    </w:rPr>
                    <w:t>1</w:t>
                  </w:r>
                  <w:r>
                    <w:rPr>
                      <w:rFonts w:ascii="Times New Roman" w:hAnsi="Times New Roman" w:eastAsia="仿宋_GB2312" w:cs="Times New Roman"/>
                      <w:bCs/>
                      <w:color w:val="auto"/>
                    </w:rPr>
                    <w:t>.加强农业面源污染治理，严格控制化肥农药施加量，逐步削减农业面源污染物排放量</w:t>
                  </w:r>
                  <w:r>
                    <w:rPr>
                      <w:rFonts w:hint="eastAsia" w:ascii="仿宋_GB2312" w:hAnsi="Times New Roman" w:eastAsia="仿宋_GB2312" w:cs="Times New Roman"/>
                      <w:color w:val="auto"/>
                      <w:lang w:bidi="en-US"/>
                    </w:rPr>
                    <w:t>。</w:t>
                  </w:r>
                </w:p>
                <w:p>
                  <w:pPr>
                    <w:adjustRightInd w:val="0"/>
                    <w:snapToGrid w:val="0"/>
                    <w:spacing w:line="240" w:lineRule="auto"/>
                    <w:ind w:left="0" w:leftChars="0" w:firstLine="0" w:firstLineChars="0"/>
                    <w:rPr>
                      <w:rFonts w:hint="default" w:ascii="Times New Roman" w:hAnsi="Times New Roman" w:eastAsia="仿宋" w:cs="Times New Roman"/>
                      <w:color w:val="auto"/>
                      <w:sz w:val="21"/>
                      <w:szCs w:val="21"/>
                      <w:lang w:bidi="en-US"/>
                    </w:rPr>
                  </w:pPr>
                  <w:r>
                    <w:rPr>
                      <w:rFonts w:ascii="仿宋_GB2312" w:hAnsi="Times New Roman" w:eastAsia="仿宋_GB2312" w:cs="Times New Roman"/>
                      <w:color w:val="auto"/>
                      <w:lang w:bidi="en-US"/>
                    </w:rPr>
                    <w:t>2</w:t>
                  </w:r>
                  <w:r>
                    <w:rPr>
                      <w:rFonts w:hint="eastAsia" w:ascii="仿宋_GB2312" w:hAnsi="Times New Roman" w:eastAsia="仿宋_GB2312" w:cs="Times New Roman"/>
                      <w:color w:val="auto"/>
                      <w:lang w:bidi="en-US"/>
                    </w:rPr>
                    <w:t>.加强矿产资源开采的环境保护工作。</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kern w:val="0"/>
                      <w:sz w:val="21"/>
                      <w:szCs w:val="21"/>
                    </w:rPr>
                    <w:t>本项目按规范</w:t>
                  </w:r>
                  <w:r>
                    <w:rPr>
                      <w:rFonts w:hint="default" w:ascii="Times New Roman" w:hAnsi="Times New Roman" w:eastAsia="仿宋" w:cs="Times New Roman"/>
                      <w:color w:val="auto"/>
                      <w:kern w:val="0"/>
                      <w:sz w:val="21"/>
                      <w:szCs w:val="21"/>
                      <w:lang w:val="en-US" w:eastAsia="zh-CN"/>
                    </w:rPr>
                    <w:t>委托新疆瑞新源矿业技术有限公司</w:t>
                  </w:r>
                  <w:r>
                    <w:rPr>
                      <w:rFonts w:hint="default" w:ascii="Times New Roman" w:hAnsi="Times New Roman" w:eastAsia="仿宋" w:cs="Times New Roman"/>
                      <w:color w:val="auto"/>
                      <w:kern w:val="0"/>
                      <w:sz w:val="21"/>
                      <w:szCs w:val="21"/>
                    </w:rPr>
                    <w:t>编制了</w:t>
                  </w:r>
                  <w:r>
                    <w:rPr>
                      <w:rFonts w:hint="eastAsia"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eastAsia="zh-CN"/>
                    </w:rPr>
                    <w:t>矿产资源开发利用与生态保护修复方案</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val="zh-TW"/>
                    </w:rPr>
                    <w:t>闭矿后对开采区、矿山道路、</w:t>
                  </w:r>
                  <w:r>
                    <w:rPr>
                      <w:rFonts w:hint="default" w:ascii="Times New Roman" w:hAnsi="Times New Roman" w:eastAsia="仿宋" w:cs="Times New Roman"/>
                      <w:color w:val="auto"/>
                      <w:kern w:val="0"/>
                      <w:sz w:val="21"/>
                      <w:szCs w:val="21"/>
                      <w:lang w:val="zh-TW" w:eastAsia="zh-CN"/>
                    </w:rPr>
                    <w:t>废石堆场</w:t>
                  </w:r>
                  <w:r>
                    <w:rPr>
                      <w:rFonts w:hint="default" w:ascii="Times New Roman" w:hAnsi="Times New Roman" w:eastAsia="仿宋" w:cs="Times New Roman"/>
                      <w:color w:val="auto"/>
                      <w:kern w:val="0"/>
                      <w:sz w:val="21"/>
                      <w:szCs w:val="21"/>
                      <w:lang w:val="zh-TW"/>
                    </w:rPr>
                    <w:t>等进行土地整治及回填表土，恢复生态</w:t>
                  </w:r>
                  <w:r>
                    <w:rPr>
                      <w:rFonts w:hint="default" w:ascii="Times New Roman" w:hAnsi="Times New Roman" w:eastAsia="仿宋" w:cs="Times New Roman"/>
                      <w:color w:val="auto"/>
                      <w:kern w:val="0"/>
                      <w:sz w:val="21"/>
                      <w:szCs w:val="21"/>
                    </w:rPr>
                    <w:t>。</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eastAsia" w:ascii="Times New Roman" w:hAnsi="Times New Roman" w:eastAsia="仿宋" w:cs="Times New Roman"/>
                      <w:color w:val="auto"/>
                      <w:sz w:val="21"/>
                      <w:szCs w:val="21"/>
                      <w:lang w:val="en-US" w:eastAsia="zh-CN" w:bidi="en-US"/>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6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1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3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r>
                    <w:rPr>
                      <w:rFonts w:hint="default" w:ascii="Times New Roman" w:hAnsi="Times New Roman" w:eastAsia="仿宋" w:cs="Times New Roman"/>
                      <w:bCs/>
                      <w:color w:val="auto"/>
                      <w:sz w:val="21"/>
                      <w:szCs w:val="21"/>
                      <w:lang w:bidi="en-US"/>
                    </w:rPr>
                    <w:t>环境风险防控</w:t>
                  </w:r>
                </w:p>
              </w:tc>
              <w:tc>
                <w:tcPr>
                  <w:tcW w:w="2031" w:type="pct"/>
                  <w:shd w:val="clear" w:color="auto" w:fill="auto"/>
                  <w:vAlign w:val="center"/>
                </w:tcPr>
                <w:p>
                  <w:pPr>
                    <w:adjustRightInd w:val="0"/>
                    <w:snapToGrid w:val="0"/>
                    <w:spacing w:line="240" w:lineRule="auto"/>
                    <w:ind w:left="0" w:leftChars="0" w:firstLine="0" w:firstLineChars="0"/>
                    <w:rPr>
                      <w:rFonts w:hint="default" w:ascii="Times New Roman" w:hAnsi="Times New Roman" w:eastAsia="仿宋" w:cs="Times New Roman"/>
                      <w:color w:val="auto"/>
                      <w:sz w:val="21"/>
                      <w:szCs w:val="21"/>
                      <w:lang w:bidi="en-US"/>
                    </w:rPr>
                  </w:pPr>
                  <w:r>
                    <w:rPr>
                      <w:rFonts w:ascii="Times New Roman" w:hAnsi="Times New Roman" w:eastAsia="仿宋_GB2312" w:cs="Times New Roman"/>
                      <w:bCs/>
                      <w:color w:val="auto"/>
                    </w:rPr>
                    <w:t>禁止向农用地排放重金属或者其他有毒有害物质含量超标的污水、污泥，以及可能造成土壤污染的尾矿、矿渣等。加强农田土壤、灌溉水的监测及评价，对周边或区域环境风险源进行评估</w:t>
                  </w:r>
                  <w:r>
                    <w:rPr>
                      <w:rFonts w:hint="eastAsia" w:ascii="Times New Roman" w:hAnsi="Times New Roman" w:eastAsia="仿宋_GB2312" w:cs="Times New Roman"/>
                      <w:bCs/>
                      <w:color w:val="auto"/>
                    </w:rPr>
                    <w:t>。</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sz w:val="21"/>
                      <w:szCs w:val="21"/>
                      <w:lang w:bidi="en-US"/>
                    </w:rPr>
                    <w:t>本项目均不涉及</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eastAsia" w:ascii="Times New Roman" w:hAnsi="Times New Roman" w:eastAsia="仿宋" w:cs="Times New Roman"/>
                      <w:color w:val="auto"/>
                      <w:sz w:val="21"/>
                      <w:szCs w:val="21"/>
                      <w:lang w:val="en-US" w:eastAsia="zh-CN" w:bidi="en-US"/>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6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1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p>
              </w:tc>
              <w:tc>
                <w:tcPr>
                  <w:tcW w:w="3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r>
                    <w:rPr>
                      <w:rFonts w:hint="default" w:ascii="Times New Roman" w:hAnsi="Times New Roman" w:eastAsia="仿宋" w:cs="Times New Roman"/>
                      <w:bCs/>
                      <w:color w:val="auto"/>
                      <w:sz w:val="21"/>
                      <w:szCs w:val="21"/>
                      <w:lang w:bidi="en-US"/>
                    </w:rPr>
                    <w:t>资源利用效率</w:t>
                  </w:r>
                </w:p>
              </w:tc>
              <w:tc>
                <w:tcPr>
                  <w:tcW w:w="2031" w:type="pct"/>
                  <w:shd w:val="clear" w:color="auto" w:fill="auto"/>
                  <w:vAlign w:val="center"/>
                </w:tcPr>
                <w:p>
                  <w:pPr>
                    <w:adjustRightInd w:val="0"/>
                    <w:snapToGrid w:val="0"/>
                    <w:spacing w:line="240" w:lineRule="auto"/>
                    <w:ind w:left="0" w:leftChars="0" w:firstLine="0" w:firstLineChars="0"/>
                    <w:rPr>
                      <w:rFonts w:hint="default" w:ascii="Times New Roman" w:hAnsi="Times New Roman" w:eastAsia="仿宋" w:cs="Times New Roman"/>
                      <w:color w:val="auto"/>
                      <w:sz w:val="21"/>
                      <w:szCs w:val="21"/>
                      <w:lang w:bidi="en-US"/>
                    </w:rPr>
                  </w:pPr>
                  <w:r>
                    <w:rPr>
                      <w:rFonts w:ascii="Times New Roman" w:hAnsi="Times New Roman" w:eastAsia="仿宋_GB2312" w:cs="Times New Roman"/>
                      <w:bCs/>
                      <w:color w:val="auto"/>
                    </w:rPr>
                    <w:t>实行水资源消耗总量和强度双控，推进农业节水，提高农业用水效率。优化能源结构，加强能源清洁利用</w:t>
                  </w:r>
                  <w:r>
                    <w:rPr>
                      <w:rFonts w:hint="eastAsia" w:ascii="Times New Roman" w:hAnsi="Times New Roman" w:eastAsia="仿宋_GB2312" w:cs="Times New Roman"/>
                      <w:bCs/>
                      <w:color w:val="auto"/>
                    </w:rPr>
                    <w:t>。</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sz w:val="21"/>
                      <w:szCs w:val="21"/>
                      <w:lang w:bidi="en-US"/>
                    </w:rPr>
                    <w:t>本项目均不涉及</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eastAsia" w:ascii="Times New Roman" w:hAnsi="Times New Roman" w:eastAsia="仿宋" w:cs="Times New Roman"/>
                      <w:color w:val="auto"/>
                      <w:sz w:val="21"/>
                      <w:szCs w:val="21"/>
                      <w:lang w:val="en-US" w:eastAsia="zh-CN" w:bidi="en-US"/>
                    </w:rPr>
                    <w:t>相符</w:t>
                  </w: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16" w:firstLineChars="200"/>
              <w:textAlignment w:val="auto"/>
              <w:rPr>
                <w:rFonts w:hint="default" w:ascii="Times New Roman" w:hAnsi="Times New Roman" w:eastAsia="仿宋" w:cs="Times New Roman"/>
                <w:b/>
                <w:color w:val="auto"/>
                <w:kern w:val="0"/>
                <w:sz w:val="24"/>
                <w:szCs w:val="24"/>
                <w:highlight w:val="yellow"/>
              </w:rPr>
            </w:pPr>
            <w:r>
              <w:rPr>
                <w:rFonts w:hint="default" w:ascii="Times New Roman" w:hAnsi="Times New Roman" w:eastAsia="仿宋" w:cs="Times New Roman"/>
                <w:color w:val="auto"/>
                <w:spacing w:val="-1"/>
                <w:highlight w:val="none"/>
              </w:rPr>
              <w:t>综上所述，项目符合“三线一单”相关要求。</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firstLine="483"/>
              <w:jc w:val="both"/>
              <w:textAlignment w:val="auto"/>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3、与《砂石行业绿色矿山建设规范》（DZT0316—2018）符合性分析</w:t>
            </w:r>
          </w:p>
          <w:p>
            <w:pPr>
              <w:keepNext w:val="0"/>
              <w:keepLines w:val="0"/>
              <w:pageBreakBefore w:val="0"/>
              <w:widowControl w:val="0"/>
              <w:kinsoku/>
              <w:wordWrap/>
              <w:overflowPunct/>
              <w:topLinePunct w:val="0"/>
              <w:autoSpaceDE w:val="0"/>
              <w:autoSpaceDN w:val="0"/>
              <w:bidi w:val="0"/>
              <w:adjustRightInd/>
              <w:snapToGrid/>
              <w:ind w:firstLine="420"/>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rPr>
              <w:t>根据《砂石行业绿色矿山建设规范》（DZT0316</w:t>
            </w:r>
            <w:r>
              <w:rPr>
                <w:rFonts w:hint="default" w:ascii="Times New Roman" w:hAnsi="Times New Roman" w:eastAsia="仿宋" w:cs="Times New Roman"/>
                <w:color w:val="auto"/>
                <w:kern w:val="0"/>
                <w:sz w:val="24"/>
                <w:szCs w:val="24"/>
                <w:lang w:val="en-US" w:eastAsia="zh-CN"/>
              </w:rPr>
              <w:t>-</w:t>
            </w:r>
            <w:r>
              <w:rPr>
                <w:rFonts w:hint="default" w:ascii="Times New Roman" w:hAnsi="Times New Roman" w:eastAsia="仿宋" w:cs="Times New Roman"/>
                <w:color w:val="auto"/>
                <w:kern w:val="0"/>
                <w:sz w:val="24"/>
                <w:szCs w:val="24"/>
              </w:rPr>
              <w:t>2018）建设指标要求，从</w:t>
            </w:r>
            <w:r>
              <w:rPr>
                <w:rFonts w:hint="default" w:ascii="Times New Roman" w:hAnsi="Times New Roman" w:eastAsia="仿宋" w:cs="Times New Roman"/>
                <w:color w:val="auto"/>
                <w:kern w:val="0"/>
                <w:sz w:val="24"/>
                <w:szCs w:val="24"/>
                <w:lang w:val="en-US" w:eastAsia="zh-CN"/>
              </w:rPr>
              <w:t>矿区环境</w:t>
            </w:r>
            <w:r>
              <w:rPr>
                <w:rFonts w:hint="default" w:ascii="Times New Roman" w:hAnsi="Times New Roman" w:eastAsia="仿宋" w:cs="Times New Roman"/>
                <w:color w:val="auto"/>
                <w:kern w:val="0"/>
                <w:sz w:val="24"/>
                <w:szCs w:val="24"/>
              </w:rPr>
              <w:t>、</w:t>
            </w:r>
            <w:r>
              <w:rPr>
                <w:rFonts w:hint="default" w:ascii="Times New Roman" w:hAnsi="Times New Roman" w:eastAsia="仿宋" w:cs="Times New Roman"/>
                <w:color w:val="auto"/>
                <w:kern w:val="0"/>
                <w:sz w:val="24"/>
                <w:szCs w:val="24"/>
                <w:lang w:val="en-US" w:eastAsia="zh-CN"/>
              </w:rPr>
              <w:t>资源开发利用</w:t>
            </w:r>
            <w:r>
              <w:rPr>
                <w:rFonts w:hint="default" w:ascii="Times New Roman" w:hAnsi="Times New Roman" w:eastAsia="仿宋" w:cs="Times New Roman"/>
                <w:color w:val="auto"/>
                <w:kern w:val="0"/>
                <w:sz w:val="24"/>
                <w:szCs w:val="24"/>
              </w:rPr>
              <w:t>方式、</w:t>
            </w:r>
            <w:r>
              <w:rPr>
                <w:rFonts w:hint="default" w:ascii="Times New Roman" w:hAnsi="Times New Roman" w:eastAsia="仿宋" w:cs="Times New Roman"/>
                <w:color w:val="auto"/>
                <w:kern w:val="0"/>
                <w:sz w:val="24"/>
                <w:szCs w:val="24"/>
                <w:lang w:val="en-US" w:eastAsia="zh-CN"/>
              </w:rPr>
              <w:t>资源综合利用</w:t>
            </w:r>
            <w:r>
              <w:rPr>
                <w:rFonts w:hint="default" w:ascii="Times New Roman" w:hAnsi="Times New Roman" w:eastAsia="仿宋" w:cs="Times New Roman"/>
                <w:color w:val="auto"/>
                <w:kern w:val="0"/>
                <w:sz w:val="24"/>
                <w:szCs w:val="24"/>
              </w:rPr>
              <w:t>、</w:t>
            </w:r>
            <w:r>
              <w:rPr>
                <w:rFonts w:hint="default" w:ascii="Times New Roman" w:hAnsi="Times New Roman" w:eastAsia="仿宋" w:cs="Times New Roman"/>
                <w:color w:val="auto"/>
                <w:kern w:val="0"/>
                <w:sz w:val="24"/>
                <w:szCs w:val="24"/>
                <w:lang w:val="en-US" w:eastAsia="zh-CN"/>
              </w:rPr>
              <w:t>节能减排、科技创新与数字化矿山、</w:t>
            </w:r>
            <w:r>
              <w:rPr>
                <w:rFonts w:hint="default" w:ascii="Times New Roman" w:hAnsi="Times New Roman" w:eastAsia="仿宋" w:cs="Times New Roman"/>
                <w:color w:val="auto"/>
                <w:kern w:val="0"/>
                <w:sz w:val="24"/>
                <w:szCs w:val="24"/>
              </w:rPr>
              <w:t>企业管理等多方面建设绿色矿山。</w:t>
            </w:r>
            <w:r>
              <w:rPr>
                <w:rFonts w:hint="default" w:ascii="Times New Roman" w:hAnsi="Times New Roman" w:eastAsia="仿宋" w:cs="Times New Roman"/>
                <w:color w:val="auto"/>
                <w:kern w:val="0"/>
                <w:sz w:val="24"/>
                <w:szCs w:val="24"/>
                <w:lang w:val="en-US" w:eastAsia="zh-CN"/>
              </w:rPr>
              <w:t>本项目与《砂石行业绿色矿山建设规范》（DZT0316-2018）符合性分析见表1</w:t>
            </w:r>
            <w:r>
              <w:rPr>
                <w:rFonts w:hint="eastAsia" w:eastAsia="仿宋" w:cs="Times New Roman"/>
                <w:color w:val="auto"/>
                <w:kern w:val="0"/>
                <w:sz w:val="24"/>
                <w:szCs w:val="24"/>
                <w:lang w:val="en-US" w:eastAsia="zh-CN"/>
              </w:rPr>
              <w:t>-6</w:t>
            </w:r>
            <w:r>
              <w:rPr>
                <w:rFonts w:hint="default" w:ascii="Times New Roman" w:hAnsi="Times New Roman" w:eastAsia="仿宋" w:cs="Times New Roman"/>
                <w:color w:val="auto"/>
                <w:kern w:val="0"/>
                <w:sz w:val="24"/>
                <w:szCs w:val="24"/>
                <w:lang w:val="en-US" w:eastAsia="zh-CN"/>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lang w:val="en-US" w:eastAsia="zh-CN"/>
              </w:rPr>
            </w:pPr>
            <w:r>
              <w:rPr>
                <w:rFonts w:hint="default" w:ascii="Times New Roman" w:hAnsi="Times New Roman" w:eastAsia="仿宋" w:cs="Times New Roman"/>
                <w:b/>
                <w:color w:val="auto"/>
                <w:sz w:val="21"/>
                <w:szCs w:val="21"/>
                <w:lang w:val="zh-TW"/>
              </w:rPr>
              <w:t>表1-</w:t>
            </w:r>
            <w:r>
              <w:rPr>
                <w:rFonts w:hint="eastAsia" w:eastAsia="仿宋" w:cs="Times New Roman"/>
                <w:b/>
                <w:color w:val="auto"/>
                <w:sz w:val="21"/>
                <w:szCs w:val="21"/>
                <w:lang w:val="en-US" w:eastAsia="zh-CN"/>
              </w:rPr>
              <w:t>6</w:t>
            </w:r>
            <w:r>
              <w:rPr>
                <w:rFonts w:hint="default" w:ascii="Times New Roman" w:hAnsi="Times New Roman" w:eastAsia="仿宋" w:cs="Times New Roman"/>
                <w:b/>
                <w:color w:val="auto"/>
                <w:sz w:val="21"/>
                <w:szCs w:val="21"/>
                <w:lang w:val="zh-TW" w:eastAsia="zh-CN"/>
              </w:rPr>
              <w:t>《砂石行业绿色矿山建设规范》（DZT0316-2018）</w:t>
            </w:r>
            <w:r>
              <w:rPr>
                <w:rFonts w:hint="default" w:ascii="Times New Roman" w:hAnsi="Times New Roman" w:eastAsia="仿宋" w:cs="Times New Roman"/>
                <w:b/>
                <w:color w:val="auto"/>
                <w:sz w:val="21"/>
                <w:szCs w:val="21"/>
                <w:lang w:val="zh-TW"/>
              </w:rPr>
              <w:t>符合性分析</w:t>
            </w:r>
            <w:r>
              <w:rPr>
                <w:rFonts w:hint="default" w:ascii="Times New Roman" w:hAnsi="Times New Roman" w:eastAsia="仿宋" w:cs="Times New Roman"/>
                <w:b/>
                <w:color w:val="auto"/>
                <w:sz w:val="21"/>
                <w:szCs w:val="21"/>
                <w:lang w:val="en-US" w:eastAsia="zh-CN"/>
              </w:rPr>
              <w:t>表</w:t>
            </w:r>
          </w:p>
          <w:tbl>
            <w:tblPr>
              <w:tblStyle w:val="26"/>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40"/>
              <w:gridCol w:w="2615"/>
              <w:gridCol w:w="3304"/>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序号</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指标</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要求</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本项目</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1</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矿区环境</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矿区功能分区布局合理，矿区应绿化、美化，整体环境整洁美观；砂石原料开采、生产、运输、贮存等管理规范有序；矿山生产过程中应采取喷雾、喷洒水或生物纳膜、加装除尘设备等措施处置粉尘，工作场所粉尘浓度应符合GBZ2.1-2007的规定。应对输送系统、生产线、料库等采取有效措施进行抑尘，做好车辆保洁，车辆驶离矿区必须冲洗，严禁运料遗撒和带泥上路，保持矿区及周边环境卫生。</w:t>
                  </w:r>
                </w:p>
              </w:tc>
              <w:tc>
                <w:tcPr>
                  <w:tcW w:w="2157" w:type="pct"/>
                  <w:vAlign w:val="center"/>
                </w:tcPr>
                <w:p>
                  <w:pPr>
                    <w:autoSpaceDE w:val="0"/>
                    <w:autoSpaceDN w:val="0"/>
                    <w:adjustRightInd w:val="0"/>
                    <w:snapToGrid w:val="0"/>
                    <w:spacing w:line="240" w:lineRule="auto"/>
                    <w:ind w:left="0" w:leftChars="0" w:firstLine="0" w:firstLineChars="0"/>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sz w:val="21"/>
                      <w:szCs w:val="21"/>
                      <w:lang w:val="en-US" w:eastAsia="zh-CN"/>
                    </w:rPr>
                    <w:t>根据项目总平面图设计，矿区布置拟功能区分开设置，针对不同功能区设置</w:t>
                  </w:r>
                  <w:r>
                    <w:rPr>
                      <w:rFonts w:hint="default" w:ascii="Times New Roman" w:hAnsi="Times New Roman" w:eastAsia="仿宋" w:cs="Times New Roman"/>
                      <w:color w:val="auto"/>
                      <w:sz w:val="21"/>
                      <w:szCs w:val="21"/>
                    </w:rPr>
                    <w:t>相应的管理机构和管理制度，</w:t>
                  </w:r>
                  <w:r>
                    <w:rPr>
                      <w:rFonts w:hint="default" w:ascii="Times New Roman" w:hAnsi="Times New Roman" w:eastAsia="仿宋" w:cs="Times New Roman"/>
                      <w:color w:val="auto"/>
                      <w:sz w:val="21"/>
                      <w:szCs w:val="21"/>
                      <w:lang w:val="en-US" w:eastAsia="zh-CN"/>
                    </w:rPr>
                    <w:t>运行后的道路、供水、供电、卫生</w:t>
                  </w:r>
                  <w:r>
                    <w:rPr>
                      <w:rFonts w:hint="default" w:ascii="Times New Roman" w:hAnsi="Times New Roman" w:eastAsia="仿宋" w:cs="Times New Roman"/>
                      <w:color w:val="auto"/>
                      <w:sz w:val="21"/>
                      <w:szCs w:val="21"/>
                    </w:rPr>
                    <w:t>、环保等配套设施</w:t>
                  </w:r>
                  <w:r>
                    <w:rPr>
                      <w:rFonts w:hint="default" w:ascii="Times New Roman" w:hAnsi="Times New Roman" w:eastAsia="仿宋" w:cs="Times New Roman"/>
                      <w:color w:val="auto"/>
                      <w:sz w:val="21"/>
                      <w:szCs w:val="21"/>
                      <w:lang w:val="en-US" w:eastAsia="zh-CN"/>
                    </w:rPr>
                    <w:t>拟配备齐全。开采及装卸过程拟采取洒水降尘；运输道路洒水降尘，运输车辆篷布遮盖，限速</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b w:val="0"/>
                      <w:bCs/>
                      <w:color w:val="auto"/>
                      <w:kern w:val="0"/>
                      <w:sz w:val="21"/>
                      <w:szCs w:val="21"/>
                      <w:highlight w:val="none"/>
                      <w:lang w:val="en-US" w:eastAsia="zh-CN" w:bidi="ar-SA"/>
                    </w:rPr>
                    <w:t>本项目</w:t>
                  </w:r>
                  <w:r>
                    <w:rPr>
                      <w:rFonts w:hint="eastAsia" w:ascii="Times New Roman" w:hAnsi="Times New Roman" w:eastAsia="仿宋" w:cs="Times New Roman"/>
                      <w:b w:val="0"/>
                      <w:bCs/>
                      <w:color w:val="auto"/>
                      <w:kern w:val="0"/>
                      <w:sz w:val="21"/>
                      <w:szCs w:val="21"/>
                      <w:highlight w:val="none"/>
                      <w:lang w:val="en-US" w:eastAsia="zh-CN" w:bidi="ar-SA"/>
                    </w:rPr>
                    <w:t>不设办公生活区，无生活污水产生</w:t>
                  </w:r>
                  <w:r>
                    <w:rPr>
                      <w:rFonts w:hint="default" w:ascii="Times New Roman" w:hAnsi="Times New Roman" w:eastAsia="仿宋" w:cs="Times New Roman"/>
                      <w:color w:val="auto"/>
                      <w:sz w:val="21"/>
                      <w:szCs w:val="21"/>
                      <w:highlight w:val="none"/>
                      <w:lang w:val="en-US" w:eastAsia="zh-CN"/>
                    </w:rPr>
                    <w:t>，生活垃圾由垃圾箱统一收集后由环卫部门妥善处置。</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2</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资源开发方式</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资源开发应与环境保护、资源保护和城乡建设相协调，最大限度减少对自然环境的扰动和破坏，选择资源节约型、环境友好型开发方式。采用先进的工艺技术与装备，做到绿色开采、绿色生产、绿色存贮、绿色运输。应贯彻“边开采、边恢复”的原则，及时治理恢复矿山地质环境，复垦矿山占用土地和损毁土地。治理率和复垦率应达到矿山地质环境保护与土地复垦方案的要求。</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干法生产应配备高效除尘设备，并保持与生产设备同步运行。湿法生产应配置泥粉和水分离废水处理和循环使用系统。生产加工车间的产尘点要封闭，有利于形成负压除尘，皮带运输系统廊道应选用封闭方式，防止粉尘逸散。应选用低噪声生产设备，对高噪强振的设备，应采取消声、减振措施，合理设计工艺布置，控制噪声传播。砂石骨料成品堆场（库）应地面硬化，分类或分仓储存</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rPr>
                    <w:t>本项目按规范</w:t>
                  </w:r>
                  <w:r>
                    <w:rPr>
                      <w:rFonts w:hint="default" w:ascii="Times New Roman" w:hAnsi="Times New Roman" w:eastAsia="仿宋" w:cs="Times New Roman"/>
                      <w:color w:val="auto"/>
                      <w:kern w:val="0"/>
                      <w:sz w:val="21"/>
                      <w:szCs w:val="21"/>
                      <w:lang w:val="en-US" w:eastAsia="zh-CN"/>
                    </w:rPr>
                    <w:t>委托新疆瑞新源矿业技术有限公司</w:t>
                  </w:r>
                  <w:r>
                    <w:rPr>
                      <w:rFonts w:hint="default" w:ascii="Times New Roman" w:hAnsi="Times New Roman" w:eastAsia="仿宋" w:cs="Times New Roman"/>
                      <w:color w:val="auto"/>
                      <w:kern w:val="0"/>
                      <w:sz w:val="21"/>
                      <w:szCs w:val="21"/>
                    </w:rPr>
                    <w:t>编制了《</w:t>
                  </w:r>
                  <w:r>
                    <w:rPr>
                      <w:rFonts w:hint="eastAsia" w:eastAsia="仿宋" w:cs="Times New Roman"/>
                      <w:color w:val="auto"/>
                      <w:kern w:val="0"/>
                      <w:sz w:val="21"/>
                      <w:szCs w:val="21"/>
                      <w:lang w:eastAsia="zh-CN"/>
                    </w:rPr>
                    <w:t>新疆鄯善县连木沁镇连木沁坎村北砂石料矿</w:t>
                  </w:r>
                  <w:r>
                    <w:rPr>
                      <w:rFonts w:hint="default" w:ascii="Times New Roman" w:hAnsi="Times New Roman" w:eastAsia="仿宋" w:cs="Times New Roman"/>
                      <w:color w:val="auto"/>
                      <w:kern w:val="0"/>
                      <w:sz w:val="21"/>
                      <w:szCs w:val="21"/>
                      <w:lang w:eastAsia="zh-CN"/>
                    </w:rPr>
                    <w:t>矿产资源开发利用与生态保护修复方案</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val="zh-TW"/>
                    </w:rPr>
                    <w:t>闭矿后对开采区、矿山道路等进行土地整治及回填表土，恢复生态</w:t>
                  </w:r>
                  <w:r>
                    <w:rPr>
                      <w:rFonts w:hint="default" w:ascii="Times New Roman" w:hAnsi="Times New Roman" w:eastAsia="仿宋" w:cs="Times New Roman"/>
                      <w:color w:val="auto"/>
                      <w:kern w:val="0"/>
                      <w:sz w:val="21"/>
                      <w:szCs w:val="21"/>
                    </w:rPr>
                    <w:t>。本项目开采方式采用挖掘机自上而下水平分层开采，本项目运输道路</w:t>
                  </w:r>
                  <w:r>
                    <w:rPr>
                      <w:rFonts w:hint="default" w:ascii="Times New Roman" w:hAnsi="Times New Roman" w:eastAsia="仿宋" w:cs="Times New Roman"/>
                      <w:color w:val="auto"/>
                      <w:sz w:val="21"/>
                      <w:szCs w:val="21"/>
                      <w:lang w:val="zh-TW"/>
                    </w:rPr>
                    <w:t>采用碎石硬化，道路定时洒水，出入车辆清洗轮胎，运输过程中遮盖，限速，以减少扬尘量。</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3</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资源综合利用</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应按照减量化、资源化。再利用的原则，对砂石生产工艺合理优化设计，提高成品率。充分利用石粉、泥粉等加工.副产品，提高资源综合利用水平。生产工艺技术和设备应符合国土资源部《矿产资源节约与综合利用鼓励、限制和淘汰技术目录》要求.剥离表土后，砂石矿山资源综合利用率不低于95%。</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本项目运营期采取的生产工艺技术和设备符合国土资源部《矿产资源节约与综合利用鼓励、限制和淘汰技术目录》要求；根据开发利用方案，矿产品方向为路基填筑料，不进行筛分，利用率100%，不存在废石。</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highlight w:val="none"/>
                      <w:vertAlign w:val="baseline"/>
                      <w:lang w:val="en-US" w:eastAsia="zh-CN"/>
                    </w:rPr>
                  </w:pPr>
                  <w:r>
                    <w:rPr>
                      <w:rFonts w:hint="default" w:ascii="Times New Roman" w:hAnsi="Times New Roman" w:eastAsia="仿宋" w:cs="Times New Roman"/>
                      <w:color w:val="auto"/>
                      <w:kern w:val="0"/>
                      <w:sz w:val="21"/>
                      <w:szCs w:val="21"/>
                      <w:highlight w:val="none"/>
                      <w:vertAlign w:val="baseline"/>
                      <w:lang w:val="en-US" w:eastAsia="zh-CN"/>
                    </w:rPr>
                    <w:t>4</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highlight w:val="none"/>
                      <w:vertAlign w:val="baseline"/>
                      <w:lang w:val="en-US" w:eastAsia="zh-CN"/>
                    </w:rPr>
                  </w:pPr>
                  <w:r>
                    <w:rPr>
                      <w:rFonts w:hint="default" w:ascii="Times New Roman" w:hAnsi="Times New Roman" w:eastAsia="仿宋" w:cs="Times New Roman"/>
                      <w:color w:val="auto"/>
                      <w:kern w:val="0"/>
                      <w:sz w:val="21"/>
                      <w:szCs w:val="21"/>
                      <w:highlight w:val="none"/>
                      <w:vertAlign w:val="baseline"/>
                      <w:lang w:val="en-US" w:eastAsia="zh-CN"/>
                    </w:rPr>
                    <w:t>节能减排</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highlight w:val="none"/>
                      <w:vertAlign w:val="baseline"/>
                      <w:lang w:val="en-US" w:eastAsia="zh-CN"/>
                    </w:rPr>
                  </w:pPr>
                  <w:r>
                    <w:rPr>
                      <w:rFonts w:hint="default" w:ascii="Times New Roman" w:hAnsi="Times New Roman" w:eastAsia="仿宋" w:cs="Times New Roman"/>
                      <w:color w:val="auto"/>
                      <w:kern w:val="0"/>
                      <w:sz w:val="21"/>
                      <w:szCs w:val="21"/>
                      <w:highlight w:val="none"/>
                      <w:vertAlign w:val="baseline"/>
                      <w:lang w:val="en-US" w:eastAsia="zh-CN"/>
                    </w:rPr>
                    <w:t>建立能耗核算体系，采取节能减排措施，降低砂石生产能耗和设备损耗，使三废和噪音排放达到环保标准。</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highlight w:val="none"/>
                      <w:vertAlign w:val="baseline"/>
                      <w:lang w:val="en-US" w:eastAsia="zh-CN"/>
                    </w:rPr>
                  </w:pPr>
                  <w:r>
                    <w:rPr>
                      <w:rFonts w:hint="default" w:ascii="Times New Roman" w:hAnsi="Times New Roman" w:eastAsia="仿宋" w:cs="Times New Roman"/>
                      <w:color w:val="auto"/>
                      <w:kern w:val="0"/>
                      <w:sz w:val="21"/>
                      <w:szCs w:val="21"/>
                      <w:highlight w:val="none"/>
                      <w:vertAlign w:val="baseline"/>
                      <w:lang w:val="en-US" w:eastAsia="zh-CN"/>
                    </w:rPr>
                    <w:t>本项目不消耗天然气、煤炭等，所用能源主要包括水、电，用水量约</w:t>
                  </w:r>
                  <w:r>
                    <w:rPr>
                      <w:rFonts w:hint="eastAsia" w:eastAsia="仿宋" w:cs="Times New Roman"/>
                      <w:color w:val="auto"/>
                      <w:kern w:val="0"/>
                      <w:sz w:val="21"/>
                      <w:szCs w:val="21"/>
                      <w:highlight w:val="none"/>
                      <w:vertAlign w:val="baseline"/>
                      <w:lang w:val="en-US" w:eastAsia="zh-CN"/>
                    </w:rPr>
                    <w:t>1890</w:t>
                  </w:r>
                  <w:r>
                    <w:rPr>
                      <w:rFonts w:hint="default" w:ascii="Times New Roman" w:hAnsi="Times New Roman" w:eastAsia="仿宋" w:cs="Times New Roman"/>
                      <w:color w:val="auto"/>
                      <w:kern w:val="0"/>
                      <w:sz w:val="21"/>
                      <w:szCs w:val="21"/>
                      <w:highlight w:val="none"/>
                      <w:vertAlign w:val="baseline"/>
                      <w:lang w:val="en-US" w:eastAsia="zh-CN"/>
                    </w:rPr>
                    <w:t>m</w:t>
                  </w:r>
                  <w:r>
                    <w:rPr>
                      <w:rFonts w:hint="default" w:ascii="Times New Roman" w:hAnsi="Times New Roman" w:eastAsia="仿宋" w:cs="Times New Roman"/>
                      <w:color w:val="auto"/>
                      <w:kern w:val="0"/>
                      <w:sz w:val="21"/>
                      <w:szCs w:val="21"/>
                      <w:highlight w:val="none"/>
                      <w:vertAlign w:val="superscript"/>
                      <w:lang w:val="en-US" w:eastAsia="zh-CN"/>
                    </w:rPr>
                    <w:t>3</w:t>
                  </w:r>
                  <w:r>
                    <w:rPr>
                      <w:rFonts w:hint="default" w:ascii="Times New Roman" w:hAnsi="Times New Roman" w:eastAsia="仿宋" w:cs="Times New Roman"/>
                      <w:color w:val="auto"/>
                      <w:kern w:val="0"/>
                      <w:sz w:val="21"/>
                      <w:szCs w:val="21"/>
                      <w:highlight w:val="none"/>
                      <w:vertAlign w:val="baseline"/>
                      <w:lang w:val="en-US" w:eastAsia="zh-CN"/>
                    </w:rPr>
                    <w:t>/a，能耗较低；运营期三废及噪声分析，均可达标排放。</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highlight w:val="none"/>
                      <w:vertAlign w:val="baseline"/>
                      <w:lang w:val="en-US" w:eastAsia="zh-CN"/>
                    </w:rPr>
                  </w:pPr>
                  <w:r>
                    <w:rPr>
                      <w:rFonts w:hint="default" w:ascii="Times New Roman" w:hAnsi="Times New Roman" w:eastAsia="仿宋" w:cs="Times New Roman"/>
                      <w:color w:val="auto"/>
                      <w:kern w:val="0"/>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5</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科技创新与数字化矿山</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建立科技研发队伍，推广转化科技成果，加大技术改造力度，推动产业绿色升级。建设数字化矿山，实现矿山企业生产、经营和管理信息化。</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建设单位拟在运营期建设数字化矿山，实现矿山企业生产、经营和管理信息化。</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6</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企业管理与企业形象</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应建立产权、责任、管理和文化等方面的企业管理制度。应建立质量管理体系、环境管理体系和职业健康安全管理体系，确保对质量、环境、职业健康与安全的管理。</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建设单位拟在运营期按要求建立完整的企业管理制度。</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 w:cs="Times New Roman"/>
                <w:b/>
                <w:bCs w:val="0"/>
                <w:color w:val="auto"/>
                <w:sz w:val="24"/>
                <w:szCs w:val="24"/>
                <w:lang w:val="en-US" w:eastAsia="zh-CN"/>
              </w:rPr>
            </w:pPr>
            <w:r>
              <w:rPr>
                <w:rFonts w:hint="default" w:ascii="Times New Roman" w:hAnsi="Times New Roman" w:eastAsia="仿宋" w:cs="Times New Roman"/>
                <w:b/>
                <w:bCs w:val="0"/>
                <w:color w:val="auto"/>
                <w:sz w:val="24"/>
                <w:szCs w:val="24"/>
                <w:lang w:val="en-US" w:eastAsia="zh-CN"/>
              </w:rPr>
              <w:t>4、与《新疆维吾尔自治区大气污染防治条例》符合性分析</w:t>
            </w:r>
          </w:p>
          <w:p>
            <w:pPr>
              <w:autoSpaceDE w:val="0"/>
              <w:autoSpaceDN w:val="0"/>
              <w:adjustRightInd w:val="0"/>
              <w:snapToGrid w:val="0"/>
              <w:ind w:firstLine="420"/>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color w:val="auto"/>
                <w:kern w:val="0"/>
                <w:sz w:val="24"/>
                <w:szCs w:val="24"/>
                <w:lang w:val="en-US" w:eastAsia="zh-CN"/>
              </w:rPr>
              <w:t>本项目运营期大气主要污染为粉尘，对照《新疆维吾尔自治区大气污染防治条例》中“第三章防治措施”中的“第四节扬尘污染防治”符合性分析见表1-</w:t>
            </w:r>
            <w:r>
              <w:rPr>
                <w:rFonts w:hint="eastAsia" w:eastAsia="仿宋" w:cs="Times New Roman"/>
                <w:color w:val="auto"/>
                <w:kern w:val="0"/>
                <w:sz w:val="24"/>
                <w:szCs w:val="24"/>
                <w:lang w:val="en-US" w:eastAsia="zh-CN"/>
              </w:rPr>
              <w:t>7</w:t>
            </w:r>
            <w:r>
              <w:rPr>
                <w:rFonts w:hint="default" w:ascii="Times New Roman" w:hAnsi="Times New Roman" w:eastAsia="仿宋" w:cs="Times New Roman"/>
                <w:color w:val="auto"/>
                <w:kern w:val="0"/>
                <w:sz w:val="24"/>
                <w:szCs w:val="24"/>
                <w:lang w:val="en-US" w:eastAsia="zh-CN"/>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sz w:val="21"/>
                <w:szCs w:val="21"/>
                <w:lang w:val="en-US" w:eastAsia="zh-CN"/>
              </w:rPr>
            </w:pPr>
            <w:r>
              <w:rPr>
                <w:rFonts w:hint="default" w:ascii="Times New Roman" w:hAnsi="Times New Roman" w:eastAsia="仿宋" w:cs="Times New Roman"/>
                <w:b/>
                <w:color w:val="auto"/>
                <w:sz w:val="21"/>
                <w:szCs w:val="21"/>
                <w:lang w:val="en-US" w:eastAsia="zh-CN"/>
              </w:rPr>
              <w:t>表1-</w:t>
            </w:r>
            <w:r>
              <w:rPr>
                <w:rFonts w:hint="eastAsia" w:eastAsia="仿宋" w:cs="Times New Roman"/>
                <w:b/>
                <w:color w:val="auto"/>
                <w:sz w:val="21"/>
                <w:szCs w:val="21"/>
                <w:lang w:val="en-US" w:eastAsia="zh-CN"/>
              </w:rPr>
              <w:t>7</w:t>
            </w:r>
            <w:r>
              <w:rPr>
                <w:rFonts w:hint="default" w:ascii="Times New Roman" w:hAnsi="Times New Roman" w:eastAsia="仿宋" w:cs="Times New Roman"/>
                <w:b/>
                <w:color w:val="auto"/>
                <w:sz w:val="21"/>
                <w:szCs w:val="21"/>
                <w:lang w:val="en-US" w:eastAsia="zh-CN"/>
              </w:rPr>
              <w:t>《新疆维吾尔自治区大气污染防治条例》符合性分析表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4313"/>
              <w:gridCol w:w="208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序号</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要求</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本项目</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1</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第三十七条各级人民政府应当加强对建设施工、矿产资源开采、物料运输的扬尘和沙尘污染的治理，保持道路清洁、控制料堆和渣土堆放，科学合理扩大绿地、水面、湿地、地面铺装和防风固沙绿化面积，防治扬尘污染。</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环评要求对开采、运输等过程扬尘进行雾炮机喷洒降尘、运输车辆篷布遮盖等大气污染治理。</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2</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第三十九条运输、处置建筑垃圾，应当经工程所在地的县（市、区）人民政府确定的监督管理部门同意，按照规定的运输时间、路线和要求清运到指定的场所处理；在场地内堆存的，应当有效覆盖。</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施工单位承诺运输、处置建筑垃圾按当地管理要求。</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3</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第四十三条贮存易产生扬尘的煤炭、煤矸石、煤渣、煤灰、水泥、石灰、石膏、砂土等物料的堆场应当密闭；不能密闭的，贮存单位或者个人应当采取下列防尘措施：（一）堆场的场坪、路面应当进行硬化处理，并保持路面整洁；（二）堆场周边应当配备高于堆存物料的围挡、防风抑尘网等设施；（三）按照物料类别采取相应的覆盖、喷淋和围挡等防风抑尘措施。露天装卸物料应当采取密闭或者喷淋等抑尘措施；输送的物料应当在装料、卸料处配备吸尘、喷淋等防尘设施。</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装卸粉尘：雾炮机喷洒降尘，加强管理，规范作业等</w:t>
                  </w:r>
                  <w:r>
                    <w:rPr>
                      <w:rFonts w:hint="default" w:ascii="Times New Roman" w:hAnsi="Times New Roman" w:eastAsia="仿宋" w:cs="Times New Roman"/>
                      <w:color w:val="auto"/>
                      <w:kern w:val="0"/>
                      <w:sz w:val="21"/>
                      <w:szCs w:val="21"/>
                      <w:highlight w:val="none"/>
                      <w:vertAlign w:val="baseline"/>
                      <w:lang w:val="en-US" w:eastAsia="zh-CN"/>
                    </w:rPr>
                    <w:t>。</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4</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第四十四条矿山开采产生的废石、废渣、泥土等应当堆放到专门存放地，并采取围挡、设置防尘网或者防尘布等防尘措施；施工便道应当硬化。在采石、采砂和其他矿产资源开采过程中，或者在停办、关闭矿山前，采矿权人应当整修被损坏的道路和露天采矿场的边坡、断面，恢复原有地貌，并按照规定处置矿山开采废弃物，防止扬尘污染。</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按要求编制了</w:t>
                  </w:r>
                  <w:r>
                    <w:rPr>
                      <w:rFonts w:hint="default" w:ascii="Times New Roman" w:hAnsi="Times New Roman" w:eastAsia="仿宋" w:cs="Times New Roman"/>
                      <w:color w:val="auto"/>
                      <w:kern w:val="0"/>
                      <w:sz w:val="21"/>
                      <w:szCs w:val="21"/>
                    </w:rPr>
                    <w:t>《</w:t>
                  </w:r>
                  <w:r>
                    <w:rPr>
                      <w:rFonts w:hint="eastAsia" w:eastAsia="仿宋" w:cs="Times New Roman"/>
                      <w:color w:val="auto"/>
                      <w:kern w:val="0"/>
                      <w:sz w:val="21"/>
                      <w:szCs w:val="21"/>
                      <w:lang w:eastAsia="zh-CN"/>
                    </w:rPr>
                    <w:t>新疆鄯善县连木沁镇连木沁坎村北砂石料矿</w:t>
                  </w:r>
                  <w:r>
                    <w:rPr>
                      <w:rFonts w:hint="default" w:ascii="Times New Roman" w:hAnsi="Times New Roman" w:eastAsia="仿宋" w:cs="Times New Roman"/>
                      <w:color w:val="auto"/>
                      <w:kern w:val="0"/>
                      <w:sz w:val="21"/>
                      <w:szCs w:val="21"/>
                      <w:lang w:eastAsia="zh-CN"/>
                    </w:rPr>
                    <w:t>矿产资源开发利用与生态保护修复方案</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eastAsia="zh-CN"/>
                    </w:rPr>
                    <w:t>。</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eastAsia" w:eastAsia="仿宋" w:cs="Times New Roman"/>
                <w:b/>
                <w:bCs/>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eastAsia" w:eastAsia="仿宋" w:cs="Times New Roman"/>
                <w:b/>
                <w:bCs/>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eastAsia" w:eastAsia="仿宋" w:cs="Times New Roman"/>
                <w:b/>
                <w:bCs/>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bCs/>
                <w:color w:val="auto"/>
                <w:sz w:val="24"/>
                <w:szCs w:val="24"/>
                <w:lang w:val="en-US" w:eastAsia="zh-CN"/>
              </w:rPr>
            </w:pPr>
            <w:r>
              <w:rPr>
                <w:rFonts w:hint="eastAsia" w:eastAsia="仿宋" w:cs="Times New Roman"/>
                <w:b/>
                <w:bCs/>
                <w:color w:val="auto"/>
                <w:sz w:val="24"/>
                <w:szCs w:val="24"/>
                <w:lang w:val="en-US" w:eastAsia="zh-CN"/>
              </w:rPr>
              <w:t>5</w:t>
            </w:r>
            <w:r>
              <w:rPr>
                <w:rFonts w:hint="default" w:ascii="Times New Roman" w:hAnsi="Times New Roman" w:eastAsia="仿宋" w:cs="Times New Roman"/>
                <w:b/>
                <w:bCs/>
                <w:color w:val="auto"/>
                <w:sz w:val="24"/>
                <w:szCs w:val="24"/>
                <w:lang w:val="en-US" w:eastAsia="zh-CN"/>
              </w:rPr>
              <w:t>、与《关于加快推进露天矿山综合整治工作实施意见的函》符合性分析</w:t>
            </w:r>
          </w:p>
          <w:p>
            <w:pPr>
              <w:keepNext w:val="0"/>
              <w:keepLines w:val="0"/>
              <w:pageBreakBefore w:val="0"/>
              <w:widowControl w:val="0"/>
              <w:kinsoku/>
              <w:wordWrap/>
              <w:overflowPunct/>
              <w:topLinePunct w:val="0"/>
              <w:autoSpaceDE w:val="0"/>
              <w:autoSpaceDN w:val="0"/>
              <w:bidi w:val="0"/>
              <w:adjustRightInd/>
              <w:snapToGrid/>
              <w:ind w:firstLine="420"/>
              <w:textAlignment w:val="auto"/>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color w:val="auto"/>
                <w:kern w:val="0"/>
                <w:sz w:val="24"/>
                <w:szCs w:val="24"/>
                <w:lang w:val="en-US" w:eastAsia="zh-CN"/>
              </w:rPr>
              <w:t>本项目与《矿山生态环境保护与恢复治理技术规范（试行）》(HJ651-2013）符合性分析见表1-</w:t>
            </w:r>
            <w:r>
              <w:rPr>
                <w:rFonts w:hint="eastAsia" w:eastAsia="仿宋" w:cs="Times New Roman"/>
                <w:color w:val="auto"/>
                <w:kern w:val="0"/>
                <w:sz w:val="24"/>
                <w:szCs w:val="24"/>
                <w:lang w:val="en-US" w:eastAsia="zh-CN"/>
              </w:rPr>
              <w:t>8</w:t>
            </w:r>
            <w:r>
              <w:rPr>
                <w:rFonts w:hint="default" w:ascii="Times New Roman" w:hAnsi="Times New Roman" w:eastAsia="仿宋" w:cs="Times New Roman"/>
                <w:color w:val="auto"/>
                <w:kern w:val="0"/>
                <w:sz w:val="24"/>
                <w:szCs w:val="24"/>
                <w:lang w:val="en-US" w:eastAsia="zh-CN"/>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sz w:val="21"/>
                <w:szCs w:val="21"/>
                <w:lang w:val="en-US" w:eastAsia="zh-CN"/>
              </w:rPr>
            </w:pPr>
            <w:r>
              <w:rPr>
                <w:rFonts w:hint="default" w:ascii="Times New Roman" w:hAnsi="Times New Roman" w:eastAsia="仿宋" w:cs="Times New Roman"/>
                <w:b/>
                <w:color w:val="auto"/>
                <w:sz w:val="21"/>
                <w:szCs w:val="21"/>
                <w:lang w:val="en-US" w:eastAsia="zh-CN"/>
              </w:rPr>
              <w:t>表1-</w:t>
            </w:r>
            <w:r>
              <w:rPr>
                <w:rFonts w:hint="eastAsia" w:eastAsia="仿宋" w:cs="Times New Roman"/>
                <w:b/>
                <w:color w:val="auto"/>
                <w:sz w:val="21"/>
                <w:szCs w:val="21"/>
                <w:lang w:val="en-US" w:eastAsia="zh-CN"/>
              </w:rPr>
              <w:t>8</w:t>
            </w:r>
            <w:r>
              <w:rPr>
                <w:rFonts w:hint="default" w:ascii="Times New Roman" w:hAnsi="Times New Roman" w:eastAsia="仿宋" w:cs="Times New Roman"/>
                <w:b/>
                <w:color w:val="auto"/>
                <w:sz w:val="21"/>
                <w:szCs w:val="21"/>
                <w:lang w:val="en-US" w:eastAsia="zh-CN"/>
              </w:rPr>
              <w:t>《关于加快推进露天矿山综合整治工作实施意见的函》符合性分析表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071"/>
              <w:gridCol w:w="3479"/>
              <w:gridCol w:w="1586"/>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序号</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类别</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要求</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1</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全面摸底排查露天矿山情况</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以违法违规开采和责任主体灭失的露天矿山为重点，全面查清本地区露天矿山基本情况，在全面核查露天矿山开发利用、环境保护、矿山地质环境恢复治理和土地复垦等情况的基础上，逐矿逐项登记汇总，分类建立台账，提出整治意见。</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本项目未开始运行，已提前按要求编制了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矿产资源开发利用与生态保护修复方案</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等</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2</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依法开展露天矿山综合整治</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依法关闭违反资源环境法律法规、规划，污染环境、破坏生态、乱采滥挖的露天矿山；对污染治理不规范的露天矿山，依法责令停产整治，经相关部门组织验收合格后方可恢复生产，对拒不停产或擅自恢复生产的依法强制关闭；对责任主体灭失的露天矿山，因地制宜加强修复绿化，减少和抑制大气扬尘。全面加强矸石山综合治理，消除自燃和冒烟现象。</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本项目未开始运行，运行时严格按照相关制度进行建设、运行及修复等。</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3</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加强露天矿山生态修复</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按照“谁开采、谁治理，边开采、边治理”原则，引导矿山按照绿色矿山建设行业标准，以环境影响报告书及批复、矿山地质环境保护与土地复垦方案等要求，开展生态修复。对责任主体灭失的露天矿山，按照“谁治理、谁受益”的原则，充分发挥财政资金的引导带动作用，大力探索构建“政府主导、政策扶持、社会参与、开发式治理、市场化运作”的矿山地质环境恢复和综合治理新模式，加快生态修复进度。</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本项目已编制完成</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矿产资源开发利用与生态保护修复方案</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正在编制项目环境影响报告表。后期建设单位严格按批复内容进行建设。</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4</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严格控制新建露天矿山建设项目</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严格贯彻国发〔2018〕22号文件有关要求，重点区域原则上禁止新建露天矿山建设项目，国发〔2018〕22号文件下发前环境影响评价文件已经批复的重点区域露天矿山，确需建设的，在严格落实生态环境保护、矿产资源规划和绿色矿山建设行业标准等要求前提下可继续批准建设。其他区域新建露天矿山建设项目，也应严格执行生态环境保护、矿产资源规划和绿色矿山建设行业标准等要求。</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本项目不属于重点区域，项目建设、运行及修复等严格按照要求执行</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 w:cs="Times New Roman"/>
                <w:b/>
                <w:bCs/>
                <w:color w:val="auto"/>
                <w:sz w:val="24"/>
                <w:szCs w:val="24"/>
                <w:lang w:val="en-US"/>
              </w:rPr>
            </w:pPr>
            <w:r>
              <w:rPr>
                <w:rFonts w:hint="eastAsia" w:eastAsia="仿宋" w:cs="Times New Roman"/>
                <w:b/>
                <w:bCs/>
                <w:color w:val="auto"/>
                <w:sz w:val="24"/>
                <w:szCs w:val="24"/>
                <w:lang w:val="en-US" w:eastAsia="zh-CN"/>
              </w:rPr>
              <w:t>6</w:t>
            </w:r>
            <w:r>
              <w:rPr>
                <w:rFonts w:hint="default" w:ascii="Times New Roman" w:hAnsi="Times New Roman" w:eastAsia="仿宋" w:cs="Times New Roman"/>
                <w:b/>
                <w:bCs/>
                <w:color w:val="auto"/>
                <w:sz w:val="24"/>
                <w:szCs w:val="24"/>
                <w:lang w:val="en-US" w:eastAsia="zh-CN"/>
              </w:rPr>
              <w:t>、与《矿山生态环境保护与恢复治理技术规范（试行）》(HJ651-2013）符合性分析</w:t>
            </w:r>
          </w:p>
          <w:p>
            <w:pPr>
              <w:autoSpaceDE w:val="0"/>
              <w:autoSpaceDN w:val="0"/>
              <w:adjustRightInd w:val="0"/>
              <w:snapToGrid w:val="0"/>
              <w:ind w:firstLine="420"/>
              <w:rPr>
                <w:rFonts w:hint="default" w:ascii="Times New Roman" w:hAnsi="Times New Roman" w:eastAsia="仿宋" w:cs="Times New Roman"/>
                <w:b/>
                <w:color w:val="auto"/>
                <w:sz w:val="24"/>
                <w:szCs w:val="24"/>
                <w:lang w:val="zh-TW"/>
              </w:rPr>
            </w:pPr>
            <w:r>
              <w:rPr>
                <w:rFonts w:hint="default" w:ascii="Times New Roman" w:hAnsi="Times New Roman" w:eastAsia="仿宋" w:cs="Times New Roman"/>
                <w:color w:val="auto"/>
                <w:kern w:val="0"/>
                <w:sz w:val="24"/>
                <w:szCs w:val="24"/>
                <w:lang w:val="en-US" w:eastAsia="zh-CN"/>
              </w:rPr>
              <w:t>本项目与《矿山生态环境保护与恢复治理技术规范（试行）》(HJ651-2013）符合性分析见表1-</w:t>
            </w:r>
            <w:r>
              <w:rPr>
                <w:rFonts w:hint="eastAsia" w:eastAsia="仿宋" w:cs="Times New Roman"/>
                <w:color w:val="auto"/>
                <w:kern w:val="0"/>
                <w:sz w:val="24"/>
                <w:szCs w:val="24"/>
                <w:lang w:val="en-US" w:eastAsia="zh-CN"/>
              </w:rPr>
              <w:t>9</w:t>
            </w:r>
            <w:r>
              <w:rPr>
                <w:rFonts w:hint="default" w:ascii="Times New Roman" w:hAnsi="Times New Roman" w:eastAsia="仿宋" w:cs="Times New Roman"/>
                <w:color w:val="auto"/>
                <w:kern w:val="0"/>
                <w:sz w:val="24"/>
                <w:szCs w:val="24"/>
                <w:lang w:val="en-US" w:eastAsia="zh-CN"/>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lang w:val="en-US" w:eastAsia="zh-CN"/>
              </w:rPr>
            </w:pPr>
            <w:r>
              <w:rPr>
                <w:rFonts w:hint="default" w:ascii="Times New Roman" w:hAnsi="Times New Roman" w:eastAsia="仿宋" w:cs="Times New Roman"/>
                <w:b/>
                <w:color w:val="auto"/>
                <w:sz w:val="21"/>
                <w:szCs w:val="21"/>
                <w:lang w:val="zh-TW"/>
              </w:rPr>
              <w:t>表1</w:t>
            </w:r>
            <w:r>
              <w:rPr>
                <w:rFonts w:hint="eastAsia" w:eastAsia="仿宋" w:cs="Times New Roman"/>
                <w:b/>
                <w:color w:val="auto"/>
                <w:sz w:val="21"/>
                <w:szCs w:val="21"/>
                <w:lang w:val="en-US" w:eastAsia="zh-CN"/>
              </w:rPr>
              <w:t>-9</w:t>
            </w:r>
            <w:r>
              <w:rPr>
                <w:rFonts w:hint="default" w:ascii="Times New Roman" w:hAnsi="Times New Roman" w:eastAsia="仿宋" w:cs="Times New Roman"/>
                <w:b/>
                <w:color w:val="auto"/>
                <w:sz w:val="21"/>
                <w:szCs w:val="21"/>
                <w:lang w:val="zh-TW" w:eastAsia="zh-CN"/>
              </w:rPr>
              <w:t>《矿山生态环境保护与恢复治理技术规范（试行）》(HJ651-2013）</w:t>
            </w:r>
            <w:r>
              <w:rPr>
                <w:rFonts w:hint="default" w:ascii="Times New Roman" w:hAnsi="Times New Roman" w:eastAsia="仿宋" w:cs="Times New Roman"/>
                <w:b/>
                <w:color w:val="auto"/>
                <w:sz w:val="21"/>
                <w:szCs w:val="21"/>
                <w:lang w:val="zh-TW"/>
              </w:rPr>
              <w:t>符合性分析</w:t>
            </w:r>
            <w:r>
              <w:rPr>
                <w:rFonts w:hint="default" w:ascii="Times New Roman" w:hAnsi="Times New Roman" w:eastAsia="仿宋" w:cs="Times New Roman"/>
                <w:b/>
                <w:color w:val="auto"/>
                <w:sz w:val="21"/>
                <w:szCs w:val="21"/>
                <w:lang w:val="en-US" w:eastAsia="zh-CN"/>
              </w:rPr>
              <w:t>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87"/>
              <w:gridCol w:w="3665"/>
              <w:gridCol w:w="2105"/>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序号</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类别</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要求</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本项目</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循环经济</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发展绿色开采技术，实现矿区生态环境无损或受损最小；2）发展干法或节水的工艺技术，减少水的使用量;3）发展无废或少废的工艺技术，最大限度地减少废弃物的产生;4）矿山废物按照先提取有价金属、组分或利用能源，再选择用于建材或其它用途，最后进行无害化处理处置的技术原则。</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项目采用绿色开采技术，采用干法工艺及雾炮喷淋降尘</w:t>
                  </w:r>
                  <w:r>
                    <w:rPr>
                      <w:rFonts w:hint="eastAsia" w:eastAsia="仿宋" w:cs="Times New Roman"/>
                      <w:b w:val="0"/>
                      <w:bCs/>
                      <w:color w:val="auto"/>
                      <w:sz w:val="21"/>
                      <w:szCs w:val="21"/>
                      <w:highlight w:val="none"/>
                      <w:vertAlign w:val="baseline"/>
                      <w:lang w:val="en-US" w:eastAsia="zh-CN"/>
                    </w:rPr>
                    <w:t>，根据开发利用方案，矿产品方向为路基填筑料，不进行筛分，利用率100%，不存在废石。</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2</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禁止的矿产资源开发活动</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禁止在依法划定的自然保护区（核心区、缓冲区）、风景名胜区、森林公园、饮用水水源保护区、重要湖泊周边、文物古迹所在地、地质遗迹保护区、基本农田保护区等区域内采矿。2）禁止在铁路、国道、省道两侧的直观可视范围内进行露天开采。3）禁止在地质灾害危险区开采矿产资源。4）禁止土法采、选冶金矿和土法冶炼汞、砷、铅、锌、焦、硫、钒等矿产资源开发活动。5）禁止新建对生态环境产生不可恢复利用的、产生破坏性影响的矿产资源开发项目。6）禁止新建煤层含硫量大于3%的煤矿</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项目所在区域不在自然保护区内；</w:t>
                  </w:r>
                  <w:r>
                    <w:rPr>
                      <w:rFonts w:hint="default" w:ascii="Times New Roman" w:hAnsi="Times New Roman" w:eastAsia="仿宋" w:cs="Times New Roman"/>
                      <w:b w:val="0"/>
                      <w:bCs/>
                      <w:color w:val="auto"/>
                      <w:sz w:val="21"/>
                      <w:szCs w:val="21"/>
                      <w:highlight w:val="none"/>
                      <w:vertAlign w:val="baseline"/>
                      <w:lang w:val="en-US" w:eastAsia="zh-CN"/>
                    </w:rPr>
                    <w:t>项目离最近的道路约</w:t>
                  </w:r>
                  <w:r>
                    <w:rPr>
                      <w:rFonts w:hint="eastAsia" w:eastAsia="仿宋" w:cs="Times New Roman"/>
                      <w:b w:val="0"/>
                      <w:bCs/>
                      <w:color w:val="auto"/>
                      <w:sz w:val="21"/>
                      <w:szCs w:val="21"/>
                      <w:highlight w:val="none"/>
                      <w:vertAlign w:val="baseline"/>
                      <w:lang w:val="en-US" w:eastAsia="zh-CN"/>
                    </w:rPr>
                    <w:t>960</w:t>
                  </w:r>
                  <w:r>
                    <w:rPr>
                      <w:rFonts w:hint="default" w:ascii="Times New Roman" w:hAnsi="Times New Roman" w:eastAsia="仿宋" w:cs="Times New Roman"/>
                      <w:b w:val="0"/>
                      <w:bCs/>
                      <w:color w:val="auto"/>
                      <w:sz w:val="21"/>
                      <w:szCs w:val="21"/>
                      <w:highlight w:val="none"/>
                      <w:vertAlign w:val="baseline"/>
                      <w:lang w:val="en-US" w:eastAsia="zh-CN"/>
                    </w:rPr>
                    <w:t>m，</w:t>
                  </w:r>
                  <w:r>
                    <w:rPr>
                      <w:rFonts w:hint="default" w:ascii="Times New Roman" w:hAnsi="Times New Roman" w:eastAsia="仿宋" w:cs="Times New Roman"/>
                      <w:b w:val="0"/>
                      <w:bCs/>
                      <w:color w:val="auto"/>
                      <w:sz w:val="21"/>
                      <w:szCs w:val="21"/>
                      <w:vertAlign w:val="baseline"/>
                      <w:lang w:val="en-US" w:eastAsia="zh-CN"/>
                    </w:rPr>
                    <w:t>不在直观可视范围内；不在地质灾害危险区；未开采、选冶金矿和土法冶炼汞、砷、铅、锌、焦、硫、钒等矿产资源；不属于煤矿。</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3</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限制的矿产资源开发活动</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限制在生态功能保护区和自然保护区（过渡区）内开采矿产资源。生态功能保护区内的开采活动必须符合当地的环境功能区规划，并按规定进行控制性开采，开采活动不得影响本功能区内的主导生态功能。2）限制在地质灾害易发区、水土流失严重区域等生态脆弱区内开采矿产资源</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本项目不在生态功能保护区和自然保护区；经上文分析，本项目的建设符合当地的环境功能区规划；本项目不在地质灾害易发区、水土流失严重区域等生态脆弱区</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4</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矿产资源开发规划</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矿产资源开发应符合国家产业政策要求，选址、布局应符合所在地的区域发展规划。2）矿产资源开发企业应制定矿产资源综合开发规划，并应进行环境影响评价，规划内容包括资源开发利用、生态环境保护、地质灾害防治、水土保持、废弃地复垦等。3）.在矿产资源的开发规划阶段，应对矿区内的生态环境进行充分调查，建立矿区的水文、地质、土壤和动植物等生态环境和人文环境基础状况数据库。同时，应对矿床开采可能产生的区域地质环境问题进行预测和评价。4）矿产资源开发规划阶段还应注重对矿山所在区域生态环境的保护</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本项目符合《产业结构调整指导目录（2024年本）》2023年第7号令；本项目按规范委托新疆瑞新源矿业技术有限公司编制了《矿产资源开发利用与生态保护修复方案》，闭矿后对开采区、矿山道路等进行土地整治及回填表土，恢复生态。</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5</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原环境保护部办公厅发布的2016年《矿山生态环境保护与污染防治技术政策》（征求意见稿）提出</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矿产资源开发利用，选址、布局应符合当地主体功能区划、矿产资源开发利用规划、环境功能区划、生态功能区划等并应考虑景观协调性。应该按照开采规模与资源储量相适应的原则，结合区域生态环境承载力状况，确定合理的开发强度。2）在矿产资源开发规划阶段，应充分调查矿区生态背景，包括非生物因子（气候、土壤、地形、地貌及水文地质等）、生态系统（类型、面积、结构和功能）、生物多样性（物种组成、丰富度及多样性）等，建立矿区生态环境本底数据库。3）在生态脆弱区开展矿山生态修复，应因地制宜选择修复技术。对表土资源缺乏地区，鼓励采取无土生态修复技术；对于干旱地区，宜采取节水生态修复技术、抗旱植物恢复技术、砾石覆盖恢复技术等。4）在干旱缺水地区，宜推广干选或节水型选矿工艺</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根据报告全文分析，本项目选址、布局等符合当地主体功能区划、矿产资源开发利用规划、环境功能区划、生态功能区划等；已委托编制普查报告，调查相关数据；不在生态脆弱区；采用雾炮喷淋降尘。</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 w:cs="Times New Roman"/>
                <w:b/>
                <w:color w:val="auto"/>
                <w:sz w:val="24"/>
                <w:szCs w:val="24"/>
                <w:lang w:val="zh-TW"/>
              </w:rPr>
            </w:pPr>
            <w:r>
              <w:rPr>
                <w:rFonts w:hint="eastAsia" w:eastAsia="仿宋" w:cs="Times New Roman"/>
                <w:b/>
                <w:color w:val="auto"/>
                <w:sz w:val="24"/>
                <w:szCs w:val="24"/>
                <w:lang w:val="en-US" w:eastAsia="zh-CN"/>
              </w:rPr>
              <w:t>7</w:t>
            </w:r>
            <w:r>
              <w:rPr>
                <w:rFonts w:hint="default" w:ascii="Times New Roman" w:hAnsi="Times New Roman" w:eastAsia="仿宋" w:cs="Times New Roman"/>
                <w:b/>
                <w:color w:val="auto"/>
                <w:sz w:val="24"/>
                <w:szCs w:val="24"/>
                <w:lang w:val="zh-TW"/>
              </w:rPr>
              <w:t>、</w:t>
            </w:r>
            <w:r>
              <w:rPr>
                <w:rFonts w:hint="default" w:ascii="Times New Roman" w:hAnsi="Times New Roman" w:eastAsia="仿宋" w:cs="Times New Roman"/>
                <w:b/>
                <w:color w:val="auto"/>
                <w:sz w:val="24"/>
                <w:szCs w:val="24"/>
                <w:lang w:val="en-US" w:eastAsia="zh-CN"/>
              </w:rPr>
              <w:t>与</w:t>
            </w:r>
            <w:r>
              <w:rPr>
                <w:rFonts w:hint="default" w:ascii="Times New Roman" w:hAnsi="Times New Roman" w:eastAsia="仿宋" w:cs="Times New Roman"/>
                <w:b/>
                <w:color w:val="auto"/>
                <w:sz w:val="24"/>
                <w:szCs w:val="24"/>
                <w:lang w:val="zh-TW"/>
              </w:rPr>
              <w:t>《新疆维吾尔自治区重点行业环境准入条件（修订）》（2017年1月）符合性分析</w:t>
            </w:r>
          </w:p>
          <w:p>
            <w:pPr>
              <w:autoSpaceDE w:val="0"/>
              <w:autoSpaceDN w:val="0"/>
              <w:adjustRightInd w:val="0"/>
              <w:snapToGrid w:val="0"/>
              <w:ind w:firstLine="420"/>
              <w:rPr>
                <w:rFonts w:hint="default" w:ascii="Times New Roman" w:hAnsi="Times New Roman" w:eastAsia="仿宋" w:cs="Times New Roman"/>
                <w:b/>
                <w:color w:val="auto"/>
                <w:sz w:val="21"/>
                <w:szCs w:val="21"/>
                <w:lang w:val="zh-TW"/>
              </w:rPr>
            </w:pPr>
            <w:r>
              <w:rPr>
                <w:rFonts w:hint="default" w:ascii="Times New Roman" w:hAnsi="Times New Roman" w:eastAsia="仿宋" w:cs="Times New Roman"/>
                <w:color w:val="auto"/>
                <w:kern w:val="0"/>
                <w:sz w:val="24"/>
                <w:szCs w:val="24"/>
              </w:rPr>
              <w:t>本项目与《</w:t>
            </w:r>
            <w:r>
              <w:rPr>
                <w:rFonts w:hint="default" w:ascii="Times New Roman" w:hAnsi="Times New Roman" w:eastAsia="仿宋" w:cs="Times New Roman"/>
                <w:color w:val="auto"/>
                <w:sz w:val="24"/>
                <w:szCs w:val="24"/>
                <w:lang w:val="zh-TW"/>
              </w:rPr>
              <w:t>新疆维吾尔自治区重点行业环境准入条件（修订）》（2017年1月）符合性分析见表1-</w:t>
            </w:r>
            <w:r>
              <w:rPr>
                <w:rFonts w:hint="eastAsia" w:eastAsia="仿宋" w:cs="Times New Roman"/>
                <w:color w:val="auto"/>
                <w:sz w:val="24"/>
                <w:szCs w:val="24"/>
                <w:lang w:val="en-US" w:eastAsia="zh-CN"/>
              </w:rPr>
              <w:t>10</w:t>
            </w:r>
            <w:r>
              <w:rPr>
                <w:rFonts w:hint="default" w:ascii="Times New Roman" w:hAnsi="Times New Roman" w:eastAsia="仿宋" w:cs="Times New Roman"/>
                <w:color w:val="auto"/>
                <w:sz w:val="24"/>
                <w:szCs w:val="24"/>
                <w:lang w:val="zh-TW"/>
              </w:rPr>
              <w:t>。</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0" w:firstLineChars="0"/>
              <w:jc w:val="center"/>
              <w:textAlignment w:val="auto"/>
              <w:rPr>
                <w:rFonts w:hint="default" w:ascii="Times New Roman" w:hAnsi="Times New Roman" w:eastAsia="仿宋" w:cs="Times New Roman"/>
                <w:b/>
                <w:color w:val="auto"/>
                <w:sz w:val="21"/>
                <w:szCs w:val="21"/>
                <w:lang w:val="zh-TW"/>
              </w:rPr>
            </w:pP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0" w:firstLineChars="0"/>
              <w:jc w:val="center"/>
              <w:textAlignment w:val="auto"/>
              <w:rPr>
                <w:rFonts w:hint="default" w:ascii="Times New Roman" w:hAnsi="Times New Roman" w:eastAsia="仿宋" w:cs="Times New Roman"/>
                <w:b/>
                <w:color w:val="auto"/>
                <w:sz w:val="21"/>
                <w:szCs w:val="21"/>
                <w:lang w:val="zh-TW"/>
              </w:rPr>
            </w:pP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0" w:firstLineChars="0"/>
              <w:jc w:val="center"/>
              <w:textAlignment w:val="auto"/>
              <w:rPr>
                <w:rFonts w:hint="default" w:ascii="Times New Roman" w:hAnsi="Times New Roman" w:eastAsia="仿宋" w:cs="Times New Roman"/>
                <w:b/>
                <w:color w:val="auto"/>
                <w:sz w:val="21"/>
                <w:szCs w:val="21"/>
                <w:lang w:val="zh-TW"/>
              </w:rPr>
            </w:pP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0" w:firstLineChars="0"/>
              <w:jc w:val="center"/>
              <w:textAlignment w:val="auto"/>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sz w:val="21"/>
                <w:szCs w:val="21"/>
                <w:lang w:val="zh-TW"/>
              </w:rPr>
              <w:t>表1-</w:t>
            </w:r>
            <w:r>
              <w:rPr>
                <w:rFonts w:hint="eastAsia" w:eastAsia="仿宋" w:cs="Times New Roman"/>
                <w:b/>
                <w:color w:val="auto"/>
                <w:sz w:val="21"/>
                <w:szCs w:val="21"/>
                <w:lang w:val="en-US" w:eastAsia="zh-CN"/>
              </w:rPr>
              <w:t>10</w:t>
            </w:r>
            <w:r>
              <w:rPr>
                <w:rFonts w:hint="default" w:ascii="Times New Roman" w:hAnsi="Times New Roman" w:eastAsia="仿宋" w:cs="Times New Roman"/>
                <w:b/>
                <w:color w:val="auto"/>
                <w:kern w:val="0"/>
                <w:sz w:val="21"/>
                <w:szCs w:val="21"/>
              </w:rPr>
              <w:t>《</w:t>
            </w:r>
            <w:r>
              <w:rPr>
                <w:rFonts w:hint="default" w:ascii="Times New Roman" w:hAnsi="Times New Roman" w:eastAsia="仿宋" w:cs="Times New Roman"/>
                <w:b/>
                <w:color w:val="auto"/>
                <w:sz w:val="21"/>
                <w:szCs w:val="21"/>
                <w:lang w:val="zh-TW"/>
              </w:rPr>
              <w:t>新疆维吾尔自治区重点行业环境准入条件（修订）》符合性分析</w:t>
            </w:r>
          </w:p>
          <w:tbl>
            <w:tblPr>
              <w:tblStyle w:val="25"/>
              <w:tblW w:w="7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344"/>
              <w:gridCol w:w="2771"/>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序号</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要求</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现状</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矿石堆场须采用洒水抑尘、设置围挡等措施防治无组织粉尘排放。其大气污染物排放须满足《大气污染物综合排放标准》（GB16297）要求，有行业排放标准的执行行业标准。</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项目</w:t>
                  </w:r>
                  <w:r>
                    <w:rPr>
                      <w:rFonts w:hint="default" w:ascii="Times New Roman" w:hAnsi="Times New Roman" w:eastAsia="仿宋" w:cs="Times New Roman"/>
                      <w:color w:val="auto"/>
                      <w:kern w:val="0"/>
                      <w:sz w:val="21"/>
                      <w:szCs w:val="21"/>
                      <w:lang w:eastAsia="zh-CN"/>
                    </w:rPr>
                    <w:t>砂石矿</w:t>
                  </w:r>
                  <w:r>
                    <w:rPr>
                      <w:rFonts w:hint="default" w:ascii="Times New Roman" w:hAnsi="Times New Roman" w:eastAsia="仿宋" w:cs="Times New Roman"/>
                      <w:color w:val="auto"/>
                      <w:kern w:val="0"/>
                      <w:sz w:val="21"/>
                      <w:szCs w:val="21"/>
                    </w:rPr>
                    <w:t>运输车辆采用篷布遮盖，限速并严禁超载，运矿道路洒水降尘；厂界颗粒物排放满足《大气污染物综合排放标准》（GB16297-1996）要求</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严禁未经处理采矿废水直接排放，禁止利用渗井、渗坑、裂隙和溶洞等排放废水。在干旱缺水地区，鼓励将外排矿坑水处理达标后用于农林灌溉，生活污水处理达标后尽量综合利用。</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highlight w:val="none"/>
                    </w:rPr>
                    <w:t>本项目生产过程中无生产废水产生，</w:t>
                  </w:r>
                  <w:r>
                    <w:rPr>
                      <w:rFonts w:hint="default" w:ascii="Times New Roman" w:hAnsi="Times New Roman" w:eastAsia="仿宋" w:cs="Times New Roman"/>
                      <w:b w:val="0"/>
                      <w:bCs/>
                      <w:color w:val="auto"/>
                      <w:kern w:val="0"/>
                      <w:sz w:val="21"/>
                      <w:szCs w:val="21"/>
                      <w:highlight w:val="none"/>
                      <w:lang w:val="en-US" w:eastAsia="zh-CN" w:bidi="ar-SA"/>
                    </w:rPr>
                    <w:t>本项目</w:t>
                  </w:r>
                  <w:r>
                    <w:rPr>
                      <w:rFonts w:hint="eastAsia" w:ascii="Times New Roman" w:hAnsi="Times New Roman" w:eastAsia="仿宋" w:cs="Times New Roman"/>
                      <w:b w:val="0"/>
                      <w:bCs/>
                      <w:color w:val="auto"/>
                      <w:kern w:val="0"/>
                      <w:sz w:val="21"/>
                      <w:szCs w:val="21"/>
                      <w:highlight w:val="none"/>
                      <w:lang w:val="en-US" w:eastAsia="zh-CN" w:bidi="ar-SA"/>
                    </w:rPr>
                    <w:t>不设办公生活区，无生活污水产生</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噪声排放执行《工业企业厂界环境噪声排放标准》（GB12348-2008）中2类标准要求。</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本项目厂界噪声均可满足《工业企业厂界环境噪声排放标准》(GB12348)2类标准要求。</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采矿活动产生的固体废物，推广利用采矿固体废物加工生产建筑材料及制品技术，固体废物综合利用率≥30%，无法利用的必须使用专用场所堆放，并采取有效措施防止二次环境污染及诱发次生地质灾害，固体废物处置100%。废石堆场按《一般工业固体废物贮存、处置场污染控制标准》(GB18599</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要求建设，矿区废石场集中设置、避免同一矿区设置多处废石场。废石按GB5086规定的方法进行浸出及腐蚀性鉴别试验，其结果确定为Ⅱ类一般工业固废的，其堆场采取防渗技术措施。生活垃圾实现100%无害化处置。</w:t>
                  </w:r>
                </w:p>
              </w:tc>
              <w:tc>
                <w:tcPr>
                  <w:tcW w:w="1838" w:type="pct"/>
                  <w:tcBorders>
                    <w:tl2br w:val="nil"/>
                    <w:tr2bl w:val="nil"/>
                  </w:tcBorders>
                  <w:shd w:val="clear" w:color="auto" w:fill="auto"/>
                  <w:vAlign w:val="center"/>
                </w:tcPr>
                <w:p>
                  <w:pPr>
                    <w:widowControl/>
                    <w:spacing w:line="240" w:lineRule="auto"/>
                    <w:ind w:firstLine="0" w:firstLineChars="0"/>
                    <w:jc w:val="center"/>
                    <w:rPr>
                      <w:rFonts w:hint="eastAsia"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rPr>
                    <w:t>本项目生活垃圾</w:t>
                  </w:r>
                  <w:r>
                    <w:rPr>
                      <w:rFonts w:hint="default" w:ascii="Times New Roman" w:hAnsi="Times New Roman" w:eastAsia="仿宋" w:cs="Times New Roman"/>
                      <w:color w:val="auto"/>
                      <w:kern w:val="0"/>
                      <w:sz w:val="21"/>
                      <w:szCs w:val="21"/>
                      <w:lang w:val="en-US" w:eastAsia="zh-CN"/>
                    </w:rPr>
                    <w:t>收集后</w:t>
                  </w:r>
                  <w:r>
                    <w:rPr>
                      <w:rFonts w:hint="default" w:ascii="Times New Roman" w:hAnsi="Times New Roman" w:eastAsia="仿宋" w:cs="Times New Roman"/>
                      <w:color w:val="auto"/>
                      <w:kern w:val="0"/>
                      <w:sz w:val="21"/>
                      <w:szCs w:val="21"/>
                    </w:rPr>
                    <w:t>统一交由环卫部门处置</w:t>
                  </w:r>
                  <w:r>
                    <w:rPr>
                      <w:rFonts w:hint="eastAsia" w:eastAsia="仿宋" w:cs="Times New Roman"/>
                      <w:color w:val="auto"/>
                      <w:kern w:val="0"/>
                      <w:sz w:val="21"/>
                      <w:szCs w:val="21"/>
                      <w:lang w:eastAsia="zh-CN"/>
                    </w:rPr>
                    <w:t>。</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新建、改（扩）建矿山应在矿山开采前完成《矿山生态环境保护与恢复治理方案》编制工作。对位于荒漠和风沙区矿产资源开发应避开易发生风蚀和生态退化地带；</w:t>
                  </w:r>
                  <w:r>
                    <w:rPr>
                      <w:rFonts w:hint="default" w:ascii="Times New Roman" w:hAnsi="Times New Roman" w:eastAsia="仿宋" w:cs="Times New Roman"/>
                      <w:color w:val="auto"/>
                      <w:kern w:val="0"/>
                      <w:sz w:val="21"/>
                      <w:szCs w:val="21"/>
                      <w:lang w:eastAsia="zh-CN"/>
                    </w:rPr>
                    <w:t>废石堆场</w:t>
                  </w:r>
                  <w:r>
                    <w:rPr>
                      <w:rFonts w:hint="default" w:ascii="Times New Roman" w:hAnsi="Times New Roman" w:eastAsia="仿宋" w:cs="Times New Roman"/>
                      <w:color w:val="auto"/>
                      <w:kern w:val="0"/>
                      <w:sz w:val="21"/>
                      <w:szCs w:val="21"/>
                    </w:rPr>
                    <w:t>、料场等场地应采取围挡和覆盖等防风蚀措施。水蚀敏感区矿产资源开发应科学设置露天采场、</w:t>
                  </w:r>
                  <w:r>
                    <w:rPr>
                      <w:rFonts w:hint="default" w:ascii="Times New Roman" w:hAnsi="Times New Roman" w:eastAsia="仿宋" w:cs="Times New Roman"/>
                      <w:color w:val="auto"/>
                      <w:kern w:val="0"/>
                      <w:sz w:val="21"/>
                      <w:szCs w:val="21"/>
                      <w:lang w:eastAsia="zh-CN"/>
                    </w:rPr>
                    <w:t>废石堆场</w:t>
                  </w:r>
                  <w:r>
                    <w:rPr>
                      <w:rFonts w:hint="default" w:ascii="Times New Roman" w:hAnsi="Times New Roman" w:eastAsia="仿宋" w:cs="Times New Roman"/>
                      <w:color w:val="auto"/>
                      <w:kern w:val="0"/>
                      <w:sz w:val="21"/>
                      <w:szCs w:val="21"/>
                    </w:rPr>
                    <w:t>及料场，并采取边坡防护、工程拦挡等水土保持措施。</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lang w:val="en-US"/>
                    </w:rPr>
                  </w:pPr>
                  <w:r>
                    <w:rPr>
                      <w:rFonts w:hint="default" w:ascii="Times New Roman" w:hAnsi="Times New Roman" w:eastAsia="仿宋" w:cs="Times New Roman"/>
                      <w:color w:val="auto"/>
                      <w:kern w:val="0"/>
                      <w:sz w:val="21"/>
                      <w:szCs w:val="21"/>
                    </w:rPr>
                    <w:t>本项目已编制完成《</w:t>
                  </w:r>
                  <w:r>
                    <w:rPr>
                      <w:rFonts w:hint="default" w:ascii="Times New Roman" w:hAnsi="Times New Roman" w:eastAsia="仿宋" w:cs="Times New Roman"/>
                      <w:color w:val="auto"/>
                      <w:kern w:val="0"/>
                      <w:sz w:val="21"/>
                      <w:szCs w:val="21"/>
                      <w:lang w:val="en-US" w:eastAsia="zh-CN"/>
                    </w:rPr>
                    <w:t>矿产资源开发利用与生态保护修复方案</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val="en-US" w:eastAsia="zh-CN"/>
                    </w:rPr>
                    <w:t>矿山生产采出的矿石无需筛分，全部利用</w:t>
                  </w:r>
                  <w:r>
                    <w:rPr>
                      <w:rFonts w:hint="eastAsia" w:eastAsia="仿宋" w:cs="Times New Roman"/>
                      <w:color w:val="auto"/>
                      <w:kern w:val="0"/>
                      <w:sz w:val="21"/>
                      <w:szCs w:val="21"/>
                      <w:lang w:val="en-US" w:eastAsia="zh-CN"/>
                    </w:rPr>
                    <w:t>装车拉运，不进行加工。</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6</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二）选址与空间布局1.铁路、高速公路、国道、省道等重要交通干线两侧200米范围以内，重要工业区、大型水利工程设施、城镇市政工程设施所在区域，军事管理区、机场、国防工程设施圈定的区域,居民聚集区1千米以内禁止建设非金属矿采选项目。2.伊犁河、额尔齐斯河等重要河流源头区、水环境功能区划为Ⅰ、Ⅱ类和具有饮用功能的Ⅲ类水体岸边1000米以内，其它Ⅲ类水体岸边200米以内，禁止新建或改扩建非金属矿选矿工程，存在山体等阻隔地形或建设人工地下水阻隔设施的，可根据实际情况，在确保不会对水体产生污染影响的前提下适当放宽距离要求。</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highlight w:val="none"/>
                    </w:rPr>
                    <w:t>本项目位于</w:t>
                  </w:r>
                  <w:r>
                    <w:rPr>
                      <w:rFonts w:hint="eastAsia" w:eastAsia="仿宋" w:cs="Times New Roman"/>
                      <w:color w:val="auto"/>
                      <w:kern w:val="0"/>
                      <w:sz w:val="21"/>
                      <w:szCs w:val="21"/>
                      <w:highlight w:val="none"/>
                      <w:lang w:val="en-US" w:eastAsia="zh-CN"/>
                    </w:rPr>
                    <w:t>新疆维吾尔自治区吐鲁番地区鄯善县北西280°方位，直线距离约30千米</w:t>
                  </w:r>
                  <w:r>
                    <w:rPr>
                      <w:rFonts w:hint="default" w:ascii="Times New Roman" w:hAnsi="Times New Roman" w:eastAsia="仿宋" w:cs="Times New Roman"/>
                      <w:color w:val="auto"/>
                      <w:kern w:val="0"/>
                      <w:sz w:val="21"/>
                      <w:szCs w:val="21"/>
                      <w:highlight w:val="none"/>
                      <w:lang w:eastAsia="zh-CN"/>
                    </w:rPr>
                    <w:t>，</w:t>
                  </w:r>
                  <w:r>
                    <w:rPr>
                      <w:rFonts w:hint="default" w:ascii="Times New Roman" w:hAnsi="Times New Roman" w:eastAsia="仿宋" w:cs="Times New Roman"/>
                      <w:color w:val="auto"/>
                      <w:kern w:val="0"/>
                      <w:sz w:val="21"/>
                      <w:szCs w:val="21"/>
                      <w:lang w:val="en-US" w:eastAsia="zh-CN"/>
                    </w:rPr>
                    <w:t>距离高速公路在200米范围外、距离居民聚集区1千米以上；项目周围1000米以内无水体。</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项目建设基本符合《新疆维吾尔自治区重点行业环境准入条件（修订）》（2017年1月）相关要求。</w:t>
            </w:r>
          </w:p>
          <w:p>
            <w:pPr>
              <w:keepNext w:val="0"/>
              <w:keepLines w:val="0"/>
              <w:pageBreakBefore w:val="0"/>
              <w:widowControl w:val="0"/>
              <w:numPr>
                <w:ilvl w:val="0"/>
                <w:numId w:val="2"/>
              </w:numPr>
              <w:kinsoku/>
              <w:wordWrap/>
              <w:overflowPunct/>
              <w:topLinePunct w:val="0"/>
              <w:autoSpaceDE w:val="0"/>
              <w:autoSpaceDN w:val="0"/>
              <w:bidi w:val="0"/>
              <w:adjustRightInd/>
              <w:snapToGrid/>
              <w:ind w:firstLine="420"/>
              <w:textAlignment w:val="auto"/>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rPr>
              <w:t>与《吐鲁番市国民经济和社会发展第十四个五年规划和2035年远景目标纲要》的符合性分析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根据《吐鲁番市国民经济和社会发展第十四个五年规划和2035年远景目标纲要》：深入贯彻落实矿业权出让制度改革，用活用足矿业权出让制度改革相关政策规定，提高矿产资源勘查开发力度，在东天山多金属等优势矿种和重点成矿带上实现找矿新突破。</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rPr>
              <w:t>本项目为</w:t>
            </w:r>
            <w:r>
              <w:rPr>
                <w:rFonts w:hint="eastAsia" w:ascii="Times New Roman" w:hAnsi="Times New Roman" w:eastAsia="仿宋" w:cs="Times New Roman"/>
                <w:color w:val="auto"/>
                <w:kern w:val="0"/>
                <w:sz w:val="24"/>
                <w:szCs w:val="24"/>
                <w:lang w:val="en-US" w:eastAsia="zh-CN"/>
              </w:rPr>
              <w:t>建筑砂石</w:t>
            </w:r>
            <w:r>
              <w:rPr>
                <w:rFonts w:hint="default" w:ascii="Times New Roman" w:hAnsi="Times New Roman" w:eastAsia="仿宋" w:cs="Times New Roman"/>
                <w:color w:val="auto"/>
                <w:kern w:val="0"/>
                <w:sz w:val="24"/>
                <w:szCs w:val="24"/>
              </w:rPr>
              <w:t>开采，矿区位于</w:t>
            </w:r>
            <w:r>
              <w:rPr>
                <w:rFonts w:hint="default" w:ascii="Times New Roman" w:hAnsi="Times New Roman" w:eastAsia="仿宋" w:cs="Times New Roman"/>
                <w:color w:val="auto"/>
                <w:kern w:val="0"/>
                <w:sz w:val="24"/>
                <w:szCs w:val="24"/>
                <w:lang w:val="en-US" w:eastAsia="zh-CN"/>
              </w:rPr>
              <w:t>新疆维吾尔自治区吐鲁番地区鄯善县北西280°方位，直线距离约30千米</w:t>
            </w:r>
            <w:r>
              <w:rPr>
                <w:rFonts w:hint="eastAsia"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rPr>
              <w:t>本项目建设符合《吐鲁番市国民经济和社会发展第十四个五年规划和2035年远景目标纲要》中的相关要求</w:t>
            </w:r>
            <w:r>
              <w:rPr>
                <w:rFonts w:hint="eastAsia" w:ascii="Times New Roman" w:hAnsi="Times New Roman" w:eastAsia="仿宋" w:cs="Times New Roman"/>
                <w:color w:val="auto"/>
                <w:kern w:val="0"/>
                <w:sz w:val="24"/>
                <w:szCs w:val="24"/>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Times New Roman" w:hAnsi="Times New Roman" w:eastAsia="仿宋" w:cs="Times New Roman"/>
                <w:b/>
                <w:bCs/>
                <w:color w:val="auto"/>
                <w:kern w:val="0"/>
                <w:sz w:val="24"/>
                <w:szCs w:val="24"/>
              </w:rPr>
            </w:pPr>
            <w:r>
              <w:rPr>
                <w:rFonts w:hint="eastAsia" w:ascii="Times New Roman" w:hAnsi="Times New Roman" w:eastAsia="仿宋" w:cs="Times New Roman"/>
                <w:b/>
                <w:bCs/>
                <w:color w:val="auto"/>
                <w:kern w:val="0"/>
                <w:sz w:val="24"/>
                <w:szCs w:val="24"/>
                <w:lang w:val="en-US" w:eastAsia="zh-CN"/>
              </w:rPr>
              <w:t>9、</w:t>
            </w:r>
            <w:r>
              <w:rPr>
                <w:rFonts w:hint="default" w:ascii="Times New Roman" w:hAnsi="Times New Roman" w:eastAsia="仿宋" w:cs="Times New Roman"/>
                <w:b/>
                <w:bCs/>
                <w:color w:val="auto"/>
                <w:kern w:val="0"/>
                <w:sz w:val="24"/>
                <w:szCs w:val="24"/>
              </w:rPr>
              <w:t>与《新疆维吾尔自治区国民经济和社会发展第十四个五年规划和2035年远景目标纲要》的符合性分析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根据《新疆维吾尔自治区国民经济和社会发展第十四个五年规划和2035年远景目标纲要》：坚持把发展经济着力点放在实体经济上，深化工业供给侧结构性改革，推动工业强基增效和转型升级，全面提升新型工业化发展水平。积极发展有色工业。推进铝、铜、镍、镁等有色金属下游产业链延伸，培育铜镍、铜铝、铜镁、硅铝、铍铜等合金产业，推动汽车、铁路、航天、航海等行业应用有色新材料，打造全国重要的有色金属产业基地。加快发展新材料产业。积极发展硅基、铝基、碳基、锆基、铜基、钛基、稀有金属、化工、生物基等新材料及复合新材料、前沿新材料，提升新材料产业集群和产业协同效应。按照“深化北疆东疆，加快南疆勘查”的总体思路，开展重点成矿区带地质调查和矿产勘查，做好矿产资源开发利用储备。贯彻新发展理念，建设绿色矿山，实现可持续发展。大力发展绿色矿业，提高矿产资源开采回采率、选矿回收率和综合利用率。</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本项目为</w:t>
            </w:r>
            <w:r>
              <w:rPr>
                <w:rFonts w:hint="eastAsia" w:ascii="Times New Roman" w:hAnsi="Times New Roman" w:eastAsia="仿宋" w:cs="Times New Roman"/>
                <w:color w:val="auto"/>
                <w:kern w:val="0"/>
                <w:sz w:val="24"/>
                <w:szCs w:val="24"/>
                <w:lang w:val="en-US" w:eastAsia="zh-CN"/>
              </w:rPr>
              <w:t>建筑砂石</w:t>
            </w:r>
            <w:r>
              <w:rPr>
                <w:rFonts w:hint="default" w:ascii="Times New Roman" w:hAnsi="Times New Roman" w:eastAsia="仿宋" w:cs="Times New Roman"/>
                <w:color w:val="auto"/>
                <w:kern w:val="0"/>
                <w:sz w:val="24"/>
                <w:szCs w:val="24"/>
              </w:rPr>
              <w:t>开采项目，符合《新疆维吾尔自治区国民经济和社会发展第十四个五年规划和2035年远景目标纲要》要求。</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Times New Roman" w:hAnsi="Times New Roman" w:eastAsia="仿宋" w:cs="Times New Roman"/>
                <w:b/>
                <w:bCs/>
                <w:color w:val="auto"/>
                <w:kern w:val="0"/>
                <w:sz w:val="24"/>
                <w:szCs w:val="24"/>
                <w:lang w:val="en-US" w:eastAsia="zh-CN"/>
              </w:rPr>
            </w:pPr>
            <w:r>
              <w:rPr>
                <w:rFonts w:hint="eastAsia" w:ascii="Times New Roman" w:hAnsi="Times New Roman" w:eastAsia="仿宋" w:cs="Times New Roman"/>
                <w:b/>
                <w:bCs/>
                <w:color w:val="auto"/>
                <w:kern w:val="0"/>
                <w:sz w:val="24"/>
                <w:szCs w:val="24"/>
                <w:lang w:val="en-US" w:eastAsia="zh-CN"/>
              </w:rPr>
              <w:t>10、与《新疆维吾尔自治区鄯善县矿产资源总体规划（2021-2025年）》符合性</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ascii="Times New Roman" w:hAnsi="Times New Roman" w:eastAsia="仿宋" w:cs="Times New Roman"/>
                <w:b w:val="0"/>
                <w:bCs w:val="0"/>
                <w:color w:val="auto"/>
                <w:kern w:val="0"/>
                <w:sz w:val="24"/>
                <w:szCs w:val="24"/>
                <w:lang w:val="en-US" w:eastAsia="zh-CN"/>
              </w:rPr>
            </w:pPr>
            <w:r>
              <w:rPr>
                <w:rFonts w:hint="eastAsia" w:ascii="Times New Roman" w:hAnsi="Times New Roman" w:eastAsia="仿宋" w:cs="Times New Roman"/>
                <w:b w:val="0"/>
                <w:bCs w:val="0"/>
                <w:color w:val="auto"/>
                <w:kern w:val="0"/>
                <w:sz w:val="24"/>
                <w:szCs w:val="24"/>
                <w:lang w:val="en-US" w:eastAsia="zh-CN"/>
              </w:rPr>
              <w:t xml:space="preserve">新疆维吾尔自治区鄯善县矿产资源总体规划（2021-2025年）提出“新建和生产矿山做到资源开发和环境保护并重，矿山地质环境得到同步治理，历史遗留废弃工矿用地的生态修复持续有序进行。建立健全矿山生态环境保护修复监管信息系统，完善矿山地质环境动态监测体系建设。矿山地质环境保护与治理恢复责任机制得到全面落实，矿山企业必须依法履行矿山地质环境保护与土地复垦义务，加强对矿山环境保护与治理规划执行情况的监督管理”、“严格执行绿色勘查规范，全面实施绿色勘查。牢固树立绿色发展理念，将绿色发展理念贯穿于勘查活动的全过程，将保护生态环境作为勘查活动中应尽的义务和责任”、“矿山建设须符合规模化、集约化的原则。编制有《矿山开采设计方案》并通过评审。矿山企业要严格按矿山设计所规定的矿山“三率”指标进行生产，积极依靠科技进步提高采、选、冶技术水平和装备水平，加强对共(伴)矿产的综合利用，提高资源.......”。  </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ascii="Times New Roman" w:hAnsi="Times New Roman" w:eastAsia="仿宋" w:cs="Times New Roman"/>
                <w:b/>
                <w:bCs/>
                <w:color w:val="auto"/>
                <w:kern w:val="0"/>
                <w:sz w:val="24"/>
                <w:szCs w:val="24"/>
                <w:lang w:val="en-US" w:eastAsia="zh-CN"/>
              </w:rPr>
            </w:pPr>
            <w:r>
              <w:rPr>
                <w:rFonts w:hint="default" w:ascii="Times New Roman" w:hAnsi="Times New Roman" w:eastAsia="仿宋" w:cs="Times New Roman"/>
                <w:color w:val="auto"/>
                <w:kern w:val="0"/>
                <w:sz w:val="24"/>
                <w:szCs w:val="24"/>
              </w:rPr>
              <w:t>本项目为</w:t>
            </w:r>
            <w:r>
              <w:rPr>
                <w:rFonts w:hint="eastAsia" w:ascii="Times New Roman" w:hAnsi="Times New Roman" w:eastAsia="仿宋" w:cs="Times New Roman"/>
                <w:color w:val="auto"/>
                <w:kern w:val="0"/>
                <w:sz w:val="24"/>
                <w:szCs w:val="24"/>
                <w:lang w:val="en-US" w:eastAsia="zh-CN"/>
              </w:rPr>
              <w:t>建筑砂石</w:t>
            </w:r>
            <w:r>
              <w:rPr>
                <w:rFonts w:hint="default" w:ascii="Times New Roman" w:hAnsi="Times New Roman" w:eastAsia="仿宋" w:cs="Times New Roman"/>
                <w:color w:val="auto"/>
                <w:kern w:val="0"/>
                <w:sz w:val="24"/>
                <w:szCs w:val="24"/>
              </w:rPr>
              <w:t>开采项目，已编制完成《</w:t>
            </w:r>
            <w:r>
              <w:rPr>
                <w:rFonts w:hint="default" w:ascii="Times New Roman" w:hAnsi="Times New Roman" w:eastAsia="仿宋" w:cs="Times New Roman"/>
                <w:color w:val="auto"/>
                <w:kern w:val="0"/>
                <w:sz w:val="24"/>
                <w:szCs w:val="24"/>
                <w:lang w:val="en-US" w:eastAsia="zh-CN"/>
              </w:rPr>
              <w:t>矿产资源开发利用与生态保护修复方案</w:t>
            </w:r>
            <w:r>
              <w:rPr>
                <w:rFonts w:hint="default" w:ascii="Times New Roman" w:hAnsi="Times New Roman" w:eastAsia="仿宋" w:cs="Times New Roman"/>
                <w:color w:val="auto"/>
                <w:kern w:val="0"/>
                <w:sz w:val="24"/>
                <w:szCs w:val="24"/>
              </w:rPr>
              <w:t>》，</w:t>
            </w:r>
            <w:r>
              <w:rPr>
                <w:rFonts w:hint="default" w:ascii="Times New Roman" w:hAnsi="Times New Roman" w:eastAsia="仿宋" w:cs="Times New Roman"/>
                <w:color w:val="auto"/>
                <w:kern w:val="0"/>
                <w:sz w:val="24"/>
                <w:szCs w:val="24"/>
                <w:lang w:val="en-US" w:eastAsia="zh-CN"/>
              </w:rPr>
              <w:t>已加强矿山生态恢复和环境治理；对运营过程中的废气、废水等提出污染防治措施</w:t>
            </w:r>
            <w:r>
              <w:rPr>
                <w:rFonts w:hint="eastAsia" w:ascii="Times New Roman" w:hAnsi="Times New Roman" w:eastAsia="仿宋" w:cs="Times New Roman"/>
                <w:color w:val="auto"/>
                <w:kern w:val="0"/>
                <w:sz w:val="24"/>
                <w:szCs w:val="24"/>
                <w:lang w:val="en-US" w:eastAsia="zh-CN"/>
              </w:rPr>
              <w:t>，因此，本项目符合《新疆维吾尔自治区鄯善县矿产资源总体规划（2021-2025年）》。</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Times New Roman" w:hAnsi="Times New Roman" w:eastAsia="仿宋" w:cs="Times New Roman"/>
                <w:b/>
                <w:bCs/>
                <w:color w:val="auto"/>
                <w:kern w:val="0"/>
                <w:sz w:val="24"/>
                <w:szCs w:val="24"/>
              </w:rPr>
            </w:pPr>
            <w:r>
              <w:rPr>
                <w:rFonts w:hint="eastAsia" w:ascii="Times New Roman" w:hAnsi="Times New Roman" w:eastAsia="仿宋" w:cs="Times New Roman"/>
                <w:b/>
                <w:bCs/>
                <w:color w:val="auto"/>
                <w:kern w:val="0"/>
                <w:sz w:val="24"/>
                <w:szCs w:val="24"/>
                <w:lang w:val="en-US" w:eastAsia="zh-CN"/>
              </w:rPr>
              <w:t>11、</w:t>
            </w:r>
            <w:r>
              <w:rPr>
                <w:rFonts w:hint="default" w:ascii="Times New Roman" w:hAnsi="Times New Roman" w:eastAsia="仿宋" w:cs="Times New Roman"/>
                <w:b/>
                <w:bCs/>
                <w:color w:val="auto"/>
                <w:kern w:val="0"/>
                <w:sz w:val="24"/>
                <w:szCs w:val="24"/>
              </w:rPr>
              <w:t>与《新疆生态环境保护“十四五”规划》的符合性分析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val="0"/>
                <w:bCs w:val="0"/>
                <w:color w:val="auto"/>
                <w:kern w:val="0"/>
                <w:sz w:val="24"/>
                <w:szCs w:val="24"/>
              </w:rPr>
              <w:t>根据2022年1月14日新疆维吾尔自治区人民政府发布的《新疆生态环境保护“十四五”规划》中对矿山开采的相关要求，本项目与其相符性如下：</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22" w:firstLineChars="200"/>
              <w:jc w:val="center"/>
              <w:textAlignment w:val="auto"/>
              <w:rPr>
                <w:rFonts w:hint="default" w:ascii="Times New Roman" w:hAnsi="Times New Roman" w:eastAsia="仿宋" w:cs="Times New Roman"/>
                <w:b/>
                <w:bCs/>
                <w:color w:val="auto"/>
                <w:kern w:val="0"/>
                <w:sz w:val="21"/>
                <w:szCs w:val="21"/>
              </w:rPr>
            </w:pPr>
          </w:p>
          <w:p>
            <w:pPr>
              <w:keepNext w:val="0"/>
              <w:keepLines w:val="0"/>
              <w:pageBreakBefore w:val="0"/>
              <w:widowControl w:val="0"/>
              <w:numPr>
                <w:ilvl w:val="0"/>
                <w:numId w:val="0"/>
              </w:numPr>
              <w:kinsoku/>
              <w:wordWrap/>
              <w:overflowPunct/>
              <w:topLinePunct w:val="0"/>
              <w:autoSpaceDE w:val="0"/>
              <w:autoSpaceDN w:val="0"/>
              <w:bidi w:val="0"/>
              <w:adjustRightInd/>
              <w:snapToGrid/>
              <w:ind w:firstLine="422" w:firstLineChars="200"/>
              <w:jc w:val="center"/>
              <w:textAlignment w:val="auto"/>
              <w:rPr>
                <w:rFonts w:hint="default" w:ascii="Times New Roman" w:hAnsi="Times New Roman" w:eastAsia="仿宋" w:cs="Times New Roman"/>
                <w:b/>
                <w:bCs/>
                <w:color w:val="auto"/>
                <w:kern w:val="0"/>
                <w:sz w:val="21"/>
                <w:szCs w:val="21"/>
              </w:rPr>
            </w:pPr>
          </w:p>
          <w:p>
            <w:pPr>
              <w:keepNext w:val="0"/>
              <w:keepLines w:val="0"/>
              <w:pageBreakBefore w:val="0"/>
              <w:widowControl w:val="0"/>
              <w:numPr>
                <w:ilvl w:val="0"/>
                <w:numId w:val="0"/>
              </w:numPr>
              <w:kinsoku/>
              <w:wordWrap/>
              <w:overflowPunct/>
              <w:topLinePunct w:val="0"/>
              <w:autoSpaceDE w:val="0"/>
              <w:autoSpaceDN w:val="0"/>
              <w:bidi w:val="0"/>
              <w:adjustRightInd/>
              <w:snapToGrid/>
              <w:ind w:firstLine="422" w:firstLineChars="200"/>
              <w:jc w:val="center"/>
              <w:textAlignment w:val="auto"/>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表</w:t>
            </w:r>
            <w:r>
              <w:rPr>
                <w:rFonts w:hint="eastAsia" w:ascii="Times New Roman" w:hAnsi="Times New Roman" w:eastAsia="仿宋" w:cs="Times New Roman"/>
                <w:b/>
                <w:bCs/>
                <w:color w:val="auto"/>
                <w:kern w:val="0"/>
                <w:sz w:val="21"/>
                <w:szCs w:val="21"/>
                <w:lang w:val="en-US" w:eastAsia="zh-CN"/>
              </w:rPr>
              <w:t xml:space="preserve">1-11  </w:t>
            </w:r>
            <w:r>
              <w:rPr>
                <w:rFonts w:hint="default" w:ascii="Times New Roman" w:hAnsi="Times New Roman" w:eastAsia="仿宋" w:cs="Times New Roman"/>
                <w:b/>
                <w:bCs/>
                <w:color w:val="auto"/>
                <w:kern w:val="0"/>
                <w:sz w:val="21"/>
                <w:szCs w:val="21"/>
              </w:rPr>
              <w:t>相关技术政策符合性</w:t>
            </w:r>
          </w:p>
          <w:tbl>
            <w:tblPr>
              <w:tblStyle w:val="26"/>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700"/>
              <w:gridCol w:w="211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eastAsia"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类别</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规划要求</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eastAsia"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rPr>
                    <w:t>本项目</w:t>
                  </w:r>
                  <w:r>
                    <w:rPr>
                      <w:rFonts w:hint="eastAsia" w:ascii="Times New Roman" w:hAnsi="Times New Roman" w:eastAsia="仿宋" w:cs="Times New Roman"/>
                      <w:b w:val="0"/>
                      <w:bCs w:val="0"/>
                      <w:color w:val="auto"/>
                      <w:kern w:val="0"/>
                      <w:sz w:val="21"/>
                      <w:szCs w:val="21"/>
                      <w:lang w:val="en-US" w:eastAsia="zh-CN"/>
                    </w:rPr>
                    <w:t>情况</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绿</w:t>
                  </w:r>
                  <w:r>
                    <w:rPr>
                      <w:rFonts w:hint="default" w:ascii="Times New Roman" w:hAnsi="Times New Roman" w:eastAsia="仿宋" w:cs="Times New Roman"/>
                      <w:b w:val="0"/>
                      <w:bCs w:val="0"/>
                      <w:color w:val="auto"/>
                      <w:kern w:val="0"/>
                      <w:sz w:val="21"/>
                      <w:szCs w:val="21"/>
                    </w:rPr>
                    <w:t>色矿山建设</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全面推进绿色矿山建设，规范绿色矿山第三方评估，推广矿产资源节约与综合利用先进技术。</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本项目建设过程中，严格按照绿色矿山要求进行建设。</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eastAsia"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大</w:t>
                  </w:r>
                  <w:r>
                    <w:rPr>
                      <w:rFonts w:hint="default" w:ascii="Times New Roman" w:hAnsi="Times New Roman" w:eastAsia="仿宋" w:cs="Times New Roman"/>
                      <w:b w:val="0"/>
                      <w:bCs w:val="0"/>
                      <w:color w:val="auto"/>
                      <w:kern w:val="0"/>
                      <w:sz w:val="21"/>
                      <w:szCs w:val="21"/>
                    </w:rPr>
                    <w:t>气</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环境</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充分运用新型、高效的防尘、降尘、除尘技术，加强矿山粉尘治理。</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粉尘采用洒水抑尘的措施。</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水</w:t>
                  </w:r>
                  <w:r>
                    <w:rPr>
                      <w:rFonts w:hint="default" w:ascii="Times New Roman" w:hAnsi="Times New Roman" w:eastAsia="仿宋" w:cs="Times New Roman"/>
                      <w:b w:val="0"/>
                      <w:bCs w:val="0"/>
                      <w:color w:val="auto"/>
                      <w:kern w:val="0"/>
                      <w:sz w:val="21"/>
                      <w:szCs w:val="21"/>
                    </w:rPr>
                    <w:t>环境</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推进地表水与地下水协同防治。统筹区域地表水、地下水生态环境监管。以傍河型地下水饮用水水源为重点，防范受污染河段侧渗和垂直补给对地下水污染。加强化学品生产企业、工业聚集区、矿山开采区等污染源的地表、地下协同防治与环境风险管控。</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重点区域均按要求进行防渗。</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土</w:t>
                  </w:r>
                  <w:r>
                    <w:rPr>
                      <w:rFonts w:hint="default" w:ascii="Times New Roman" w:hAnsi="Times New Roman" w:eastAsia="仿宋" w:cs="Times New Roman"/>
                      <w:b w:val="0"/>
                      <w:bCs w:val="0"/>
                      <w:color w:val="auto"/>
                      <w:kern w:val="0"/>
                      <w:sz w:val="21"/>
                      <w:szCs w:val="21"/>
                    </w:rPr>
                    <w:t>壤环境</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防范工矿企业土壤污染。结合重点行业企业用地土壤污染状况调查成果，完善土壤污染重点监管单位名录，探索建立地下水污染重点监管单位名录，在排污许可证中载明土壤和地下水污染防治要求。鼓励土壤污染重点监管单位实施提标改造。定期对土壤污染重点监管单位和地下水污染重点监管单位周边土壤、地下水开展监测。督促重点行业企业定期开展土壤及地下水环境自行监测、污染隐患排查。</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本项目为</w:t>
                  </w:r>
                  <w:r>
                    <w:rPr>
                      <w:rFonts w:hint="eastAsia" w:ascii="Times New Roman" w:hAnsi="Times New Roman" w:eastAsia="仿宋" w:cs="Times New Roman"/>
                      <w:b w:val="0"/>
                      <w:bCs w:val="0"/>
                      <w:color w:val="auto"/>
                      <w:kern w:val="0"/>
                      <w:sz w:val="21"/>
                      <w:szCs w:val="21"/>
                      <w:lang w:val="en-US" w:eastAsia="zh-CN"/>
                    </w:rPr>
                    <w:t>建筑砂石</w:t>
                  </w:r>
                  <w:r>
                    <w:rPr>
                      <w:rFonts w:hint="default" w:ascii="Times New Roman" w:hAnsi="Times New Roman" w:eastAsia="仿宋" w:cs="Times New Roman"/>
                      <w:b w:val="0"/>
                      <w:bCs w:val="0"/>
                      <w:color w:val="auto"/>
                      <w:kern w:val="0"/>
                      <w:sz w:val="21"/>
                      <w:szCs w:val="21"/>
                    </w:rPr>
                    <w:t>开采项目，不属于土壤污染重点监管单位，根据土壤现状监测报告，矿区占地范围内、外土壤污染物均未达到筛选值标准，土壤环境良好。环评要求采取防渗等措施防止开采活动对土壤及地下水的污染。</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eastAsia"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风险</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强化重点区域地下水环境风险管控。对化学品生产企业、工业集聚区、尾矿库、矿山开采区、危险废物处置场、垃圾填埋场等地下水污染源及周边区域，逐步开展地下水环境状况调查评估，加强风险管控。</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环评提出</w:t>
                  </w:r>
                  <w:r>
                    <w:rPr>
                      <w:rFonts w:hint="default" w:ascii="Times New Roman" w:hAnsi="Times New Roman" w:eastAsia="仿宋" w:cs="Times New Roman"/>
                      <w:b w:val="0"/>
                      <w:bCs w:val="0"/>
                      <w:color w:val="auto"/>
                      <w:kern w:val="0"/>
                      <w:sz w:val="21"/>
                      <w:szCs w:val="21"/>
                    </w:rPr>
                    <w:t>强化重点区域地下水环境风险管控。</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符合</w:t>
                  </w:r>
                </w:p>
              </w:tc>
            </w:tr>
          </w:tbl>
          <w:p>
            <w:pPr>
              <w:pStyle w:val="9"/>
              <w:keepNext w:val="0"/>
              <w:keepLines w:val="0"/>
              <w:pageBreakBefore w:val="0"/>
              <w:widowControl/>
              <w:numPr>
                <w:ilvl w:val="0"/>
                <w:numId w:val="3"/>
              </w:numPr>
              <w:kinsoku/>
              <w:wordWrap/>
              <w:overflowPunct/>
              <w:topLinePunct w:val="0"/>
              <w:autoSpaceDE/>
              <w:autoSpaceDN/>
              <w:bidi w:val="0"/>
              <w:adjustRightInd/>
              <w:snapToGrid w:val="0"/>
              <w:spacing w:before="0" w:after="0" w:line="360" w:lineRule="auto"/>
              <w:ind w:left="0" w:leftChars="0" w:right="0" w:firstLine="482" w:firstLineChars="200"/>
              <w:textAlignment w:val="auto"/>
              <w:rPr>
                <w:rFonts w:hint="eastAsia" w:ascii="Times New Roman" w:hAnsi="Times New Roman" w:eastAsia="仿宋" w:cs="Times New Roman"/>
                <w:b/>
                <w:bCs/>
                <w:color w:val="auto"/>
                <w:kern w:val="0"/>
                <w:sz w:val="24"/>
                <w:szCs w:val="24"/>
                <w:lang w:val="en-US" w:eastAsia="zh-CN" w:bidi="ar-SA"/>
              </w:rPr>
            </w:pPr>
            <w:r>
              <w:rPr>
                <w:rFonts w:hint="eastAsia" w:ascii="Times New Roman" w:hAnsi="Times New Roman" w:eastAsia="仿宋" w:cs="Times New Roman"/>
                <w:b/>
                <w:bCs/>
                <w:color w:val="auto"/>
                <w:kern w:val="0"/>
                <w:sz w:val="24"/>
                <w:szCs w:val="24"/>
                <w:lang w:val="en-US" w:eastAsia="zh-CN" w:bidi="ar-SA"/>
              </w:rPr>
              <w:t>与《中华人民共和国大气污染防治法》符合性分析</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eastAsia" w:ascii="Times New Roman" w:hAnsi="Times New Roman" w:eastAsia="仿宋" w:cs="Times New Roman"/>
                <w:b w:val="0"/>
                <w:bCs w:val="0"/>
                <w:color w:val="auto"/>
                <w:kern w:val="0"/>
                <w:sz w:val="24"/>
                <w:szCs w:val="24"/>
                <w:lang w:eastAsia="zh-CN"/>
              </w:rPr>
            </w:pPr>
            <w:r>
              <w:rPr>
                <w:rFonts w:hint="eastAsia" w:ascii="Times New Roman" w:hAnsi="Times New Roman" w:eastAsia="仿宋" w:cs="Times New Roman"/>
                <w:b w:val="0"/>
                <w:bCs w:val="0"/>
                <w:color w:val="auto"/>
                <w:kern w:val="0"/>
                <w:sz w:val="24"/>
                <w:szCs w:val="24"/>
                <w:lang w:val="en-US" w:eastAsia="zh-CN"/>
              </w:rPr>
              <w:t>《中华人民共和国大气污染防治法》</w:t>
            </w:r>
            <w:r>
              <w:rPr>
                <w:rFonts w:hint="eastAsia" w:ascii="Times New Roman" w:hAnsi="Times New Roman" w:eastAsia="仿宋" w:cs="Times New Roman"/>
                <w:b w:val="0"/>
                <w:bCs w:val="0"/>
                <w:color w:val="auto"/>
                <w:kern w:val="0"/>
                <w:sz w:val="24"/>
                <w:szCs w:val="24"/>
                <w:lang w:eastAsia="zh-CN"/>
              </w:rPr>
              <w:t>（13届人大第6次会议）</w:t>
            </w:r>
            <w:r>
              <w:rPr>
                <w:rFonts w:hint="eastAsia" w:ascii="Times New Roman" w:hAnsi="Times New Roman" w:eastAsia="仿宋" w:cs="Times New Roman"/>
                <w:b w:val="0"/>
                <w:bCs w:val="0"/>
                <w:color w:val="auto"/>
                <w:kern w:val="0"/>
                <w:sz w:val="24"/>
                <w:szCs w:val="24"/>
                <w:lang w:val="en-US" w:eastAsia="zh-CN"/>
              </w:rPr>
              <w:t>提出</w:t>
            </w:r>
            <w:r>
              <w:rPr>
                <w:rFonts w:hint="eastAsia" w:ascii="Times New Roman" w:hAnsi="Times New Roman" w:eastAsia="仿宋" w:cs="Times New Roman"/>
                <w:b w:val="0"/>
                <w:bCs w:val="0"/>
                <w:color w:val="auto"/>
                <w:kern w:val="0"/>
                <w:sz w:val="24"/>
                <w:szCs w:val="24"/>
                <w:lang w:eastAsia="zh-CN"/>
              </w:rPr>
              <w:t>“</w:t>
            </w:r>
            <w:r>
              <w:rPr>
                <w:rFonts w:hint="default" w:ascii="Times New Roman" w:hAnsi="Times New Roman" w:eastAsia="仿宋" w:cs="Times New Roman"/>
                <w:b w:val="0"/>
                <w:bCs w:val="0"/>
                <w:color w:val="auto"/>
                <w:kern w:val="0"/>
                <w:sz w:val="24"/>
                <w:szCs w:val="24"/>
              </w:rPr>
              <w:t>运输煤炭、垃圾、渣土、砂石、土方、灰浆等散装、流体物料的车辆应当采取密闭或者其他措施防止物料遗撒造成扬尘污染，并按照规定路线行驶</w:t>
            </w:r>
            <w:r>
              <w:rPr>
                <w:rFonts w:hint="eastAsia" w:ascii="Times New Roman" w:hAnsi="Times New Roman" w:eastAsia="仿宋" w:cs="Times New Roman"/>
                <w:b w:val="0"/>
                <w:bCs w:val="0"/>
                <w:color w:val="auto"/>
                <w:kern w:val="0"/>
                <w:sz w:val="24"/>
                <w:szCs w:val="24"/>
                <w:lang w:eastAsia="zh-CN"/>
              </w:rPr>
              <w:t>”、“</w:t>
            </w:r>
            <w:r>
              <w:rPr>
                <w:rFonts w:hint="default" w:ascii="Times New Roman" w:hAnsi="Times New Roman" w:eastAsia="仿宋" w:cs="Times New Roman"/>
                <w:b w:val="0"/>
                <w:bCs w:val="0"/>
                <w:color w:val="auto"/>
                <w:kern w:val="0"/>
                <w:sz w:val="24"/>
                <w:szCs w:val="24"/>
              </w:rPr>
              <w:t>装卸物料应当采取密闭或者喷淋等方式防治扬尘污染</w:t>
            </w:r>
            <w:r>
              <w:rPr>
                <w:rFonts w:hint="eastAsia" w:ascii="Times New Roman" w:hAnsi="Times New Roman" w:eastAsia="仿宋" w:cs="Times New Roman"/>
                <w:b w:val="0"/>
                <w:bCs w:val="0"/>
                <w:color w:val="auto"/>
                <w:kern w:val="0"/>
                <w:sz w:val="24"/>
                <w:szCs w:val="24"/>
                <w:lang w:eastAsia="zh-CN"/>
              </w:rPr>
              <w:t>”、“贮存煤炭、煤矸石、煤渣、煤灰、水泥、石灰、石膏、砂土等易产生扬尘的物料应当密闭；不能密闭的，应当设置不低于堆放物高度的严密围挡，并采取有效覆盖措施防治扬尘污染”、“码头、矿山、填埋场和消纳场应当实施分区作业，并采取有效措施防治扬尘污染</w:t>
            </w:r>
            <w:r>
              <w:rPr>
                <w:rFonts w:hint="eastAsia" w:ascii="Times New Roman" w:hAnsi="Times New Roman" w:eastAsia="仿宋" w:cs="Times New Roman"/>
                <w:b w:val="0"/>
                <w:bCs w:val="0"/>
                <w:color w:val="auto"/>
                <w:kern w:val="0"/>
                <w:sz w:val="24"/>
                <w:szCs w:val="24"/>
                <w:lang w:val="en-US" w:eastAsia="zh-CN"/>
              </w:rPr>
              <w:t>......</w:t>
            </w:r>
            <w:r>
              <w:rPr>
                <w:rFonts w:hint="eastAsia" w:ascii="Times New Roman" w:hAnsi="Times New Roman" w:eastAsia="仿宋" w:cs="Times New Roman"/>
                <w:b w:val="0"/>
                <w:bCs w:val="0"/>
                <w:color w:val="auto"/>
                <w:kern w:val="0"/>
                <w:sz w:val="24"/>
                <w:szCs w:val="24"/>
                <w:lang w:eastAsia="zh-CN"/>
              </w:rPr>
              <w:t>”。</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Style w:val="29"/>
                <w:rFonts w:hint="default" w:eastAsia="仿宋" w:cs="Times New Roman"/>
                <w:color w:val="auto"/>
                <w:lang w:val="en-US" w:eastAsia="zh-CN"/>
              </w:rPr>
            </w:pPr>
            <w:r>
              <w:rPr>
                <w:rFonts w:hint="eastAsia" w:ascii="Times New Roman" w:hAnsi="Times New Roman" w:eastAsia="仿宋" w:cs="Times New Roman"/>
                <w:b w:val="0"/>
                <w:bCs w:val="0"/>
                <w:color w:val="auto"/>
                <w:kern w:val="0"/>
                <w:sz w:val="24"/>
                <w:szCs w:val="24"/>
                <w:lang w:eastAsia="zh-CN"/>
              </w:rPr>
              <w:t>本项目</w:t>
            </w:r>
            <w:r>
              <w:rPr>
                <w:rFonts w:hint="eastAsia" w:ascii="Times New Roman" w:hAnsi="Times New Roman" w:eastAsia="仿宋" w:cs="Times New Roman"/>
                <w:b w:val="0"/>
                <w:bCs w:val="0"/>
                <w:color w:val="auto"/>
                <w:kern w:val="0"/>
                <w:sz w:val="24"/>
                <w:szCs w:val="24"/>
                <w:lang w:val="en-US" w:eastAsia="zh-CN"/>
              </w:rPr>
              <w:t>为建筑砂石开采</w:t>
            </w:r>
            <w:r>
              <w:rPr>
                <w:rFonts w:hint="eastAsia" w:ascii="Times New Roman" w:hAnsi="Times New Roman" w:eastAsia="仿宋" w:cs="Times New Roman"/>
                <w:b w:val="0"/>
                <w:bCs w:val="0"/>
                <w:color w:val="auto"/>
                <w:kern w:val="0"/>
                <w:sz w:val="24"/>
                <w:szCs w:val="24"/>
                <w:lang w:eastAsia="zh-CN"/>
              </w:rPr>
              <w:t>，</w:t>
            </w:r>
            <w:r>
              <w:rPr>
                <w:rFonts w:hint="eastAsia" w:ascii="Times New Roman" w:hAnsi="Times New Roman" w:eastAsia="仿宋" w:cs="Times New Roman"/>
                <w:b w:val="0"/>
                <w:bCs w:val="0"/>
                <w:color w:val="auto"/>
                <w:kern w:val="0"/>
                <w:sz w:val="24"/>
                <w:szCs w:val="24"/>
                <w:lang w:val="en-US" w:eastAsia="zh-CN"/>
              </w:rPr>
              <w:t>环评提出开采及装卸过程拟采取洒水降尘；运输道路洒水降尘，运输车辆篷布遮盖，限速等措施降低扬尘污染，采取上述措施后，本项目符合《中华人民共和国大气污染防治法》。</w:t>
            </w:r>
          </w:p>
          <w:p>
            <w:pPr>
              <w:ind w:firstLine="722" w:firstLineChars="0"/>
              <w:rPr>
                <w:rFonts w:hint="default" w:ascii="Times New Roman" w:hAnsi="Times New Roman" w:eastAsia="仿宋" w:cs="Times New Roman"/>
                <w:b/>
                <w:bCs/>
                <w:color w:val="auto"/>
                <w:kern w:val="0"/>
                <w:sz w:val="24"/>
                <w:szCs w:val="24"/>
                <w:lang w:val="en-US" w:eastAsia="zh-CN" w:bidi="ar-SA"/>
              </w:rPr>
            </w:pPr>
            <w:r>
              <w:rPr>
                <w:rFonts w:hint="eastAsia" w:ascii="Times New Roman" w:hAnsi="Times New Roman" w:eastAsia="仿宋" w:cs="Times New Roman"/>
                <w:b/>
                <w:bCs/>
                <w:color w:val="auto"/>
                <w:kern w:val="0"/>
                <w:sz w:val="24"/>
                <w:szCs w:val="24"/>
                <w:lang w:val="en-US" w:eastAsia="zh-CN" w:bidi="ar-SA"/>
              </w:rPr>
              <w:t>13、与《环境空气细颗粒物污染综合防治技术政策》符合性</w:t>
            </w:r>
          </w:p>
          <w:p>
            <w:pPr>
              <w:rPr>
                <w:rFonts w:hint="default" w:ascii="Times New Roman" w:hAnsi="Times New Roman" w:eastAsia="仿宋" w:cs="Times New Roman"/>
                <w:b w:val="0"/>
                <w:bCs w:val="0"/>
                <w:color w:val="auto"/>
                <w:kern w:val="0"/>
                <w:sz w:val="24"/>
                <w:szCs w:val="24"/>
                <w:lang w:val="en-US" w:eastAsia="zh-CN" w:bidi="ar-SA"/>
              </w:rPr>
            </w:pPr>
            <w:r>
              <w:rPr>
                <w:rFonts w:hint="eastAsia" w:ascii="Times New Roman" w:hAnsi="Times New Roman" w:eastAsia="仿宋" w:cs="Times New Roman"/>
                <w:b w:val="0"/>
                <w:bCs w:val="0"/>
                <w:color w:val="auto"/>
                <w:kern w:val="0"/>
                <w:sz w:val="24"/>
                <w:szCs w:val="24"/>
                <w:lang w:val="en-US" w:eastAsia="zh-CN" w:bidi="ar-SA"/>
              </w:rPr>
              <w:t>《环境空气细颗粒物污染综合防治技术政策》》</w:t>
            </w:r>
            <w:r>
              <w:rPr>
                <w:rFonts w:hint="default" w:ascii="Times New Roman" w:hAnsi="Times New Roman" w:eastAsia="仿宋" w:cs="Times New Roman"/>
                <w:b w:val="0"/>
                <w:bCs w:val="0"/>
                <w:color w:val="auto"/>
                <w:kern w:val="0"/>
                <w:sz w:val="24"/>
                <w:szCs w:val="24"/>
                <w:lang w:val="en-US" w:eastAsia="zh-CN" w:bidi="ar-SA"/>
              </w:rPr>
              <w:t>公告2013年第59号</w:t>
            </w:r>
            <w:r>
              <w:rPr>
                <w:rFonts w:hint="eastAsia" w:ascii="Times New Roman" w:hAnsi="Times New Roman" w:eastAsia="仿宋" w:cs="Times New Roman"/>
                <w:b w:val="0"/>
                <w:bCs w:val="0"/>
                <w:color w:val="auto"/>
                <w:kern w:val="0"/>
                <w:sz w:val="24"/>
                <w:szCs w:val="24"/>
                <w:lang w:val="en-US" w:eastAsia="zh-CN" w:bidi="ar-SA"/>
              </w:rPr>
              <w:t xml:space="preserve">提出“产生大气颗粒物及其前体物污染物的生产活动应尽量 采用密闭装置，避免无组织排放；无法完全密闭的，应安装集气装 置收集逸散的污染物，经净化后排放”、“对各种施工工地、各种粉状物料贮存场、各种港口 装卸码头等，应采取设置围挡墙、防尘网和喷洒抑尘剂等有效的防 尘、抑尘措施，防止颗粒物逸散；设置车辆清洗装置，保持上路行 驶车辆的清洁；鼓励各类土建工程使用预搅拌的商品混凝土”、“实行粉状物料及渣土车辆密闭运输，加强监管，防 止遗撒。及时进行道路清扫、冲洗、洒水作业，减少道路扬尘。规 范园林绿化设计和施工管理，防止园林绿地土壤向道路流失.....”。 </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Style w:val="29"/>
                <w:rFonts w:hint="default" w:eastAsia="仿宋" w:cs="Times New Roman"/>
                <w:color w:val="auto"/>
                <w:lang w:val="en-US" w:eastAsia="zh-CN"/>
              </w:rPr>
            </w:pPr>
            <w:r>
              <w:rPr>
                <w:rFonts w:hint="eastAsia" w:ascii="Times New Roman" w:hAnsi="Times New Roman" w:eastAsia="仿宋" w:cs="Times New Roman"/>
                <w:b w:val="0"/>
                <w:bCs w:val="0"/>
                <w:color w:val="auto"/>
                <w:kern w:val="0"/>
                <w:sz w:val="24"/>
                <w:szCs w:val="24"/>
                <w:lang w:eastAsia="zh-CN"/>
              </w:rPr>
              <w:t>本项目</w:t>
            </w:r>
            <w:r>
              <w:rPr>
                <w:rFonts w:hint="eastAsia" w:ascii="Times New Roman" w:hAnsi="Times New Roman" w:eastAsia="仿宋" w:cs="Times New Roman"/>
                <w:b w:val="0"/>
                <w:bCs w:val="0"/>
                <w:color w:val="auto"/>
                <w:kern w:val="0"/>
                <w:sz w:val="24"/>
                <w:szCs w:val="24"/>
                <w:lang w:val="en-US" w:eastAsia="zh-CN"/>
              </w:rPr>
              <w:t>为建筑砂石开采</w:t>
            </w:r>
            <w:r>
              <w:rPr>
                <w:rFonts w:hint="eastAsia" w:ascii="Times New Roman" w:hAnsi="Times New Roman" w:eastAsia="仿宋" w:cs="Times New Roman"/>
                <w:b w:val="0"/>
                <w:bCs w:val="0"/>
                <w:color w:val="auto"/>
                <w:kern w:val="0"/>
                <w:sz w:val="24"/>
                <w:szCs w:val="24"/>
                <w:lang w:eastAsia="zh-CN"/>
              </w:rPr>
              <w:t>，</w:t>
            </w:r>
            <w:r>
              <w:rPr>
                <w:rFonts w:hint="eastAsia" w:ascii="Times New Roman" w:hAnsi="Times New Roman" w:eastAsia="仿宋" w:cs="Times New Roman"/>
                <w:b w:val="0"/>
                <w:bCs w:val="0"/>
                <w:color w:val="auto"/>
                <w:kern w:val="0"/>
                <w:sz w:val="24"/>
                <w:szCs w:val="24"/>
                <w:lang w:val="en-US" w:eastAsia="zh-CN"/>
              </w:rPr>
              <w:t>环评提出开采及装卸过程拟采取洒水降尘；运输道路洒水降尘，运输车辆篷布遮盖，限速等措施降低扬尘污染，采取上述措施后，本项目符合《环境空气细颗粒物污染综合防治技术政策》。</w:t>
            </w:r>
          </w:p>
          <w:p>
            <w:pPr>
              <w:ind w:firstLine="722" w:firstLineChars="0"/>
              <w:rPr>
                <w:rFonts w:hint="default" w:ascii="Times New Roman" w:hAnsi="Times New Roman" w:eastAsia="仿宋" w:cs="Times New Roman"/>
                <w:b/>
                <w:bCs/>
                <w:color w:val="auto"/>
                <w:kern w:val="0"/>
                <w:sz w:val="24"/>
                <w:szCs w:val="24"/>
                <w:lang w:val="en-US" w:eastAsia="zh-CN" w:bidi="ar-SA"/>
              </w:rPr>
            </w:pPr>
            <w:r>
              <w:rPr>
                <w:rFonts w:hint="eastAsia" w:ascii="Times New Roman" w:hAnsi="Times New Roman" w:eastAsia="仿宋" w:cs="Times New Roman"/>
                <w:b/>
                <w:bCs/>
                <w:color w:val="auto"/>
                <w:kern w:val="0"/>
                <w:sz w:val="24"/>
                <w:szCs w:val="24"/>
                <w:lang w:val="en-US" w:eastAsia="zh-CN" w:bidi="ar-SA"/>
              </w:rPr>
              <w:t>14、与《吐鲁番地区国土空间总体规划（2021—2035年）》符合性</w:t>
            </w:r>
          </w:p>
          <w:p>
            <w:pPr>
              <w:rPr>
                <w:rFonts w:hint="eastAsia" w:ascii="Times New Roman" w:hAnsi="Times New Roman" w:eastAsia="仿宋" w:cs="Times New Roman"/>
                <w:b w:val="0"/>
                <w:bCs w:val="0"/>
                <w:color w:val="auto"/>
                <w:kern w:val="0"/>
                <w:sz w:val="24"/>
                <w:szCs w:val="24"/>
                <w:lang w:val="en-US" w:eastAsia="zh-CN" w:bidi="ar-SA"/>
              </w:rPr>
            </w:pPr>
            <w:r>
              <w:rPr>
                <w:rFonts w:hint="eastAsia" w:ascii="Times New Roman" w:hAnsi="Times New Roman" w:eastAsia="仿宋" w:cs="Times New Roman"/>
                <w:b w:val="0"/>
                <w:bCs w:val="0"/>
                <w:color w:val="auto"/>
                <w:kern w:val="0"/>
                <w:sz w:val="24"/>
                <w:szCs w:val="24"/>
                <w:lang w:val="en-US" w:eastAsia="zh-CN" w:bidi="ar-SA"/>
              </w:rPr>
              <w:t>《吐鲁番地区国土空间总体规划（2021—2035年）》提出“加强重点矿产资源勘探、保障重要矿产资源安全、强化矿产勘查开发开采的种类及空间管控，规划布局8大国家规划矿区、打造13个矿业经济区重点保障全市重点矿区内的矿产开采、开发用地需求，将其全部纳入矿产能源发展区进行管控”、“推进绿色矿山建设及矿山生态修复。将绿色发展理念贯穿于矿产资源规划、勘查、开发利用与保护全过程，引领和带动传统矿业转型升级，提升矿业发展质量和效益”。</w:t>
            </w:r>
          </w:p>
          <w:p>
            <w:pPr>
              <w:rPr>
                <w:rStyle w:val="29"/>
                <w:rFonts w:hint="eastAsia" w:eastAsia="仿宋" w:cs="Times New Roman"/>
                <w:b/>
                <w:bCs/>
                <w:color w:val="auto"/>
                <w:sz w:val="24"/>
                <w:szCs w:val="21"/>
                <w:lang w:val="en-US" w:eastAsia="zh-CN"/>
              </w:rPr>
            </w:pPr>
            <w:r>
              <w:rPr>
                <w:rFonts w:hint="eastAsia" w:ascii="Times New Roman" w:hAnsi="Times New Roman" w:eastAsia="仿宋" w:cs="Times New Roman"/>
                <w:b w:val="0"/>
                <w:bCs w:val="0"/>
                <w:color w:val="auto"/>
                <w:kern w:val="0"/>
                <w:sz w:val="24"/>
                <w:szCs w:val="24"/>
                <w:lang w:val="en-US" w:eastAsia="zh-CN" w:bidi="ar-SA"/>
              </w:rPr>
              <w:t>本项目为建筑砂石开采项目，</w:t>
            </w:r>
            <w:r>
              <w:rPr>
                <w:rFonts w:hint="default" w:ascii="Times New Roman" w:hAnsi="Times New Roman" w:eastAsia="仿宋" w:cs="Times New Roman"/>
                <w:b w:val="0"/>
                <w:bCs w:val="0"/>
                <w:color w:val="auto"/>
                <w:kern w:val="0"/>
                <w:sz w:val="24"/>
                <w:szCs w:val="24"/>
                <w:lang w:val="en-US" w:eastAsia="zh-CN" w:bidi="ar-SA"/>
              </w:rPr>
              <w:t>矿区位于鄯善县北西280°方位，直线距离约30千米</w:t>
            </w:r>
            <w:r>
              <w:rPr>
                <w:rFonts w:hint="eastAsia" w:ascii="Times New Roman" w:hAnsi="Times New Roman" w:eastAsia="仿宋" w:cs="Times New Roman"/>
                <w:b w:val="0"/>
                <w:bCs w:val="0"/>
                <w:color w:val="auto"/>
                <w:kern w:val="0"/>
                <w:sz w:val="24"/>
                <w:szCs w:val="24"/>
                <w:lang w:val="en-US" w:eastAsia="zh-CN" w:bidi="ar-SA"/>
              </w:rPr>
              <w:t>，</w:t>
            </w:r>
            <w:r>
              <w:rPr>
                <w:rFonts w:hint="default" w:ascii="Times New Roman" w:hAnsi="Times New Roman" w:eastAsia="仿宋" w:cs="Times New Roman"/>
                <w:b w:val="0"/>
                <w:bCs w:val="0"/>
                <w:color w:val="auto"/>
                <w:kern w:val="0"/>
                <w:sz w:val="24"/>
                <w:szCs w:val="24"/>
                <w:lang w:val="en-US" w:eastAsia="zh-CN" w:bidi="ar-SA"/>
              </w:rPr>
              <w:t>本项目建设符合《吐鲁番地区国土空间总体规划（2021—2035年）》</w:t>
            </w:r>
            <w:r>
              <w:rPr>
                <w:rFonts w:hint="eastAsia" w:ascii="Times New Roman" w:hAnsi="Times New Roman" w:eastAsia="仿宋" w:cs="Times New Roman"/>
                <w:b w:val="0"/>
                <w:bCs w:val="0"/>
                <w:color w:val="auto"/>
                <w:kern w:val="0"/>
                <w:sz w:val="24"/>
                <w:szCs w:val="24"/>
                <w:lang w:val="en-US" w:eastAsia="zh-CN" w:bidi="ar-SA"/>
              </w:rPr>
              <w:t>。</w:t>
            </w:r>
          </w:p>
          <w:p>
            <w:pPr>
              <w:pStyle w:val="9"/>
              <w:ind w:left="0" w:leftChars="0" w:firstLine="482" w:firstLineChars="200"/>
              <w:rPr>
                <w:rStyle w:val="29"/>
                <w:rFonts w:hint="default" w:eastAsia="仿宋" w:cs="Times New Roman"/>
                <w:b/>
                <w:bCs/>
                <w:color w:val="auto"/>
                <w:sz w:val="24"/>
                <w:szCs w:val="21"/>
                <w:lang w:val="en-US" w:eastAsia="zh-CN"/>
              </w:rPr>
            </w:pPr>
            <w:r>
              <w:rPr>
                <w:rStyle w:val="29"/>
                <w:rFonts w:hint="eastAsia" w:eastAsia="仿宋" w:cs="Times New Roman"/>
                <w:b/>
                <w:bCs/>
                <w:color w:val="auto"/>
                <w:sz w:val="24"/>
                <w:szCs w:val="21"/>
                <w:lang w:val="en-US" w:eastAsia="zh-CN"/>
              </w:rPr>
              <w:t>15、与《自然资源部关于规范和完善砂石开采管理的通知》符合性分析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参照自然资源部2023年4月10日发布的《自然资源部关于规范和完善砂石开采管理的通知》提出“非砂石类生产矿山在其矿区范围内按照矿山设计或开发利用方案，矿山剥离、井巷开拓、选矿产生的砂石料，应优先供该矿山井巷填充、修复治理及工程建设等综合利用，利用后仍有剩余的，由所在地的自然资源主管部门报县级以上地方人民政府组织纳入公共资源交易平台处置”、“绿色矿山建设要求应纳入采矿权出让公告，并在采矿权出让合同中明确绿色矿山创建要求和违约责任。新建砂石矿山应按绿色矿山标准要求建设，正在生产的矿山应积极推进绿色矿山建设，明确改进期限，逐步达到绿色矿山要求。矿山企业应当认真履行矿山生态保护修复义务，将生态保护修复贯穿采矿活动全过程”。</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本项目为建筑砂石开采，已按绿色矿山标准要求建设，矿山企业已认真履行矿山生态保护修复义务，将生态保护修复贯穿采矿活动全过程，因此，本项目符合《自然资源部关于规范和完善砂石开采管理的通知》。</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Times New Roman" w:hAnsi="Times New Roman" w:eastAsia="仿宋" w:cs="Times New Roman"/>
                <w:b/>
                <w:bCs/>
                <w:color w:val="auto"/>
                <w:kern w:val="0"/>
                <w:sz w:val="24"/>
                <w:szCs w:val="24"/>
                <w:highlight w:val="none"/>
                <w:lang w:val="en-US" w:eastAsia="zh-CN" w:bidi="ar"/>
              </w:rPr>
            </w:pPr>
            <w:r>
              <w:rPr>
                <w:rFonts w:hint="eastAsia" w:eastAsia="仿宋" w:cs="Times New Roman"/>
                <w:b/>
                <w:bCs/>
                <w:color w:val="auto"/>
                <w:kern w:val="0"/>
                <w:sz w:val="24"/>
                <w:szCs w:val="24"/>
                <w:lang w:val="en-US" w:eastAsia="zh-CN"/>
              </w:rPr>
              <w:t>16、</w:t>
            </w:r>
            <w:r>
              <w:rPr>
                <w:rFonts w:hint="eastAsia" w:ascii="Times New Roman" w:hAnsi="Times New Roman" w:eastAsia="仿宋" w:cs="Times New Roman"/>
                <w:b/>
                <w:bCs/>
                <w:color w:val="auto"/>
                <w:kern w:val="0"/>
                <w:sz w:val="24"/>
                <w:szCs w:val="24"/>
                <w:lang w:val="en-US" w:eastAsia="zh-CN"/>
              </w:rPr>
              <w:t>与</w:t>
            </w:r>
            <w:r>
              <w:rPr>
                <w:rFonts w:hint="default" w:ascii="Times New Roman" w:hAnsi="Times New Roman" w:eastAsia="仿宋" w:cs="Times New Roman"/>
                <w:b/>
                <w:bCs/>
                <w:color w:val="auto"/>
                <w:kern w:val="0"/>
                <w:sz w:val="24"/>
                <w:szCs w:val="24"/>
                <w:highlight w:val="none"/>
                <w:lang w:val="en-US" w:eastAsia="zh-CN" w:bidi="ar"/>
              </w:rPr>
              <w:t>《吐鲁番地区国土空间总体规划（2021—2035年）》符合性分析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ascii="Times New Roman" w:hAnsi="Times New Roman" w:eastAsia="仿宋" w:cs="Times New Roman"/>
                <w:b w:val="0"/>
                <w:bCs w:val="0"/>
                <w:color w:val="auto"/>
                <w:kern w:val="0"/>
                <w:sz w:val="24"/>
                <w:szCs w:val="24"/>
                <w:highlight w:val="none"/>
                <w:lang w:val="en-US" w:eastAsia="zh-CN" w:bidi="ar"/>
              </w:rPr>
            </w:pPr>
            <w:r>
              <w:rPr>
                <w:rFonts w:hint="default" w:ascii="Times New Roman" w:hAnsi="Times New Roman" w:eastAsia="仿宋" w:cs="Times New Roman"/>
                <w:b w:val="0"/>
                <w:bCs w:val="0"/>
                <w:color w:val="auto"/>
                <w:kern w:val="0"/>
                <w:sz w:val="24"/>
                <w:szCs w:val="24"/>
                <w:highlight w:val="none"/>
                <w:lang w:val="en-US" w:eastAsia="zh-CN" w:bidi="ar"/>
              </w:rPr>
              <w:t>《吐鲁番地区国土空间总体规划（2021—2035年）》</w:t>
            </w:r>
            <w:r>
              <w:rPr>
                <w:rFonts w:hint="eastAsia" w:ascii="Times New Roman" w:hAnsi="Times New Roman" w:eastAsia="仿宋" w:cs="Times New Roman"/>
                <w:b w:val="0"/>
                <w:bCs w:val="0"/>
                <w:color w:val="auto"/>
                <w:kern w:val="0"/>
                <w:sz w:val="24"/>
                <w:szCs w:val="24"/>
                <w:highlight w:val="none"/>
                <w:lang w:val="en-US" w:eastAsia="zh-CN" w:bidi="ar"/>
              </w:rPr>
              <w:t>提出“加强重点矿产资源勘探、保障重要矿产资源安全、强化矿产勘查开发开采的种类及空间管控，规划布局8大国家规划矿区、打造13个矿业经济区重点保障全市重点矿区内的矿产开采、开发用地需求，将其全部纳入矿产能源发展区进行管控”、“推进绿色矿山建设及矿山生态修复。将绿色发展理念贯穿于矿产资源规划、勘查、开发利用与保护全过程，引领和带动传统矿业转型升级，提升矿业发展质量和效益”。</w:t>
            </w:r>
          </w:p>
          <w:p>
            <w:pPr>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本项目为建筑砂石开采，已按绿色矿山标准要求建设，因此，本项目符合《吐鲁番地区国土空间总体规划（2021—2035年）》。</w:t>
            </w:r>
          </w:p>
          <w:p>
            <w:pPr>
              <w:keepNext w:val="0"/>
              <w:keepLines w:val="0"/>
              <w:pageBreakBefore w:val="0"/>
              <w:widowControl w:val="0"/>
              <w:numPr>
                <w:ilvl w:val="0"/>
                <w:numId w:val="4"/>
              </w:numPr>
              <w:kinsoku/>
              <w:wordWrap/>
              <w:overflowPunct/>
              <w:topLinePunct w:val="0"/>
              <w:autoSpaceDE w:val="0"/>
              <w:autoSpaceDN w:val="0"/>
              <w:bidi w:val="0"/>
              <w:adjustRightInd/>
              <w:snapToGrid/>
              <w:textAlignment w:val="auto"/>
              <w:rPr>
                <w:rFonts w:hint="eastAsia" w:eastAsia="仿宋" w:cs="Times New Roman"/>
                <w:b/>
                <w:bCs/>
                <w:color w:val="auto"/>
                <w:kern w:val="0"/>
                <w:sz w:val="24"/>
                <w:szCs w:val="24"/>
                <w:lang w:val="en-US" w:eastAsia="zh-CN"/>
              </w:rPr>
            </w:pPr>
            <w:r>
              <w:rPr>
                <w:rFonts w:hint="eastAsia" w:eastAsia="仿宋" w:cs="Times New Roman"/>
                <w:b/>
                <w:bCs/>
                <w:color w:val="auto"/>
                <w:kern w:val="0"/>
                <w:sz w:val="24"/>
                <w:szCs w:val="24"/>
                <w:lang w:val="en-US" w:eastAsia="zh-CN"/>
              </w:rPr>
              <w:t>项目与《新疆维吾尔自治区矿产资源总体规划（2021-2025年）》中的最低开采规模设计标准的符合性分析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default" w:eastAsia="仿宋" w:cs="Times New Roman"/>
                <w:b w:val="0"/>
                <w:bCs w:val="0"/>
                <w:color w:val="auto"/>
                <w:kern w:val="0"/>
                <w:sz w:val="24"/>
                <w:szCs w:val="24"/>
                <w:lang w:val="en-US" w:eastAsia="zh-CN"/>
              </w:rPr>
            </w:pPr>
            <w:r>
              <w:rPr>
                <w:rFonts w:hint="eastAsia" w:eastAsia="仿宋" w:cs="Times New Roman"/>
                <w:b w:val="0"/>
                <w:bCs w:val="0"/>
                <w:color w:val="auto"/>
                <w:kern w:val="0"/>
                <w:sz w:val="24"/>
                <w:szCs w:val="24"/>
                <w:lang w:val="en-US" w:eastAsia="zh-CN"/>
              </w:rPr>
              <w:t>《新疆维吾尔自治区矿产资源总体规划（2021-2025年）》提出“严格新建矿山最低开采规模准入标准，引导矿山企业规模开采，严格矿山建设标准、环境准入标准和安全标准，鼓励相邻矿山通过整合、提升规模达到相应最低开采规模要求”、“控制改扩建及新建矿山最低开采规模。规划期内禁止建设90万吨/年以下产能的煤与瓦斯突出煤矿改扩建井、45万吨/年以下产能的其它煤矿改扩建井。不再新建日处理岩金矿石100/300吨以下的地下／露天采选项目”，“专栏15部分矿种最低开采规模设计标准提出建筑用砂大型30万</w:t>
            </w:r>
            <w:r>
              <w:rPr>
                <w:rFonts w:hint="default" w:ascii="Times New Roman" w:hAnsi="Times New Roman" w:eastAsia="仿宋" w:cs="Times New Roman"/>
                <w:color w:val="auto"/>
                <w:sz w:val="24"/>
                <w:szCs w:val="24"/>
                <w:highlight w:val="none"/>
              </w:rPr>
              <w:t>m</w:t>
            </w:r>
            <w:r>
              <w:rPr>
                <w:rFonts w:hint="default" w:ascii="Times New Roman" w:hAnsi="Times New Roman" w:eastAsia="仿宋" w:cs="Times New Roman"/>
                <w:color w:val="auto"/>
                <w:sz w:val="24"/>
                <w:szCs w:val="24"/>
                <w:highlight w:val="none"/>
                <w:vertAlign w:val="superscript"/>
              </w:rPr>
              <w:t>3</w:t>
            </w:r>
            <w:r>
              <w:rPr>
                <w:rFonts w:hint="eastAsia" w:eastAsia="仿宋" w:cs="Times New Roman"/>
                <w:b w:val="0"/>
                <w:bCs w:val="0"/>
                <w:color w:val="auto"/>
                <w:kern w:val="0"/>
                <w:sz w:val="24"/>
                <w:szCs w:val="24"/>
                <w:lang w:val="en-US" w:eastAsia="zh-CN"/>
              </w:rPr>
              <w:t>，中型13万</w:t>
            </w:r>
            <w:r>
              <w:rPr>
                <w:rFonts w:hint="default" w:ascii="Times New Roman" w:hAnsi="Times New Roman" w:eastAsia="仿宋" w:cs="Times New Roman"/>
                <w:color w:val="auto"/>
                <w:sz w:val="24"/>
                <w:szCs w:val="24"/>
                <w:highlight w:val="none"/>
              </w:rPr>
              <w:t>m</w:t>
            </w:r>
            <w:r>
              <w:rPr>
                <w:rFonts w:hint="default" w:ascii="Times New Roman" w:hAnsi="Times New Roman" w:eastAsia="仿宋" w:cs="Times New Roman"/>
                <w:color w:val="auto"/>
                <w:sz w:val="24"/>
                <w:szCs w:val="24"/>
                <w:highlight w:val="none"/>
                <w:vertAlign w:val="superscript"/>
              </w:rPr>
              <w:t>3</w:t>
            </w:r>
            <w:r>
              <w:rPr>
                <w:rFonts w:hint="eastAsia" w:eastAsia="仿宋" w:cs="Times New Roman"/>
                <w:b w:val="0"/>
                <w:bCs w:val="0"/>
                <w:color w:val="auto"/>
                <w:kern w:val="0"/>
                <w:sz w:val="24"/>
                <w:szCs w:val="24"/>
                <w:lang w:val="en-US" w:eastAsia="zh-CN"/>
              </w:rPr>
              <w:t>，小型6万</w:t>
            </w:r>
            <w:r>
              <w:rPr>
                <w:rFonts w:hint="default" w:ascii="Times New Roman" w:hAnsi="Times New Roman" w:eastAsia="仿宋" w:cs="Times New Roman"/>
                <w:color w:val="auto"/>
                <w:sz w:val="24"/>
                <w:szCs w:val="24"/>
                <w:highlight w:val="none"/>
              </w:rPr>
              <w:t>m</w:t>
            </w:r>
            <w:r>
              <w:rPr>
                <w:rFonts w:hint="default" w:ascii="Times New Roman" w:hAnsi="Times New Roman" w:eastAsia="仿宋" w:cs="Times New Roman"/>
                <w:color w:val="auto"/>
                <w:sz w:val="24"/>
                <w:szCs w:val="24"/>
                <w:highlight w:val="none"/>
                <w:vertAlign w:val="superscript"/>
              </w:rPr>
              <w:t>3</w:t>
            </w:r>
            <w:r>
              <w:rPr>
                <w:rFonts w:hint="eastAsia" w:eastAsia="仿宋" w:cs="Times New Roman"/>
                <w:b w:val="0"/>
                <w:bCs w:val="0"/>
                <w:color w:val="auto"/>
                <w:kern w:val="0"/>
                <w:sz w:val="24"/>
                <w:szCs w:val="24"/>
                <w:lang w:val="en-US" w:eastAsia="zh-CN"/>
              </w:rPr>
              <w:t>”，本项目年开采建筑用砂</w:t>
            </w:r>
            <w:r>
              <w:rPr>
                <w:rFonts w:hint="eastAsia" w:ascii="Times New Roman" w:hAnsi="Times New Roman" w:eastAsia="仿宋" w:cs="Times New Roman"/>
                <w:color w:val="auto"/>
                <w:sz w:val="24"/>
                <w:szCs w:val="24"/>
                <w:highlight w:val="none"/>
                <w:lang w:val="en-US" w:eastAsia="zh-CN"/>
              </w:rPr>
              <w:t>15</w:t>
            </w:r>
            <w:r>
              <w:rPr>
                <w:rFonts w:hint="default" w:ascii="Times New Roman" w:hAnsi="Times New Roman" w:eastAsia="仿宋" w:cs="Times New Roman"/>
                <w:color w:val="auto"/>
                <w:sz w:val="24"/>
                <w:szCs w:val="24"/>
                <w:highlight w:val="none"/>
                <w:lang w:val="en-US" w:eastAsia="zh-CN"/>
              </w:rPr>
              <w:t>万</w:t>
            </w:r>
            <w:r>
              <w:rPr>
                <w:rFonts w:hint="default" w:ascii="Times New Roman" w:hAnsi="Times New Roman" w:eastAsia="仿宋" w:cs="Times New Roman"/>
                <w:color w:val="auto"/>
                <w:sz w:val="24"/>
                <w:szCs w:val="24"/>
                <w:highlight w:val="none"/>
              </w:rPr>
              <w:t>m</w:t>
            </w:r>
            <w:r>
              <w:rPr>
                <w:rFonts w:hint="default" w:ascii="Times New Roman" w:hAnsi="Times New Roman" w:eastAsia="仿宋" w:cs="Times New Roman"/>
                <w:color w:val="auto"/>
                <w:sz w:val="24"/>
                <w:szCs w:val="24"/>
                <w:highlight w:val="none"/>
                <w:vertAlign w:val="superscript"/>
              </w:rPr>
              <w:t>3</w:t>
            </w:r>
            <w:r>
              <w:rPr>
                <w:rFonts w:hint="eastAsia" w:eastAsia="仿宋" w:cs="Times New Roman"/>
                <w:b w:val="0"/>
                <w:bCs w:val="0"/>
                <w:color w:val="auto"/>
                <w:kern w:val="0"/>
                <w:sz w:val="24"/>
                <w:szCs w:val="24"/>
                <w:lang w:val="en-US" w:eastAsia="zh-CN"/>
              </w:rPr>
              <w:t>，符合《新疆维吾尔自治区矿产资源总体规划（2021-2025年）》中的最低开采规模设计标准。</w:t>
            </w:r>
          </w:p>
          <w:p>
            <w:pPr>
              <w:pStyle w:val="9"/>
              <w:ind w:left="0" w:leftChars="0" w:firstLine="0" w:firstLineChars="0"/>
              <w:rPr>
                <w:rStyle w:val="29"/>
                <w:rFonts w:hint="default" w:ascii="Times New Roman" w:hAnsi="Times New Roman" w:eastAsia="仿宋" w:cs="Times New Roman"/>
                <w:color w:val="auto"/>
              </w:rPr>
            </w:pPr>
          </w:p>
          <w:p>
            <w:pPr>
              <w:pStyle w:val="9"/>
              <w:ind w:left="0" w:leftChars="0" w:firstLine="0" w:firstLineChars="0"/>
              <w:rPr>
                <w:rStyle w:val="29"/>
                <w:rFonts w:hint="default" w:ascii="Times New Roman" w:hAnsi="Times New Roman" w:eastAsia="仿宋" w:cs="Times New Roman"/>
                <w:color w:val="auto"/>
              </w:rPr>
            </w:pPr>
          </w:p>
          <w:p>
            <w:pPr>
              <w:pStyle w:val="10"/>
              <w:rPr>
                <w:rStyle w:val="29"/>
                <w:rFonts w:hint="default" w:ascii="Times New Roman" w:hAnsi="Times New Roman" w:eastAsia="仿宋" w:cs="Times New Roman"/>
                <w:color w:val="auto"/>
              </w:rPr>
            </w:pPr>
          </w:p>
          <w:p>
            <w:pPr>
              <w:pStyle w:val="10"/>
              <w:rPr>
                <w:rStyle w:val="29"/>
                <w:rFonts w:hint="default" w:ascii="Times New Roman" w:hAnsi="Times New Roman" w:eastAsia="仿宋" w:cs="Times New Roman"/>
                <w:color w:val="auto"/>
              </w:rPr>
            </w:pPr>
          </w:p>
          <w:p>
            <w:pPr>
              <w:pStyle w:val="10"/>
              <w:rPr>
                <w:rStyle w:val="29"/>
                <w:rFonts w:hint="default" w:ascii="Times New Roman" w:hAnsi="Times New Roman" w:eastAsia="仿宋" w:cs="Times New Roman"/>
                <w:color w:val="auto"/>
              </w:rPr>
            </w:pPr>
          </w:p>
          <w:p>
            <w:pPr>
              <w:pStyle w:val="10"/>
              <w:rPr>
                <w:rStyle w:val="29"/>
                <w:rFonts w:hint="default" w:ascii="Times New Roman" w:hAnsi="Times New Roman" w:eastAsia="仿宋" w:cs="Times New Roman"/>
                <w:color w:val="auto"/>
              </w:rPr>
            </w:pPr>
          </w:p>
          <w:p>
            <w:pPr>
              <w:pStyle w:val="10"/>
              <w:rPr>
                <w:rStyle w:val="29"/>
                <w:rFonts w:hint="default" w:ascii="Times New Roman" w:hAnsi="Times New Roman" w:eastAsia="仿宋" w:cs="Times New Roman"/>
                <w:color w:val="auto"/>
              </w:rPr>
            </w:pPr>
          </w:p>
          <w:p>
            <w:pPr>
              <w:pStyle w:val="10"/>
              <w:rPr>
                <w:rStyle w:val="29"/>
                <w:rFonts w:hint="default" w:ascii="Times New Roman" w:hAnsi="Times New Roman" w:eastAsia="仿宋" w:cs="Times New Roman"/>
                <w:color w:val="auto"/>
              </w:rPr>
            </w:pPr>
          </w:p>
          <w:p>
            <w:pPr>
              <w:pStyle w:val="10"/>
              <w:rPr>
                <w:rStyle w:val="29"/>
                <w:rFonts w:hint="default" w:ascii="Times New Roman" w:hAnsi="Times New Roman" w:eastAsia="仿宋" w:cs="Times New Roman"/>
                <w:color w:val="auto"/>
              </w:rPr>
            </w:pPr>
          </w:p>
          <w:p>
            <w:pPr>
              <w:pStyle w:val="10"/>
              <w:rPr>
                <w:rStyle w:val="29"/>
                <w:rFonts w:hint="default" w:ascii="Times New Roman" w:hAnsi="Times New Roman" w:eastAsia="仿宋" w:cs="Times New Roman"/>
                <w:color w:val="auto"/>
              </w:rPr>
            </w:pPr>
          </w:p>
          <w:p>
            <w:pPr>
              <w:pStyle w:val="10"/>
              <w:rPr>
                <w:rStyle w:val="29"/>
                <w:rFonts w:hint="default" w:ascii="Times New Roman" w:hAnsi="Times New Roman" w:eastAsia="仿宋" w:cs="Times New Roman"/>
                <w:color w:val="auto"/>
              </w:rPr>
            </w:pPr>
          </w:p>
          <w:p>
            <w:pPr>
              <w:pStyle w:val="10"/>
              <w:ind w:left="0" w:leftChars="0" w:firstLine="0" w:firstLineChars="0"/>
              <w:rPr>
                <w:rStyle w:val="29"/>
                <w:rFonts w:hint="default" w:ascii="Times New Roman" w:hAnsi="Times New Roman" w:eastAsia="仿宋" w:cs="Times New Roman"/>
                <w:color w:val="auto"/>
              </w:rPr>
            </w:pPr>
          </w:p>
        </w:tc>
      </w:tr>
    </w:tbl>
    <w:p>
      <w:pPr>
        <w:ind w:firstLine="600"/>
        <w:outlineLvl w:val="0"/>
        <w:rPr>
          <w:rFonts w:hint="default" w:ascii="Times New Roman" w:hAnsi="Times New Roman" w:eastAsia="仿宋" w:cs="Times New Roman"/>
          <w:color w:val="auto"/>
          <w:sz w:val="30"/>
        </w:rPr>
        <w:sectPr>
          <w:footerReference r:id="rId9"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二、建设内容</w:t>
      </w:r>
    </w:p>
    <w:tbl>
      <w:tblPr>
        <w:tblStyle w:val="25"/>
        <w:tblW w:w="97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91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35" w:hRule="atLeast"/>
          <w:jc w:val="center"/>
        </w:trPr>
        <w:tc>
          <w:tcPr>
            <w:tcW w:w="634" w:type="dxa"/>
            <w:vAlign w:val="center"/>
          </w:tcPr>
          <w:p>
            <w:pPr>
              <w:adjustRightInd w:val="0"/>
              <w:snapToGrid w:val="0"/>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地理位置</w:t>
            </w:r>
          </w:p>
        </w:tc>
        <w:tc>
          <w:tcPr>
            <w:tcW w:w="90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本</w:t>
            </w:r>
            <w:r>
              <w:rPr>
                <w:rFonts w:hint="default" w:ascii="Times New Roman" w:hAnsi="Times New Roman" w:eastAsia="仿宋" w:cs="Times New Roman"/>
                <w:color w:val="auto"/>
                <w:kern w:val="0"/>
                <w:sz w:val="24"/>
                <w:szCs w:val="24"/>
              </w:rPr>
              <w:t>项目</w:t>
            </w:r>
            <w:r>
              <w:rPr>
                <w:rFonts w:hint="default" w:ascii="Times New Roman" w:hAnsi="Times New Roman" w:eastAsia="仿宋" w:cs="Times New Roman"/>
                <w:color w:val="auto"/>
                <w:sz w:val="24"/>
                <w:szCs w:val="24"/>
              </w:rPr>
              <w:t>位于</w:t>
            </w:r>
            <w:r>
              <w:rPr>
                <w:rFonts w:hint="eastAsia" w:eastAsia="仿宋" w:cs="Times New Roman"/>
                <w:color w:val="auto"/>
                <w:sz w:val="24"/>
                <w:szCs w:val="24"/>
                <w:lang w:eastAsia="zh-CN"/>
              </w:rPr>
              <w:t>鄯善县北西280°方位</w:t>
            </w:r>
            <w:r>
              <w:rPr>
                <w:rFonts w:hint="default" w:ascii="Times New Roman" w:hAnsi="Times New Roman" w:eastAsia="仿宋" w:cs="Times New Roman"/>
                <w:color w:val="auto"/>
                <w:sz w:val="24"/>
                <w:szCs w:val="24"/>
                <w:lang w:eastAsia="zh-CN"/>
              </w:rPr>
              <w:t>，行政区划隶属鄯善县管辖，</w:t>
            </w:r>
            <w:r>
              <w:rPr>
                <w:rFonts w:hint="default" w:ascii="Times New Roman" w:hAnsi="Times New Roman" w:eastAsia="仿宋" w:cs="Times New Roman"/>
                <w:color w:val="auto"/>
                <w:sz w:val="24"/>
                <w:szCs w:val="24"/>
              </w:rPr>
              <w:t>根据现场调查，项目所在地</w:t>
            </w:r>
            <w:r>
              <w:rPr>
                <w:rFonts w:hint="default" w:ascii="Times New Roman" w:hAnsi="Times New Roman" w:eastAsia="仿宋" w:cs="Times New Roman"/>
                <w:color w:val="auto"/>
                <w:sz w:val="24"/>
                <w:szCs w:val="24"/>
                <w:lang w:val="en-US" w:eastAsia="zh-CN"/>
              </w:rPr>
              <w:t>及</w:t>
            </w:r>
            <w:r>
              <w:rPr>
                <w:rFonts w:hint="eastAsia" w:eastAsia="仿宋" w:cs="Times New Roman"/>
                <w:color w:val="auto"/>
                <w:sz w:val="24"/>
                <w:szCs w:val="24"/>
                <w:lang w:val="en-US" w:eastAsia="zh-CN"/>
              </w:rPr>
              <w:t>东侧、西侧、北侧</w:t>
            </w:r>
            <w:r>
              <w:rPr>
                <w:rFonts w:hint="default" w:ascii="Times New Roman" w:hAnsi="Times New Roman" w:eastAsia="仿宋" w:cs="Times New Roman"/>
                <w:color w:val="auto"/>
                <w:sz w:val="24"/>
                <w:szCs w:val="24"/>
                <w:lang w:val="en-US" w:eastAsia="zh-CN"/>
              </w:rPr>
              <w:t>均为</w:t>
            </w:r>
            <w:r>
              <w:rPr>
                <w:rFonts w:hint="default" w:ascii="Times New Roman" w:hAnsi="Times New Roman" w:eastAsia="仿宋" w:cs="Times New Roman"/>
                <w:color w:val="auto"/>
                <w:sz w:val="24"/>
                <w:szCs w:val="24"/>
              </w:rPr>
              <w:t>裸岩石砾地，</w:t>
            </w:r>
            <w:r>
              <w:rPr>
                <w:rFonts w:hint="eastAsia" w:eastAsia="仿宋" w:cs="Times New Roman"/>
                <w:color w:val="auto"/>
                <w:sz w:val="24"/>
                <w:szCs w:val="24"/>
                <w:lang w:val="en-US" w:eastAsia="zh-CN"/>
              </w:rPr>
              <w:t>南侧为已开采矿产，为历史遗留，现场调查，各边坡坡面平整，无顺坡软弱结构面及较大裂隙发育，现状条件下无滑坡灾害发生。</w:t>
            </w:r>
            <w:r>
              <w:rPr>
                <w:rFonts w:hint="default" w:ascii="Times New Roman" w:hAnsi="Times New Roman" w:eastAsia="仿宋" w:cs="Times New Roman"/>
                <w:color w:val="auto"/>
                <w:kern w:val="0"/>
                <w:sz w:val="24"/>
                <w:szCs w:val="24"/>
              </w:rPr>
              <w:t>矿区范围及拐点坐标见下表</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sz w:val="24"/>
                <w:szCs w:val="24"/>
              </w:rPr>
              <w:t>项目地理位置图见图2-1</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矿区范围图见图2-2。</w:t>
            </w:r>
          </w:p>
          <w:p>
            <w:pPr>
              <w:pStyle w:val="16"/>
              <w:ind w:firstLine="0" w:firstLineChars="0"/>
              <w:rPr>
                <w:rFonts w:hint="default" w:ascii="Times New Roman" w:hAnsi="Times New Roman" w:eastAsia="仿宋"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34" w:type="dxa"/>
            <w:vAlign w:val="center"/>
          </w:tcPr>
          <w:p>
            <w:pPr>
              <w:adjustRightInd w:val="0"/>
              <w:snapToGrid w:val="0"/>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项目组成及规模</w:t>
            </w:r>
          </w:p>
        </w:tc>
        <w:tc>
          <w:tcPr>
            <w:tcW w:w="9070" w:type="dxa"/>
            <w:vAlign w:val="center"/>
          </w:tcPr>
          <w:p>
            <w:pPr>
              <w:keepNext w:val="0"/>
              <w:keepLines w:val="0"/>
              <w:pageBreakBefore w:val="0"/>
              <w:widowControl/>
              <w:kinsoku/>
              <w:wordWrap/>
              <w:overflowPunct/>
              <w:topLinePunct w:val="0"/>
              <w:autoSpaceDE/>
              <w:autoSpaceDN/>
              <w:bidi w:val="0"/>
              <w:adjustRightInd/>
              <w:snapToGrid/>
              <w:spacing w:before="157" w:beforeLines="50"/>
              <w:ind w:firstLine="422"/>
              <w:jc w:val="left"/>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1</w:t>
            </w:r>
            <w:r>
              <w:rPr>
                <w:rFonts w:hint="default" w:ascii="Times New Roman" w:hAnsi="Times New Roman" w:eastAsia="仿宋" w:cs="Times New Roman"/>
                <w:b/>
                <w:bCs/>
                <w:color w:val="auto"/>
                <w:sz w:val="24"/>
                <w:szCs w:val="24"/>
                <w:lang w:eastAsia="zh-CN"/>
              </w:rPr>
              <w:t>、</w:t>
            </w:r>
            <w:r>
              <w:rPr>
                <w:rFonts w:hint="default" w:ascii="Times New Roman" w:hAnsi="Times New Roman" w:eastAsia="仿宋" w:cs="Times New Roman"/>
                <w:b/>
                <w:bCs/>
                <w:color w:val="auto"/>
                <w:sz w:val="24"/>
                <w:szCs w:val="24"/>
              </w:rPr>
              <w:t>项目组成</w:t>
            </w:r>
          </w:p>
          <w:p>
            <w:pPr>
              <w:keepNext w:val="0"/>
              <w:keepLines w:val="0"/>
              <w:pageBreakBefore w:val="0"/>
              <w:kinsoku/>
              <w:wordWrap/>
              <w:overflowPunct/>
              <w:topLinePunct w:val="0"/>
              <w:autoSpaceDE/>
              <w:autoSpaceDN/>
              <w:bidi w:val="0"/>
              <w:adjustRightInd/>
              <w:snapToGrid/>
              <w:ind w:firstLine="420"/>
              <w:textAlignment w:val="auto"/>
              <w:rPr>
                <w:rFonts w:hint="eastAsia"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color w:val="auto"/>
                <w:sz w:val="24"/>
                <w:szCs w:val="24"/>
                <w:lang w:val="en-US" w:eastAsia="zh-CN"/>
              </w:rPr>
              <w:t>本项目占地</w:t>
            </w:r>
            <w:r>
              <w:rPr>
                <w:rFonts w:hint="eastAsia" w:eastAsia="仿宋" w:cs="Times New Roman"/>
                <w:color w:val="auto"/>
                <w:sz w:val="24"/>
                <w:szCs w:val="24"/>
                <w:lang w:val="en-US" w:eastAsia="zh-CN"/>
              </w:rPr>
              <w:t>63200</w:t>
            </w:r>
            <w:r>
              <w:rPr>
                <w:rFonts w:hint="default" w:ascii="Times New Roman" w:hAnsi="Times New Roman" w:eastAsia="仿宋" w:cs="Times New Roman"/>
                <w:color w:val="auto"/>
                <w:sz w:val="24"/>
                <w:szCs w:val="24"/>
                <w:lang w:val="en-US" w:eastAsia="zh-CN"/>
              </w:rPr>
              <w:t>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rPr>
              <w:t>矿区总体布置主要由1处露天采场、矿山道</w:t>
            </w:r>
            <w:r>
              <w:rPr>
                <w:rFonts w:hint="default" w:ascii="Times New Roman" w:hAnsi="Times New Roman" w:eastAsia="仿宋" w:cs="Times New Roman"/>
                <w:color w:val="auto"/>
                <w:sz w:val="24"/>
                <w:szCs w:val="24"/>
                <w:highlight w:val="none"/>
              </w:rPr>
              <w:t>路组成，</w:t>
            </w:r>
            <w:r>
              <w:rPr>
                <w:rFonts w:hint="default" w:ascii="Times New Roman" w:hAnsi="Times New Roman" w:eastAsia="仿宋" w:cs="Times New Roman"/>
                <w:color w:val="auto"/>
                <w:sz w:val="24"/>
                <w:szCs w:val="24"/>
                <w:highlight w:val="none"/>
                <w:lang w:val="en-US" w:eastAsia="zh-CN"/>
              </w:rPr>
              <w:t>年开采砂石料</w:t>
            </w:r>
            <w:r>
              <w:rPr>
                <w:rFonts w:hint="eastAsia" w:eastAsia="仿宋" w:cs="Times New Roman"/>
                <w:color w:val="auto"/>
                <w:sz w:val="24"/>
                <w:szCs w:val="24"/>
                <w:highlight w:val="none"/>
                <w:lang w:val="en-US" w:eastAsia="zh-CN"/>
              </w:rPr>
              <w:t>15万</w:t>
            </w:r>
            <w:r>
              <w:rPr>
                <w:rFonts w:hint="default" w:ascii="Times New Roman" w:hAnsi="Times New Roman" w:eastAsia="仿宋" w:cs="Times New Roman"/>
                <w:color w:val="auto"/>
                <w:sz w:val="24"/>
                <w:szCs w:val="24"/>
                <w:highlight w:val="none"/>
              </w:rPr>
              <w:t>m</w:t>
            </w:r>
            <w:r>
              <w:rPr>
                <w:rFonts w:hint="default" w:ascii="Times New Roman" w:hAnsi="Times New Roman" w:eastAsia="仿宋" w:cs="Times New Roman"/>
                <w:color w:val="auto"/>
                <w:sz w:val="24"/>
                <w:szCs w:val="24"/>
                <w:highlight w:val="none"/>
                <w:vertAlign w:val="superscript"/>
              </w:rPr>
              <w:t>3</w:t>
            </w:r>
            <w:r>
              <w:rPr>
                <w:rFonts w:hint="eastAsia" w:ascii="Times New Roman" w:hAnsi="Times New Roman" w:eastAsia="仿宋" w:cs="Times New Roman"/>
                <w:color w:val="auto"/>
                <w:sz w:val="24"/>
                <w:szCs w:val="24"/>
                <w:highlight w:val="none"/>
                <w:vertAlign w:val="baseline"/>
                <w:lang w:eastAsia="zh-CN"/>
              </w:rPr>
              <w:t>。</w:t>
            </w:r>
          </w:p>
          <w:p>
            <w:pPr>
              <w:keepNext w:val="0"/>
              <w:keepLines w:val="0"/>
              <w:pageBreakBefore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本项目组成一览表见表2-2：</w:t>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表2-2项目组成一览表</w:t>
            </w:r>
          </w:p>
          <w:tbl>
            <w:tblPr>
              <w:tblStyle w:val="25"/>
              <w:tblW w:w="498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37"/>
              <w:gridCol w:w="1077"/>
              <w:gridCol w:w="709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4"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类别</w:t>
                  </w:r>
                </w:p>
              </w:tc>
              <w:tc>
                <w:tcPr>
                  <w:tcW w:w="604"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名称</w:t>
                  </w:r>
                </w:p>
              </w:tc>
              <w:tc>
                <w:tcPr>
                  <w:tcW w:w="3980"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建设内容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414"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主体</w:t>
                  </w:r>
                </w:p>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工程</w:t>
                  </w:r>
                </w:p>
              </w:tc>
              <w:tc>
                <w:tcPr>
                  <w:tcW w:w="604"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rPr>
                  </w:pPr>
                  <w:r>
                    <w:rPr>
                      <w:rFonts w:hint="default" w:ascii="Times New Roman" w:hAnsi="Times New Roman" w:eastAsia="仿宋" w:cs="Times New Roman"/>
                      <w:color w:val="auto"/>
                      <w:sz w:val="21"/>
                      <w:szCs w:val="21"/>
                      <w:highlight w:val="none"/>
                      <w:lang w:val="en-US" w:eastAsia="zh-CN"/>
                    </w:rPr>
                    <w:t>露天采场</w:t>
                  </w:r>
                </w:p>
              </w:tc>
              <w:tc>
                <w:tcPr>
                  <w:tcW w:w="3980" w:type="pct"/>
                  <w:vAlign w:val="center"/>
                </w:tcPr>
                <w:p>
                  <w:pPr>
                    <w:pStyle w:val="44"/>
                    <w:spacing w:line="240" w:lineRule="auto"/>
                    <w:ind w:firstLine="0" w:firstLineChars="0"/>
                    <w:rPr>
                      <w:rFonts w:hint="eastAsia"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rPr>
                    <w:t>采用挖掘机露天水平方式进行开采</w:t>
                  </w:r>
                  <w:r>
                    <w:rPr>
                      <w:rStyle w:val="29"/>
                      <w:rFonts w:hint="default" w:ascii="Times New Roman" w:hAnsi="Times New Roman" w:eastAsia="仿宋" w:cs="Times New Roman"/>
                      <w:color w:val="auto"/>
                      <w:sz w:val="21"/>
                      <w:szCs w:val="21"/>
                      <w:highlight w:val="none"/>
                    </w:rPr>
                    <w:t>，采场面积为</w:t>
                  </w:r>
                  <w:r>
                    <w:rPr>
                      <w:rStyle w:val="29"/>
                      <w:rFonts w:hint="default" w:ascii="Times New Roman" w:hAnsi="Times New Roman" w:eastAsia="仿宋" w:cs="Times New Roman"/>
                      <w:color w:val="auto"/>
                      <w:sz w:val="21"/>
                      <w:szCs w:val="21"/>
                      <w:highlight w:val="none"/>
                      <w:lang w:val="en-US" w:eastAsia="zh-CN"/>
                    </w:rPr>
                    <w:t>62900</w:t>
                  </w:r>
                  <w:r>
                    <w:rPr>
                      <w:rStyle w:val="29"/>
                      <w:rFonts w:hint="default" w:ascii="Times New Roman" w:hAnsi="Times New Roman" w:eastAsia="仿宋" w:cs="Times New Roman"/>
                      <w:color w:val="auto"/>
                      <w:sz w:val="21"/>
                      <w:szCs w:val="21"/>
                      <w:highlight w:val="none"/>
                    </w:rPr>
                    <w:t>m</w:t>
                  </w:r>
                  <w:r>
                    <w:rPr>
                      <w:rStyle w:val="29"/>
                      <w:rFonts w:hint="default" w:ascii="Times New Roman" w:hAnsi="Times New Roman" w:eastAsia="仿宋" w:cs="Times New Roman"/>
                      <w:color w:val="auto"/>
                      <w:sz w:val="21"/>
                      <w:szCs w:val="21"/>
                      <w:highlight w:val="none"/>
                      <w:vertAlign w:val="superscript"/>
                    </w:rPr>
                    <w:t>2</w:t>
                  </w:r>
                  <w:r>
                    <w:rPr>
                      <w:rStyle w:val="29"/>
                      <w:rFonts w:hint="default" w:ascii="Times New Roman" w:hAnsi="Times New Roman" w:eastAsia="仿宋" w:cs="Times New Roman"/>
                      <w:color w:val="auto"/>
                      <w:sz w:val="21"/>
                      <w:szCs w:val="21"/>
                      <w:highlight w:val="none"/>
                    </w:rPr>
                    <w:t>；</w:t>
                  </w:r>
                  <w:r>
                    <w:rPr>
                      <w:rStyle w:val="29"/>
                      <w:rFonts w:hint="default" w:ascii="Times New Roman" w:hAnsi="Times New Roman" w:eastAsia="仿宋" w:cs="Times New Roman"/>
                      <w:color w:val="auto"/>
                      <w:sz w:val="21"/>
                      <w:szCs w:val="21"/>
                      <w:highlight w:val="none"/>
                      <w:lang w:val="zh-CN"/>
                    </w:rPr>
                    <w:t>采场开采标高</w:t>
                  </w:r>
                  <w:r>
                    <w:rPr>
                      <w:rStyle w:val="29"/>
                      <w:rFonts w:hint="default" w:ascii="Times New Roman" w:hAnsi="Times New Roman" w:eastAsia="仿宋" w:cs="Times New Roman"/>
                      <w:color w:val="auto"/>
                      <w:sz w:val="21"/>
                      <w:szCs w:val="21"/>
                      <w:highlight w:val="none"/>
                      <w:lang w:val="en-US" w:eastAsia="zh-CN"/>
                    </w:rPr>
                    <w:t>261.2</w:t>
                  </w:r>
                  <w:r>
                    <w:rPr>
                      <w:rStyle w:val="29"/>
                      <w:rFonts w:hint="default" w:ascii="Times New Roman" w:hAnsi="Times New Roman" w:eastAsia="仿宋" w:cs="Times New Roman"/>
                      <w:color w:val="auto"/>
                      <w:sz w:val="21"/>
                      <w:szCs w:val="21"/>
                      <w:highlight w:val="none"/>
                      <w:lang w:val="zh-CN"/>
                    </w:rPr>
                    <w:t>米-</w:t>
                  </w:r>
                  <w:r>
                    <w:rPr>
                      <w:rStyle w:val="29"/>
                      <w:rFonts w:hint="default" w:ascii="Times New Roman" w:hAnsi="Times New Roman" w:eastAsia="仿宋" w:cs="Times New Roman"/>
                      <w:color w:val="auto"/>
                      <w:sz w:val="21"/>
                      <w:szCs w:val="21"/>
                      <w:highlight w:val="none"/>
                      <w:lang w:val="en-US" w:eastAsia="zh-CN"/>
                    </w:rPr>
                    <w:t>252</w:t>
                  </w:r>
                  <w:r>
                    <w:rPr>
                      <w:rStyle w:val="29"/>
                      <w:rFonts w:hint="default" w:ascii="Times New Roman" w:hAnsi="Times New Roman" w:eastAsia="仿宋" w:cs="Times New Roman"/>
                      <w:color w:val="auto"/>
                      <w:sz w:val="21"/>
                      <w:szCs w:val="21"/>
                      <w:highlight w:val="none"/>
                      <w:lang w:val="zh-CN"/>
                    </w:rPr>
                    <w:t>米</w:t>
                  </w:r>
                  <w:r>
                    <w:rPr>
                      <w:rStyle w:val="29"/>
                      <w:rFonts w:hint="default" w:ascii="Times New Roman" w:hAnsi="Times New Roman" w:eastAsia="仿宋" w:cs="Times New Roman"/>
                      <w:color w:val="auto"/>
                      <w:sz w:val="21"/>
                      <w:szCs w:val="21"/>
                      <w:highlight w:val="none"/>
                      <w:lang w:val="en-US" w:eastAsia="zh-CN"/>
                    </w:rPr>
                    <w:t>，年开采砂石料</w:t>
                  </w:r>
                  <w:r>
                    <w:rPr>
                      <w:rStyle w:val="29"/>
                      <w:rFonts w:hint="eastAsia" w:eastAsia="仿宋" w:cs="Times New Roman"/>
                      <w:color w:val="auto"/>
                      <w:sz w:val="21"/>
                      <w:szCs w:val="21"/>
                      <w:highlight w:val="none"/>
                      <w:lang w:val="en-US" w:eastAsia="zh-CN"/>
                    </w:rPr>
                    <w:t>15</w:t>
                  </w:r>
                  <w:r>
                    <w:rPr>
                      <w:rStyle w:val="29"/>
                      <w:rFonts w:hint="default" w:ascii="Times New Roman" w:hAnsi="Times New Roman" w:eastAsia="仿宋" w:cs="Times New Roman"/>
                      <w:color w:val="auto"/>
                      <w:sz w:val="21"/>
                      <w:szCs w:val="21"/>
                      <w:highlight w:val="none"/>
                      <w:lang w:val="en-US" w:eastAsia="zh-CN"/>
                    </w:rPr>
                    <w:t>万m</w:t>
                  </w:r>
                  <w:r>
                    <w:rPr>
                      <w:rStyle w:val="29"/>
                      <w:rFonts w:hint="default" w:ascii="Times New Roman" w:hAnsi="Times New Roman" w:eastAsia="仿宋" w:cs="Times New Roman"/>
                      <w:color w:val="auto"/>
                      <w:sz w:val="21"/>
                      <w:szCs w:val="21"/>
                      <w:highlight w:val="none"/>
                      <w:vertAlign w:val="superscript"/>
                      <w:lang w:val="en-US" w:eastAsia="zh-CN"/>
                    </w:rPr>
                    <w:t>3</w:t>
                  </w:r>
                  <w:r>
                    <w:rPr>
                      <w:rStyle w:val="29"/>
                      <w:rFonts w:hint="default" w:ascii="Times New Roman" w:hAnsi="Times New Roman" w:eastAsia="仿宋" w:cs="Times New Roman"/>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414" w:type="pct"/>
                  <w:vMerge w:val="restart"/>
                  <w:vAlign w:val="center"/>
                </w:tcPr>
                <w:p>
                  <w:pPr>
                    <w:pStyle w:val="44"/>
                    <w:spacing w:line="240" w:lineRule="auto"/>
                    <w:ind w:firstLine="0" w:firstLineChars="0"/>
                    <w:rPr>
                      <w:rFonts w:hint="default" w:ascii="Times New Roman" w:hAnsi="Times New Roman" w:eastAsia="仿宋" w:cs="Times New Roman"/>
                      <w:color w:val="auto"/>
                      <w:kern w:val="0"/>
                      <w:sz w:val="21"/>
                      <w:szCs w:val="21"/>
                      <w:highlight w:val="none"/>
                      <w:lang w:val="en-US" w:eastAsia="zh-CN" w:bidi="ar-SA"/>
                    </w:rPr>
                  </w:pPr>
                  <w:r>
                    <w:rPr>
                      <w:rFonts w:hint="eastAsia" w:eastAsia="仿宋" w:cs="Times New Roman"/>
                      <w:color w:val="auto"/>
                      <w:sz w:val="21"/>
                      <w:szCs w:val="21"/>
                      <w:highlight w:val="none"/>
                      <w:lang w:val="en-US" w:eastAsia="zh-CN"/>
                    </w:rPr>
                    <w:t>辅助工程</w:t>
                  </w:r>
                </w:p>
              </w:tc>
              <w:tc>
                <w:tcPr>
                  <w:tcW w:w="604" w:type="pct"/>
                  <w:vMerge w:val="restart"/>
                  <w:vAlign w:val="center"/>
                </w:tcPr>
                <w:p>
                  <w:pPr>
                    <w:pStyle w:val="44"/>
                    <w:spacing w:line="240" w:lineRule="auto"/>
                    <w:ind w:firstLine="0" w:firstLineChars="0"/>
                    <w:rPr>
                      <w:rFonts w:hint="default" w:ascii="Times New Roman" w:hAnsi="Times New Roman" w:eastAsia="仿宋" w:cs="Times New Roman"/>
                      <w:color w:val="auto"/>
                      <w:kern w:val="0"/>
                      <w:sz w:val="21"/>
                      <w:szCs w:val="21"/>
                      <w:highlight w:val="none"/>
                      <w:lang w:val="en-US" w:eastAsia="zh-CN" w:bidi="ar-SA"/>
                    </w:rPr>
                  </w:pPr>
                  <w:r>
                    <w:rPr>
                      <w:rFonts w:hint="eastAsia" w:eastAsia="仿宋" w:cs="Times New Roman"/>
                      <w:color w:val="auto"/>
                      <w:sz w:val="21"/>
                      <w:szCs w:val="21"/>
                      <w:highlight w:val="none"/>
                      <w:lang w:val="en-US" w:eastAsia="zh-CN"/>
                    </w:rPr>
                    <w:t>工业广场</w:t>
                  </w:r>
                </w:p>
              </w:tc>
              <w:tc>
                <w:tcPr>
                  <w:tcW w:w="3980" w:type="pct"/>
                  <w:vAlign w:val="center"/>
                </w:tcPr>
                <w:p>
                  <w:pPr>
                    <w:pStyle w:val="44"/>
                    <w:spacing w:line="240" w:lineRule="auto"/>
                    <w:ind w:firstLine="0" w:firstLineChars="0"/>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sz w:val="21"/>
                      <w:szCs w:val="21"/>
                    </w:rPr>
                    <w:t>新建沉淀池</w:t>
                  </w:r>
                  <w:r>
                    <w:rPr>
                      <w:rFonts w:hint="eastAsia" w:eastAsia="仿宋" w:cs="Times New Roman"/>
                      <w:color w:val="auto"/>
                      <w:sz w:val="21"/>
                      <w:szCs w:val="21"/>
                      <w:lang w:val="en-US" w:eastAsia="zh-CN"/>
                    </w:rPr>
                    <w:t>2</w:t>
                  </w:r>
                  <w:r>
                    <w:rPr>
                      <w:rFonts w:hint="default" w:ascii="Times New Roman" w:hAnsi="Times New Roman" w:eastAsia="仿宋" w:cs="Times New Roman"/>
                      <w:color w:val="auto"/>
                      <w:sz w:val="21"/>
                      <w:szCs w:val="21"/>
                    </w:rPr>
                    <w:t>个，容积为</w:t>
                  </w:r>
                  <w:r>
                    <w:rPr>
                      <w:rFonts w:hint="eastAsia" w:eastAsia="仿宋" w:cs="Times New Roman"/>
                      <w:color w:val="auto"/>
                      <w:sz w:val="21"/>
                      <w:szCs w:val="21"/>
                      <w:lang w:val="en-US" w:eastAsia="zh-CN"/>
                    </w:rPr>
                    <w:t>15</w:t>
                  </w:r>
                  <w:r>
                    <w:rPr>
                      <w:rFonts w:hint="default" w:ascii="Times New Roman" w:hAnsi="Times New Roman" w:eastAsia="仿宋" w:cs="Times New Roman"/>
                      <w:color w:val="auto"/>
                      <w:sz w:val="21"/>
                      <w:szCs w:val="21"/>
                    </w:rPr>
                    <w:t>m</w:t>
                  </w:r>
                  <w:r>
                    <w:rPr>
                      <w:rFonts w:hint="default" w:ascii="Times New Roman" w:hAnsi="Times New Roman" w:eastAsia="仿宋" w:cs="Times New Roman"/>
                      <w:color w:val="auto"/>
                      <w:sz w:val="21"/>
                      <w:szCs w:val="21"/>
                      <w:vertAlign w:val="superscript"/>
                    </w:rPr>
                    <w:t>3</w:t>
                  </w:r>
                  <w:r>
                    <w:rPr>
                      <w:rStyle w:val="29"/>
                      <w:rFonts w:hint="eastAsia" w:ascii="Times New Roman" w:hAnsi="Times New Roman" w:eastAsia="仿宋" w:cs="Times New Roman"/>
                      <w:color w:val="auto"/>
                      <w:sz w:val="21"/>
                      <w:szCs w:val="21"/>
                      <w:lang w:val="en-US" w:eastAsia="zh-CN"/>
                    </w:rPr>
                    <w:t>，位于厂区出入口。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414"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p>
              </w:tc>
              <w:tc>
                <w:tcPr>
                  <w:tcW w:w="604"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p>
              </w:tc>
              <w:tc>
                <w:tcPr>
                  <w:tcW w:w="3980" w:type="pct"/>
                  <w:vAlign w:val="center"/>
                </w:tcPr>
                <w:p>
                  <w:pPr>
                    <w:pStyle w:val="44"/>
                    <w:spacing w:line="240" w:lineRule="auto"/>
                    <w:ind w:firstLine="0" w:firstLineChars="0"/>
                    <w:rPr>
                      <w:rFonts w:hint="default" w:ascii="Times New Roman" w:hAnsi="Times New Roman" w:eastAsia="仿宋" w:cs="Times New Roman"/>
                      <w:color w:val="auto"/>
                      <w:kern w:val="0"/>
                      <w:sz w:val="21"/>
                      <w:szCs w:val="21"/>
                      <w:highlight w:val="none"/>
                      <w:lang w:val="en-US" w:eastAsia="zh-CN" w:bidi="ar-SA"/>
                    </w:rPr>
                  </w:pPr>
                  <w:r>
                    <w:rPr>
                      <w:rFonts w:hint="eastAsia" w:eastAsia="仿宋" w:cs="Times New Roman"/>
                      <w:color w:val="auto"/>
                      <w:sz w:val="21"/>
                      <w:szCs w:val="21"/>
                      <w:lang w:val="en-US" w:eastAsia="zh-CN"/>
                    </w:rPr>
                    <w:t>停车场（含工作人员午休区域），位于厂房区西南侧，占地500m</w:t>
                  </w:r>
                  <w:r>
                    <w:rPr>
                      <w:rFonts w:hint="eastAsia" w:eastAsia="仿宋" w:cs="Times New Roman"/>
                      <w:color w:val="auto"/>
                      <w:sz w:val="21"/>
                      <w:szCs w:val="21"/>
                      <w:vertAlign w:val="superscript"/>
                      <w:lang w:val="en-US" w:eastAsia="zh-CN"/>
                    </w:rPr>
                    <w:t>2</w:t>
                  </w:r>
                  <w:r>
                    <w:rPr>
                      <w:rStyle w:val="29"/>
                      <w:rFonts w:hint="eastAsia" w:eastAsia="仿宋" w:cs="Times New Roman"/>
                      <w:color w:val="auto"/>
                      <w:sz w:val="21"/>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4" w:type="pct"/>
                  <w:vMerge w:val="restar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公用工程</w:t>
                  </w:r>
                </w:p>
              </w:tc>
              <w:tc>
                <w:tcPr>
                  <w:tcW w:w="604"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供水</w:t>
                  </w:r>
                </w:p>
              </w:tc>
              <w:tc>
                <w:tcPr>
                  <w:tcW w:w="3980" w:type="pct"/>
                  <w:vAlign w:val="center"/>
                </w:tcPr>
                <w:p>
                  <w:pPr>
                    <w:widowControl/>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矿区距连木沁镇10.7千米，设计矿山配备1台20m</w:t>
                  </w:r>
                  <w:r>
                    <w:rPr>
                      <w:rFonts w:hint="default" w:ascii="Times New Roman" w:hAnsi="Times New Roman"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lang w:val="en-US" w:eastAsia="zh-CN"/>
                    </w:rPr>
                    <w:t>水车，生产生活用水自鄯善连木沁镇拉运。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414"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p>
              </w:tc>
              <w:tc>
                <w:tcPr>
                  <w:tcW w:w="604"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排水</w:t>
                  </w:r>
                </w:p>
              </w:tc>
              <w:tc>
                <w:tcPr>
                  <w:tcW w:w="398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本项目不产生生产废水，</w:t>
                  </w:r>
                  <w:r>
                    <w:rPr>
                      <w:rFonts w:hint="default" w:ascii="Times New Roman" w:hAnsi="Times New Roman" w:eastAsia="仿宋" w:cs="Times New Roman"/>
                      <w:b w:val="0"/>
                      <w:bCs/>
                      <w:color w:val="auto"/>
                      <w:kern w:val="0"/>
                      <w:sz w:val="21"/>
                      <w:szCs w:val="21"/>
                      <w:highlight w:val="none"/>
                      <w:lang w:val="en-US" w:eastAsia="zh-CN" w:bidi="ar-SA"/>
                    </w:rPr>
                    <w:t>本项目</w:t>
                  </w:r>
                  <w:r>
                    <w:rPr>
                      <w:rFonts w:hint="eastAsia" w:ascii="Times New Roman" w:hAnsi="Times New Roman" w:eastAsia="仿宋" w:cs="Times New Roman"/>
                      <w:b w:val="0"/>
                      <w:bCs/>
                      <w:color w:val="auto"/>
                      <w:kern w:val="0"/>
                      <w:sz w:val="21"/>
                      <w:szCs w:val="21"/>
                      <w:highlight w:val="none"/>
                      <w:lang w:val="en-US" w:eastAsia="zh-CN" w:bidi="ar-SA"/>
                    </w:rPr>
                    <w:t>不设办公生活区，</w:t>
                  </w:r>
                  <w:r>
                    <w:rPr>
                      <w:rFonts w:hint="eastAsia" w:eastAsia="仿宋" w:cs="Times New Roman"/>
                      <w:b w:val="0"/>
                      <w:bCs/>
                      <w:color w:val="auto"/>
                      <w:kern w:val="0"/>
                      <w:sz w:val="21"/>
                      <w:szCs w:val="21"/>
                      <w:highlight w:val="none"/>
                      <w:lang w:val="en-US" w:eastAsia="zh-CN" w:bidi="ar-SA"/>
                    </w:rPr>
                    <w:t>施工人员如厕废水较少，现场设置移动式环保厕所供施工人员如厕使用。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4"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highlight w:val="yellow"/>
                    </w:rPr>
                  </w:pPr>
                </w:p>
              </w:tc>
              <w:tc>
                <w:tcPr>
                  <w:tcW w:w="604" w:type="pct"/>
                  <w:vMerge w:val="restar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道路</w:t>
                  </w:r>
                </w:p>
              </w:tc>
              <w:tc>
                <w:tcPr>
                  <w:tcW w:w="398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矿区内道路</w:t>
                  </w:r>
                  <w:r>
                    <w:rPr>
                      <w:rFonts w:hint="eastAsia" w:eastAsia="仿宋" w:cs="Times New Roman"/>
                      <w:color w:val="auto"/>
                      <w:sz w:val="21"/>
                      <w:szCs w:val="21"/>
                      <w:highlight w:val="none"/>
                      <w:lang w:val="en-US" w:eastAsia="zh-CN"/>
                    </w:rPr>
                    <w:t>1000</w:t>
                  </w:r>
                  <w:r>
                    <w:rPr>
                      <w:rFonts w:hint="default" w:ascii="Times New Roman" w:hAnsi="Times New Roman" w:eastAsia="仿宋" w:cs="Times New Roman"/>
                      <w:color w:val="auto"/>
                      <w:sz w:val="21"/>
                      <w:szCs w:val="21"/>
                      <w:highlight w:val="none"/>
                      <w:lang w:val="en-US" w:eastAsia="zh-CN"/>
                    </w:rPr>
                    <w:t>平方米，泥结碎石路面，道路宽6米。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4"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highlight w:val="yellow"/>
                    </w:rPr>
                  </w:pPr>
                </w:p>
              </w:tc>
              <w:tc>
                <w:tcPr>
                  <w:tcW w:w="604"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p>
              </w:tc>
              <w:tc>
                <w:tcPr>
                  <w:tcW w:w="398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矿区外道路</w:t>
                  </w:r>
                  <w:r>
                    <w:rPr>
                      <w:rFonts w:hint="eastAsia" w:eastAsia="仿宋" w:cs="Times New Roman"/>
                      <w:color w:val="auto"/>
                      <w:sz w:val="21"/>
                      <w:szCs w:val="21"/>
                      <w:highlight w:val="none"/>
                      <w:lang w:val="en-US" w:eastAsia="zh-CN"/>
                    </w:rPr>
                    <w:t>300</w:t>
                  </w:r>
                  <w:r>
                    <w:rPr>
                      <w:rFonts w:hint="default" w:ascii="Times New Roman" w:hAnsi="Times New Roman" w:eastAsia="仿宋" w:cs="Times New Roman"/>
                      <w:color w:val="auto"/>
                      <w:sz w:val="21"/>
                      <w:szCs w:val="21"/>
                      <w:highlight w:val="none"/>
                      <w:lang w:val="en-US" w:eastAsia="zh-CN"/>
                    </w:rPr>
                    <w:t>平方米</w:t>
                  </w:r>
                  <w:r>
                    <w:rPr>
                      <w:rFonts w:hint="eastAsia"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lang w:val="en-US" w:eastAsia="zh-CN"/>
                    </w:rPr>
                    <w:t>泥结碎石路面，道路宽6米。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68" w:hRule="atLeast"/>
                <w:jc w:val="center"/>
              </w:trPr>
              <w:tc>
                <w:tcPr>
                  <w:tcW w:w="414" w:type="pct"/>
                  <w:vMerge w:val="restar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环保</w:t>
                  </w:r>
                </w:p>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工程</w:t>
                  </w:r>
                </w:p>
              </w:tc>
              <w:tc>
                <w:tcPr>
                  <w:tcW w:w="604"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废气</w:t>
                  </w:r>
                </w:p>
              </w:tc>
              <w:tc>
                <w:tcPr>
                  <w:tcW w:w="3980" w:type="pct"/>
                  <w:tcBorders>
                    <w:bottom w:val="single" w:color="auto" w:sz="4" w:space="0"/>
                  </w:tcBorders>
                  <w:vAlign w:val="center"/>
                </w:tcPr>
                <w:p>
                  <w:pPr>
                    <w:widowControl/>
                    <w:spacing w:line="240" w:lineRule="auto"/>
                    <w:ind w:firstLine="0" w:firstLineChars="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开采粉尘：采用雾炮机喷洒降尘；</w:t>
                  </w:r>
                </w:p>
                <w:p>
                  <w:pPr>
                    <w:widowControl/>
                    <w:spacing w:line="240" w:lineRule="auto"/>
                    <w:ind w:firstLine="0" w:firstLineChars="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装卸粉尘：雾炮机喷洒降尘，加强管理，规范作业；</w:t>
                  </w:r>
                </w:p>
                <w:p>
                  <w:pPr>
                    <w:widowControl/>
                    <w:spacing w:line="240" w:lineRule="auto"/>
                    <w:ind w:firstLine="0" w:firstLineChars="0"/>
                    <w:jc w:val="center"/>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rPr>
                    <w:t>运输道路扬尘：运输车辆篷布遮盖；车辆限速；运输道路每日洒水</w:t>
                  </w:r>
                  <w:r>
                    <w:rPr>
                      <w:rFonts w:hint="eastAsia" w:ascii="Times New Roman" w:hAnsi="Times New Roman" w:eastAsia="仿宋" w:cs="Times New Roman"/>
                      <w:color w:val="auto"/>
                      <w:highlight w:val="none"/>
                      <w:lang w:val="en-US" w:eastAsia="zh-CN"/>
                    </w:rPr>
                    <w:t>2</w:t>
                  </w:r>
                  <w:r>
                    <w:rPr>
                      <w:rFonts w:hint="default" w:ascii="Times New Roman" w:hAnsi="Times New Roman" w:eastAsia="仿宋" w:cs="Times New Roman"/>
                      <w:color w:val="auto"/>
                      <w:highlight w:val="none"/>
                    </w:rPr>
                    <w:t>次；运输车辆轮胎冲洗等；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4"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p>
              </w:tc>
              <w:tc>
                <w:tcPr>
                  <w:tcW w:w="1077" w:type="dxa"/>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废水处理</w:t>
                  </w:r>
                </w:p>
              </w:tc>
              <w:tc>
                <w:tcPr>
                  <w:tcW w:w="7094" w:type="dxa"/>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本项目</w:t>
                  </w:r>
                  <w:r>
                    <w:rPr>
                      <w:rFonts w:hint="default" w:ascii="Times New Roman" w:hAnsi="Times New Roman" w:eastAsia="仿宋" w:cs="Times New Roman"/>
                      <w:color w:val="auto"/>
                      <w:sz w:val="21"/>
                      <w:szCs w:val="21"/>
                      <w:highlight w:val="none"/>
                      <w:lang w:val="en-US" w:eastAsia="zh-CN"/>
                    </w:rPr>
                    <w:t>运营期</w:t>
                  </w:r>
                  <w:r>
                    <w:rPr>
                      <w:rFonts w:hint="default" w:ascii="Times New Roman" w:hAnsi="Times New Roman" w:eastAsia="仿宋" w:cs="Times New Roman"/>
                      <w:color w:val="auto"/>
                      <w:sz w:val="21"/>
                      <w:szCs w:val="21"/>
                      <w:highlight w:val="none"/>
                    </w:rPr>
                    <w:t>不产生生产废水，</w:t>
                  </w:r>
                  <w:r>
                    <w:rPr>
                      <w:rFonts w:hint="default" w:ascii="Times New Roman" w:hAnsi="Times New Roman" w:eastAsia="仿宋" w:cs="Times New Roman"/>
                      <w:b w:val="0"/>
                      <w:bCs/>
                      <w:color w:val="auto"/>
                      <w:kern w:val="0"/>
                      <w:sz w:val="21"/>
                      <w:szCs w:val="21"/>
                      <w:highlight w:val="none"/>
                      <w:lang w:val="en-US" w:eastAsia="zh-CN" w:bidi="ar-SA"/>
                    </w:rPr>
                    <w:t>本项目</w:t>
                  </w:r>
                  <w:r>
                    <w:rPr>
                      <w:rFonts w:hint="eastAsia" w:ascii="Times New Roman" w:hAnsi="Times New Roman" w:eastAsia="仿宋" w:cs="Times New Roman"/>
                      <w:b w:val="0"/>
                      <w:bCs/>
                      <w:color w:val="auto"/>
                      <w:kern w:val="0"/>
                      <w:sz w:val="21"/>
                      <w:szCs w:val="21"/>
                      <w:highlight w:val="none"/>
                      <w:lang w:val="en-US" w:eastAsia="zh-CN" w:bidi="ar-SA"/>
                    </w:rPr>
                    <w:t>不设办公生活区，无生活污水产生</w:t>
                  </w:r>
                  <w:r>
                    <w:rPr>
                      <w:rFonts w:hint="default" w:ascii="Times New Roman" w:hAnsi="Times New Roman" w:eastAsia="仿宋" w:cs="Times New Roman"/>
                      <w:b w:val="0"/>
                      <w:bCs/>
                      <w:color w:val="auto"/>
                      <w:kern w:val="0"/>
                      <w:sz w:val="21"/>
                      <w:szCs w:val="21"/>
                      <w:highlight w:val="none"/>
                      <w:lang w:val="en-US" w:eastAsia="zh-CN" w:bidi="ar-SA"/>
                    </w:rPr>
                    <w:t>本项目</w:t>
                  </w:r>
                  <w:r>
                    <w:rPr>
                      <w:rFonts w:hint="eastAsia" w:ascii="Times New Roman" w:hAnsi="Times New Roman" w:eastAsia="仿宋" w:cs="Times New Roman"/>
                      <w:b w:val="0"/>
                      <w:bCs/>
                      <w:color w:val="auto"/>
                      <w:kern w:val="0"/>
                      <w:sz w:val="21"/>
                      <w:szCs w:val="21"/>
                      <w:highlight w:val="none"/>
                      <w:lang w:val="en-US" w:eastAsia="zh-CN" w:bidi="ar-SA"/>
                    </w:rPr>
                    <w:t>不设办公生活区，</w:t>
                  </w:r>
                  <w:r>
                    <w:rPr>
                      <w:rFonts w:hint="eastAsia" w:eastAsia="仿宋" w:cs="Times New Roman"/>
                      <w:b w:val="0"/>
                      <w:bCs/>
                      <w:color w:val="auto"/>
                      <w:kern w:val="0"/>
                      <w:sz w:val="21"/>
                      <w:szCs w:val="21"/>
                      <w:highlight w:val="none"/>
                      <w:lang w:val="en-US" w:eastAsia="zh-CN" w:bidi="ar-SA"/>
                    </w:rPr>
                    <w:t>施工人员如厕废水较少，现场设置移动式环保厕所供施工人员如厕使用。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32" w:hRule="atLeast"/>
                <w:jc w:val="center"/>
              </w:trPr>
              <w:tc>
                <w:tcPr>
                  <w:tcW w:w="414"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p>
              </w:tc>
              <w:tc>
                <w:tcPr>
                  <w:tcW w:w="604"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噪声处理</w:t>
                  </w:r>
                </w:p>
              </w:tc>
              <w:tc>
                <w:tcPr>
                  <w:tcW w:w="3980" w:type="pct"/>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项目采用低噪声开采、装卸设备，高噪声设备定期维护，运输车辆限速，禁鸣等降噪措施。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3" w:hRule="atLeast"/>
                <w:jc w:val="center"/>
              </w:trPr>
              <w:tc>
                <w:tcPr>
                  <w:tcW w:w="414"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rPr>
                  </w:pPr>
                </w:p>
              </w:tc>
              <w:tc>
                <w:tcPr>
                  <w:tcW w:w="1077" w:type="dxa"/>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固体废物处置</w:t>
                  </w:r>
                </w:p>
              </w:tc>
              <w:tc>
                <w:tcPr>
                  <w:tcW w:w="7094" w:type="dxa"/>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防渗沉淀池的泥沙自然风干后定期回填至采坑</w:t>
                  </w:r>
                  <w:r>
                    <w:rPr>
                      <w:rFonts w:hint="eastAsia" w:eastAsia="仿宋" w:cs="Times New Roman"/>
                      <w:color w:val="auto"/>
                      <w:kern w:val="0"/>
                      <w:sz w:val="21"/>
                      <w:szCs w:val="21"/>
                      <w:highlight w:val="none"/>
                      <w:lang w:val="en-US" w:eastAsia="zh-CN"/>
                    </w:rPr>
                    <w:t>；</w:t>
                  </w:r>
                </w:p>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rPr>
                    <w:t>生活垃圾集中收集</w:t>
                  </w:r>
                  <w:r>
                    <w:rPr>
                      <w:rFonts w:hint="default" w:ascii="Times New Roman" w:hAnsi="Times New Roman" w:eastAsia="仿宋" w:cs="Times New Roman"/>
                      <w:color w:val="auto"/>
                      <w:kern w:val="0"/>
                      <w:sz w:val="21"/>
                      <w:szCs w:val="21"/>
                      <w:highlight w:val="none"/>
                      <w:lang w:val="en-US" w:eastAsia="zh-CN"/>
                    </w:rPr>
                    <w:t>后拉运至鄯善县垃圾填埋场处置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6" w:hRule="atLeast"/>
                <w:jc w:val="center"/>
              </w:trPr>
              <w:tc>
                <w:tcPr>
                  <w:tcW w:w="414"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rPr>
                  </w:pPr>
                </w:p>
              </w:tc>
              <w:tc>
                <w:tcPr>
                  <w:tcW w:w="1077" w:type="dxa"/>
                  <w:vAlign w:val="center"/>
                </w:tcPr>
                <w:p>
                  <w:pPr>
                    <w:pStyle w:val="44"/>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生态恢复</w:t>
                  </w:r>
                </w:p>
              </w:tc>
              <w:tc>
                <w:tcPr>
                  <w:tcW w:w="7094" w:type="dxa"/>
                  <w:vAlign w:val="center"/>
                </w:tcPr>
                <w:p>
                  <w:pPr>
                    <w:pStyle w:val="44"/>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按《矿山生态环境保护与恢复治理技术规范(试行)》（HJ651-2013）制定生态恢复治理方案。严格控制占地面积和范围、对受破坏的地表及时进行平整，生态恢复达到本环评提出生态恢复指标</w:t>
                  </w:r>
                  <w:r>
                    <w:rPr>
                      <w:rFonts w:hint="eastAsia" w:eastAsia="仿宋" w:cs="Times New Roman"/>
                      <w:color w:val="auto"/>
                      <w:sz w:val="21"/>
                      <w:szCs w:val="21"/>
                      <w:lang w:val="en-US" w:eastAsia="zh-CN"/>
                    </w:rPr>
                    <w:t>。</w:t>
                  </w:r>
                </w:p>
              </w:tc>
            </w:tr>
          </w:tbl>
          <w:p>
            <w:pPr>
              <w:pStyle w:val="41"/>
              <w:keepNext w:val="0"/>
              <w:keepLines w:val="0"/>
              <w:pageBreakBefore w:val="0"/>
              <w:widowControl w:val="0"/>
              <w:kinsoku/>
              <w:wordWrap/>
              <w:overflowPunct w:val="0"/>
              <w:topLinePunct w:val="0"/>
              <w:autoSpaceDE/>
              <w:autoSpaceDN/>
              <w:bidi w:val="0"/>
              <w:adjustRightInd/>
              <w:snapToGrid/>
              <w:spacing w:before="157" w:beforeLines="50" w:line="360" w:lineRule="auto"/>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表2-3原辅材料及能源消耗一览表</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310"/>
              <w:gridCol w:w="1021"/>
              <w:gridCol w:w="742"/>
              <w:gridCol w:w="5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序号</w:t>
                  </w:r>
                </w:p>
              </w:tc>
              <w:tc>
                <w:tcPr>
                  <w:tcW w:w="734"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名称</w:t>
                  </w:r>
                </w:p>
              </w:tc>
              <w:tc>
                <w:tcPr>
                  <w:tcW w:w="572"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用量</w:t>
                  </w:r>
                </w:p>
              </w:tc>
              <w:tc>
                <w:tcPr>
                  <w:tcW w:w="416"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单位</w:t>
                  </w:r>
                </w:p>
              </w:tc>
              <w:tc>
                <w:tcPr>
                  <w:tcW w:w="2816"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pStyle w:val="40"/>
                    <w:spacing w:line="240" w:lineRule="auto"/>
                    <w:ind w:firstLine="0" w:firstLineChars="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一、原料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734"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b w:val="0"/>
                      <w:bCs/>
                      <w:color w:val="auto"/>
                      <w:sz w:val="21"/>
                      <w:szCs w:val="21"/>
                      <w:vertAlign w:val="baseline"/>
                      <w:lang w:val="en-US" w:eastAsia="zh-CN"/>
                    </w:rPr>
                    <w:t>土砂石矿</w:t>
                  </w:r>
                </w:p>
              </w:tc>
              <w:tc>
                <w:tcPr>
                  <w:tcW w:w="572"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lang w:val="en-US"/>
                    </w:rPr>
                  </w:pPr>
                  <w:r>
                    <w:rPr>
                      <w:rFonts w:hint="eastAsia" w:eastAsia="仿宋" w:cs="Times New Roman"/>
                      <w:b w:val="0"/>
                      <w:bCs/>
                      <w:color w:val="auto"/>
                      <w:sz w:val="21"/>
                      <w:szCs w:val="21"/>
                      <w:vertAlign w:val="baseline"/>
                      <w:lang w:val="en-US" w:eastAsia="zh-CN"/>
                    </w:rPr>
                    <w:t>15</w:t>
                  </w:r>
                  <w:r>
                    <w:rPr>
                      <w:rFonts w:hint="default" w:ascii="Times New Roman" w:hAnsi="Times New Roman" w:eastAsia="仿宋" w:cs="Times New Roman"/>
                      <w:b w:val="0"/>
                      <w:bCs/>
                      <w:color w:val="auto"/>
                      <w:sz w:val="21"/>
                      <w:szCs w:val="21"/>
                      <w:vertAlign w:val="baseline"/>
                      <w:lang w:val="en-US" w:eastAsia="zh-CN"/>
                    </w:rPr>
                    <w:t>0000</w:t>
                  </w:r>
                </w:p>
              </w:tc>
              <w:tc>
                <w:tcPr>
                  <w:tcW w:w="416"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rPr>
                    <w:t>m</w:t>
                  </w:r>
                  <w:r>
                    <w:rPr>
                      <w:rFonts w:hint="default" w:ascii="Times New Roman" w:hAnsi="Times New Roman" w:eastAsia="仿宋" w:cs="Times New Roman"/>
                      <w:color w:val="auto"/>
                      <w:sz w:val="21"/>
                      <w:szCs w:val="21"/>
                      <w:vertAlign w:val="superscript"/>
                    </w:rPr>
                    <w:t>3</w:t>
                  </w:r>
                  <w:r>
                    <w:rPr>
                      <w:rFonts w:hint="default" w:ascii="Times New Roman" w:hAnsi="Times New Roman" w:eastAsia="仿宋" w:cs="Times New Roman"/>
                      <w:color w:val="auto"/>
                      <w:sz w:val="21"/>
                      <w:szCs w:val="21"/>
                    </w:rPr>
                    <w:t>/a</w:t>
                  </w:r>
                </w:p>
              </w:tc>
              <w:tc>
                <w:tcPr>
                  <w:tcW w:w="2816"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pStyle w:val="40"/>
                    <w:spacing w:line="240" w:lineRule="auto"/>
                    <w:ind w:firstLine="0" w:firstLineChars="0"/>
                    <w:jc w:val="both"/>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二、能源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w:t>
                  </w:r>
                </w:p>
              </w:tc>
              <w:tc>
                <w:tcPr>
                  <w:tcW w:w="734"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水</w:t>
                  </w:r>
                </w:p>
              </w:tc>
              <w:tc>
                <w:tcPr>
                  <w:tcW w:w="572"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1890</w:t>
                  </w:r>
                </w:p>
              </w:tc>
              <w:tc>
                <w:tcPr>
                  <w:tcW w:w="416"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vertAlign w:val="superscript"/>
                    </w:rPr>
                    <w:t>3</w:t>
                  </w:r>
                  <w:r>
                    <w:rPr>
                      <w:rFonts w:hint="default" w:ascii="Times New Roman" w:hAnsi="Times New Roman" w:eastAsia="仿宋" w:cs="Times New Roman"/>
                      <w:color w:val="auto"/>
                      <w:sz w:val="21"/>
                      <w:szCs w:val="21"/>
                      <w:highlight w:val="none"/>
                    </w:rPr>
                    <w:t>/a</w:t>
                  </w:r>
                </w:p>
              </w:tc>
              <w:tc>
                <w:tcPr>
                  <w:tcW w:w="2816"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矿区距连木沁镇10.7千米，设计矿山配备1台20m</w:t>
                  </w:r>
                  <w:r>
                    <w:rPr>
                      <w:rFonts w:hint="default" w:ascii="Times New Roman" w:hAnsi="Times New Roman"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lang w:val="en-US" w:eastAsia="zh-CN"/>
                    </w:rPr>
                    <w:t>水车，生产生活用水自鄯善连木沁镇拉运</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2"/>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Cs/>
                <w:color w:val="auto"/>
                <w:spacing w:val="10"/>
                <w:sz w:val="24"/>
                <w:szCs w:val="24"/>
                <w:lang w:eastAsia="zh-CN"/>
              </w:rPr>
              <w:t>项目不设置柴油储罐，</w:t>
            </w:r>
            <w:r>
              <w:rPr>
                <w:rFonts w:hint="default" w:ascii="Times New Roman" w:hAnsi="Times New Roman" w:eastAsia="仿宋" w:cs="Times New Roman"/>
                <w:bCs/>
                <w:color w:val="auto"/>
                <w:spacing w:val="10"/>
                <w:sz w:val="24"/>
                <w:szCs w:val="24"/>
                <w:lang w:val="en-US" w:eastAsia="zh-CN"/>
              </w:rPr>
              <w:t>项目每天柴油用量较小，距</w:t>
            </w:r>
            <w:r>
              <w:rPr>
                <w:rFonts w:hint="eastAsia" w:ascii="Times New Roman" w:hAnsi="Times New Roman" w:eastAsia="仿宋" w:cs="Times New Roman"/>
                <w:bCs/>
                <w:color w:val="auto"/>
                <w:spacing w:val="10"/>
                <w:sz w:val="24"/>
                <w:szCs w:val="24"/>
                <w:lang w:val="en-US" w:eastAsia="zh-CN"/>
              </w:rPr>
              <w:t>连木沁镇</w:t>
            </w:r>
            <w:r>
              <w:rPr>
                <w:rFonts w:hint="default" w:ascii="Times New Roman" w:hAnsi="Times New Roman" w:eastAsia="仿宋" w:cs="Times New Roman"/>
                <w:bCs/>
                <w:color w:val="auto"/>
                <w:spacing w:val="10"/>
                <w:sz w:val="24"/>
                <w:szCs w:val="24"/>
                <w:lang w:val="en-US" w:eastAsia="zh-CN"/>
              </w:rPr>
              <w:t>距离较近，便于柴油运送，因此矿区不设柴油储罐区，机械运行所用柴油由矿区附近能源公司运输提供，采用现用现拉运方式可行。</w:t>
            </w:r>
          </w:p>
          <w:p>
            <w:pPr>
              <w:keepNext w:val="0"/>
              <w:keepLines w:val="0"/>
              <w:pageBreakBefore w:val="0"/>
              <w:widowControl w:val="0"/>
              <w:tabs>
                <w:tab w:val="left" w:pos="405"/>
              </w:tabs>
              <w:kinsoku/>
              <w:wordWrap/>
              <w:overflowPunct/>
              <w:topLinePunct w:val="0"/>
              <w:autoSpaceDE/>
              <w:autoSpaceDN/>
              <w:bidi w:val="0"/>
              <w:adjustRightInd w:val="0"/>
              <w:snapToGrid w:val="0"/>
              <w:spacing w:line="360" w:lineRule="auto"/>
              <w:ind w:firstLine="422"/>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val="en-US" w:eastAsia="zh-CN"/>
              </w:rPr>
              <w:t>2、</w:t>
            </w:r>
            <w:r>
              <w:rPr>
                <w:rFonts w:hint="default" w:ascii="Times New Roman" w:hAnsi="Times New Roman" w:eastAsia="仿宋" w:cs="Times New Roman"/>
                <w:b/>
                <w:bCs/>
                <w:color w:val="auto"/>
                <w:sz w:val="24"/>
                <w:szCs w:val="24"/>
              </w:rPr>
              <w:t>建设规模及主要工程参数</w:t>
            </w:r>
          </w:p>
          <w:p>
            <w:pPr>
              <w:keepNext w:val="0"/>
              <w:keepLines w:val="0"/>
              <w:widowControl/>
              <w:suppressLineNumbers w:val="0"/>
              <w:spacing w:line="360" w:lineRule="auto"/>
              <w:jc w:val="left"/>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kern w:val="0"/>
                <w:sz w:val="24"/>
                <w:szCs w:val="24"/>
                <w:lang w:val="en-US" w:eastAsia="zh-CN" w:bidi="ar"/>
              </w:rPr>
              <w:t>根据项目普查报告，矿区范围内建筑用砂石料矿推断资源量</w:t>
            </w:r>
            <w:r>
              <w:rPr>
                <w:rFonts w:hint="eastAsia" w:eastAsia="仿宋" w:cs="Times New Roman"/>
                <w:color w:val="auto"/>
                <w:sz w:val="24"/>
                <w:szCs w:val="24"/>
                <w:lang w:val="en-US" w:eastAsia="zh-CN"/>
              </w:rPr>
              <w:t>41.94</w:t>
            </w:r>
            <w:r>
              <w:rPr>
                <w:rFonts w:hint="default" w:ascii="Times New Roman" w:hAnsi="Times New Roman" w:eastAsia="仿宋" w:cs="Times New Roman"/>
                <w:color w:val="auto"/>
                <w:sz w:val="24"/>
                <w:szCs w:val="24"/>
                <w:lang w:val="en-US" w:eastAsia="zh-CN"/>
              </w:rPr>
              <w:t>万m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kern w:val="0"/>
                <w:sz w:val="24"/>
                <w:szCs w:val="24"/>
                <w:lang w:val="en-US" w:eastAsia="zh-CN" w:bidi="ar"/>
              </w:rPr>
              <w:t>，矿山回采率为98%，矿山服务年限约</w:t>
            </w:r>
            <w:r>
              <w:rPr>
                <w:rFonts w:hint="eastAsia" w:eastAsia="仿宋" w:cs="Times New Roman"/>
                <w:color w:val="auto"/>
                <w:kern w:val="0"/>
                <w:sz w:val="24"/>
                <w:szCs w:val="24"/>
                <w:lang w:val="en-US" w:eastAsia="zh-CN" w:bidi="ar"/>
              </w:rPr>
              <w:t>2.62年</w:t>
            </w:r>
            <w:r>
              <w:rPr>
                <w:rFonts w:hint="default" w:ascii="Times New Roman" w:hAnsi="Times New Roman" w:eastAsia="仿宋" w:cs="Times New Roman"/>
                <w:color w:val="auto"/>
                <w:kern w:val="0"/>
                <w:sz w:val="24"/>
                <w:szCs w:val="24"/>
                <w:lang w:val="en-US" w:eastAsia="zh-CN" w:bidi="ar"/>
              </w:rPr>
              <w:t>。年</w:t>
            </w:r>
            <w:r>
              <w:rPr>
                <w:rFonts w:hint="eastAsia" w:eastAsia="仿宋" w:cs="Times New Roman"/>
                <w:color w:val="auto"/>
                <w:kern w:val="0"/>
                <w:sz w:val="24"/>
                <w:szCs w:val="24"/>
                <w:lang w:val="en-US" w:eastAsia="zh-CN" w:bidi="ar"/>
              </w:rPr>
              <w:t>开采</w:t>
            </w:r>
            <w:r>
              <w:rPr>
                <w:rFonts w:hint="default" w:ascii="Times New Roman" w:hAnsi="Times New Roman" w:eastAsia="仿宋" w:cs="Times New Roman"/>
                <w:color w:val="auto"/>
                <w:kern w:val="0"/>
                <w:sz w:val="24"/>
                <w:szCs w:val="24"/>
                <w:lang w:val="en-US" w:eastAsia="zh-CN" w:bidi="ar"/>
              </w:rPr>
              <w:t>砂石料</w:t>
            </w:r>
            <w:r>
              <w:rPr>
                <w:rFonts w:hint="eastAsia" w:eastAsia="仿宋" w:cs="Times New Roman"/>
                <w:color w:val="auto"/>
                <w:sz w:val="24"/>
                <w:szCs w:val="24"/>
                <w:lang w:val="en-US" w:eastAsia="zh-CN"/>
              </w:rPr>
              <w:t>15万</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3</w:t>
            </w:r>
            <w:r>
              <w:rPr>
                <w:rFonts w:hint="eastAsia"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kern w:val="0"/>
                <w:sz w:val="24"/>
                <w:szCs w:val="24"/>
                <w:lang w:val="en-US" w:eastAsia="zh-CN" w:bidi="ar"/>
              </w:rPr>
              <w:t>本矿山露天开采境界参数如下：</w:t>
            </w:r>
          </w:p>
          <w:p>
            <w:pPr>
              <w:adjustRightInd w:val="0"/>
              <w:snapToGrid w:val="0"/>
              <w:ind w:firstLine="422"/>
              <w:rPr>
                <w:rFonts w:hint="default" w:ascii="Times New Roman" w:hAnsi="Times New Roman" w:eastAsia="仿宋" w:cs="Times New Roman"/>
                <w:b w:val="0"/>
                <w:bCs/>
                <w:color w:val="auto"/>
                <w:kern w:val="0"/>
                <w:sz w:val="24"/>
                <w:szCs w:val="24"/>
                <w:lang w:val="en-US" w:eastAsia="zh-CN"/>
              </w:rPr>
            </w:pPr>
            <w:r>
              <w:rPr>
                <w:rFonts w:hint="default" w:ascii="Times New Roman" w:hAnsi="Times New Roman" w:eastAsia="仿宋" w:cs="Times New Roman"/>
                <w:b w:val="0"/>
                <w:bCs/>
                <w:color w:val="auto"/>
                <w:kern w:val="0"/>
                <w:sz w:val="24"/>
                <w:szCs w:val="24"/>
                <w:lang w:val="en-US" w:eastAsia="zh-CN"/>
              </w:rPr>
              <w:t>（1）最低开采标高：252米</w:t>
            </w:r>
          </w:p>
          <w:p>
            <w:pPr>
              <w:adjustRightInd w:val="0"/>
              <w:snapToGrid w:val="0"/>
              <w:ind w:firstLine="422"/>
              <w:rPr>
                <w:rFonts w:hint="default" w:ascii="Times New Roman" w:hAnsi="Times New Roman" w:eastAsia="仿宋" w:cs="Times New Roman"/>
                <w:b w:val="0"/>
                <w:bCs/>
                <w:color w:val="auto"/>
                <w:kern w:val="0"/>
                <w:sz w:val="24"/>
                <w:szCs w:val="24"/>
                <w:lang w:val="en-US" w:eastAsia="zh-CN"/>
              </w:rPr>
            </w:pPr>
            <w:r>
              <w:rPr>
                <w:rFonts w:hint="default" w:ascii="Times New Roman" w:hAnsi="Times New Roman" w:eastAsia="仿宋" w:cs="Times New Roman"/>
                <w:b w:val="0"/>
                <w:bCs/>
                <w:color w:val="auto"/>
                <w:kern w:val="0"/>
                <w:sz w:val="24"/>
                <w:szCs w:val="24"/>
                <w:lang w:val="en-US" w:eastAsia="zh-CN"/>
              </w:rPr>
              <w:t>（2）开采边坡角≤30°；</w:t>
            </w:r>
          </w:p>
          <w:p>
            <w:pPr>
              <w:adjustRightInd w:val="0"/>
              <w:snapToGrid w:val="0"/>
              <w:ind w:firstLine="422"/>
              <w:rPr>
                <w:rFonts w:hint="default" w:ascii="Times New Roman" w:hAnsi="Times New Roman" w:eastAsia="仿宋" w:cs="Times New Roman"/>
                <w:b w:val="0"/>
                <w:bCs/>
                <w:color w:val="auto"/>
                <w:kern w:val="0"/>
                <w:sz w:val="24"/>
                <w:szCs w:val="24"/>
                <w:lang w:val="en-US" w:eastAsia="zh-CN"/>
              </w:rPr>
            </w:pPr>
            <w:r>
              <w:rPr>
                <w:rFonts w:hint="default" w:ascii="Times New Roman" w:hAnsi="Times New Roman" w:eastAsia="仿宋" w:cs="Times New Roman"/>
                <w:b w:val="0"/>
                <w:bCs/>
                <w:color w:val="auto"/>
                <w:kern w:val="0"/>
                <w:sz w:val="24"/>
                <w:szCs w:val="24"/>
                <w:lang w:val="en-US" w:eastAsia="zh-CN"/>
              </w:rPr>
              <w:t>（3）矿层开采厚度≥3米；</w:t>
            </w:r>
          </w:p>
          <w:p>
            <w:pPr>
              <w:adjustRightInd w:val="0"/>
              <w:snapToGrid w:val="0"/>
              <w:ind w:firstLine="422"/>
              <w:rPr>
                <w:rFonts w:hint="default" w:ascii="Times New Roman" w:hAnsi="Times New Roman" w:eastAsia="仿宋" w:cs="Times New Roman"/>
                <w:b w:val="0"/>
                <w:bCs/>
                <w:color w:val="auto"/>
                <w:kern w:val="0"/>
                <w:sz w:val="24"/>
                <w:szCs w:val="24"/>
                <w:lang w:val="en-US" w:eastAsia="zh-CN"/>
              </w:rPr>
            </w:pPr>
            <w:r>
              <w:rPr>
                <w:rFonts w:hint="default" w:ascii="Times New Roman" w:hAnsi="Times New Roman" w:eastAsia="仿宋" w:cs="Times New Roman"/>
                <w:b w:val="0"/>
                <w:bCs/>
                <w:color w:val="auto"/>
                <w:kern w:val="0"/>
                <w:sz w:val="24"/>
                <w:szCs w:val="24"/>
                <w:lang w:val="en-US" w:eastAsia="zh-CN"/>
              </w:rPr>
              <w:t>（4）夹石最小剔除厚度≤2米；</w:t>
            </w:r>
          </w:p>
          <w:p>
            <w:pPr>
              <w:adjustRightInd w:val="0"/>
              <w:snapToGrid w:val="0"/>
              <w:ind w:firstLine="422"/>
              <w:rPr>
                <w:rFonts w:hint="default" w:ascii="Times New Roman" w:hAnsi="Times New Roman" w:eastAsia="仿宋" w:cs="Times New Roman"/>
                <w:b w:val="0"/>
                <w:bCs/>
                <w:color w:val="auto"/>
                <w:kern w:val="0"/>
                <w:sz w:val="24"/>
                <w:szCs w:val="24"/>
                <w:lang w:val="en-US" w:eastAsia="zh-CN"/>
              </w:rPr>
            </w:pPr>
            <w:r>
              <w:rPr>
                <w:rFonts w:hint="default" w:ascii="Times New Roman" w:hAnsi="Times New Roman" w:eastAsia="仿宋" w:cs="Times New Roman"/>
                <w:b w:val="0"/>
                <w:bCs/>
                <w:color w:val="auto"/>
                <w:kern w:val="0"/>
                <w:sz w:val="24"/>
                <w:szCs w:val="24"/>
                <w:lang w:val="en-US" w:eastAsia="zh-CN"/>
              </w:rPr>
              <w:t>（5）开采最终底盘≥40m；</w:t>
            </w:r>
          </w:p>
          <w:p>
            <w:pPr>
              <w:adjustRightInd w:val="0"/>
              <w:snapToGrid w:val="0"/>
              <w:ind w:firstLine="422"/>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val="0"/>
                <w:bCs/>
                <w:color w:val="auto"/>
                <w:kern w:val="0"/>
                <w:sz w:val="24"/>
                <w:szCs w:val="24"/>
                <w:lang w:val="en-US" w:eastAsia="zh-CN"/>
              </w:rPr>
              <w:t>（6）剥采比≤0.5:1</w:t>
            </w:r>
            <w:r>
              <w:rPr>
                <w:rFonts w:hint="default" w:ascii="Times New Roman" w:hAnsi="Times New Roman" w:eastAsia="仿宋" w:cs="Times New Roman"/>
                <w:color w:val="auto"/>
                <w:sz w:val="24"/>
                <w:szCs w:val="24"/>
                <w:lang w:val="en-US" w:eastAsia="zh-CN"/>
              </w:rPr>
              <w:t>；</w:t>
            </w:r>
          </w:p>
          <w:p>
            <w:pPr>
              <w:adjustRightInd w:val="0"/>
              <w:snapToGrid w:val="0"/>
              <w:ind w:firstLine="422"/>
              <w:rPr>
                <w:rFonts w:hint="default" w:ascii="Times New Roman" w:hAnsi="Times New Roman" w:eastAsia="仿宋" w:cs="Times New Roman"/>
                <w:color w:val="auto"/>
                <w:sz w:val="24"/>
                <w:szCs w:val="24"/>
              </w:rPr>
            </w:pPr>
            <w:r>
              <w:rPr>
                <w:rFonts w:hint="default" w:ascii="Times New Roman" w:hAnsi="Times New Roman" w:eastAsia="仿宋" w:cs="Times New Roman"/>
                <w:b/>
                <w:color w:val="auto"/>
                <w:kern w:val="0"/>
                <w:sz w:val="24"/>
                <w:szCs w:val="24"/>
                <w:lang w:val="en-US" w:eastAsia="zh-CN"/>
              </w:rPr>
              <w:t>3、</w:t>
            </w:r>
            <w:r>
              <w:rPr>
                <w:rFonts w:hint="default" w:ascii="Times New Roman" w:hAnsi="Times New Roman" w:eastAsia="仿宋" w:cs="Times New Roman"/>
                <w:b/>
                <w:color w:val="auto"/>
                <w:kern w:val="0"/>
                <w:sz w:val="24"/>
                <w:szCs w:val="24"/>
              </w:rPr>
              <w:t>开采方式及开采工艺</w:t>
            </w:r>
          </w:p>
          <w:p>
            <w:pPr>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（1）采矿方法、方式</w:t>
            </w:r>
          </w:p>
          <w:p>
            <w:pPr>
              <w:keepNext w:val="0"/>
              <w:keepLines w:val="0"/>
              <w:widowControl/>
              <w:suppressLineNumbers w:val="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val="en-US" w:eastAsia="zh-CN" w:bidi="ar"/>
              </w:rPr>
              <w:t>该矿开采、开拓方式为：露天开采，公路运输开拓。</w:t>
            </w:r>
          </w:p>
          <w:p>
            <w:pPr>
              <w:keepNext w:val="0"/>
              <w:keepLines w:val="0"/>
              <w:widowControl/>
              <w:suppressLineNumbers w:val="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val="en-US" w:eastAsia="zh-CN" w:bidi="ar"/>
              </w:rPr>
              <w:t>采矿方法为：直接用</w:t>
            </w:r>
            <w:r>
              <w:rPr>
                <w:rFonts w:hint="eastAsia" w:eastAsia="仿宋" w:cs="Times New Roman"/>
                <w:color w:val="auto"/>
                <w:kern w:val="0"/>
                <w:sz w:val="24"/>
                <w:szCs w:val="24"/>
                <w:lang w:val="en-US" w:eastAsia="zh-CN" w:bidi="ar"/>
              </w:rPr>
              <w:t>挖掘机</w:t>
            </w:r>
            <w:r>
              <w:rPr>
                <w:rFonts w:hint="default" w:ascii="Times New Roman" w:hAnsi="Times New Roman" w:eastAsia="仿宋" w:cs="Times New Roman"/>
                <w:color w:val="auto"/>
                <w:kern w:val="0"/>
                <w:sz w:val="24"/>
                <w:szCs w:val="24"/>
                <w:lang w:val="en-US" w:eastAsia="zh-CN" w:bidi="ar"/>
              </w:rPr>
              <w:t>露天开采。</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val="en-US" w:eastAsia="zh-CN" w:bidi="ar"/>
              </w:rPr>
              <w:t>该矿产品方案为公路填筑，不存在筛分故不设立工业广场。</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kern w:val="0"/>
                <w:sz w:val="24"/>
                <w:szCs w:val="24"/>
                <w:lang w:val="en-US" w:eastAsia="zh-CN" w:bidi="ar"/>
              </w:rPr>
            </w:pPr>
            <w:r>
              <w:rPr>
                <w:rFonts w:hint="eastAsia" w:eastAsia="仿宋" w:cs="Times New Roman"/>
                <w:color w:val="auto"/>
                <w:kern w:val="0"/>
                <w:sz w:val="24"/>
                <w:szCs w:val="24"/>
                <w:lang w:val="en-US" w:eastAsia="zh-CN" w:bidi="ar"/>
              </w:rPr>
              <w:t>（2）</w:t>
            </w:r>
            <w:r>
              <w:rPr>
                <w:rFonts w:hint="default" w:ascii="Times New Roman" w:hAnsi="Times New Roman" w:eastAsia="仿宋" w:cs="Times New Roman"/>
                <w:color w:val="auto"/>
                <w:kern w:val="0"/>
                <w:sz w:val="24"/>
                <w:szCs w:val="24"/>
                <w:lang w:val="en-US" w:eastAsia="zh-CN" w:bidi="ar"/>
              </w:rPr>
              <w:t>开采起点、开采方向和分区开采顺序</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kern w:val="2"/>
                <w:sz w:val="24"/>
                <w:szCs w:val="24"/>
                <w:highlight w:val="none"/>
                <w:lang w:val="en-US" w:eastAsia="zh-CN" w:bidi="ar-SA"/>
              </w:rPr>
              <w:t>本项目作为G30连霍高速公路哈密至吐峪沟段改扩建工程取料场，</w:t>
            </w:r>
            <w:r>
              <w:rPr>
                <w:rFonts w:hint="eastAsia" w:ascii="Times New Roman" w:hAnsi="Times New Roman" w:eastAsia="仿宋" w:cs="Times New Roman"/>
                <w:color w:val="auto"/>
                <w:kern w:val="2"/>
                <w:sz w:val="24"/>
                <w:szCs w:val="24"/>
                <w:highlight w:val="none"/>
                <w:lang w:val="en-US" w:eastAsia="zh-CN" w:bidi="ar-SA"/>
              </w:rPr>
              <w:t>该项目于2024年2月取得新疆维吾尔自治区生态环境厅关于《G30连霍高速公路哈密至吐峪沟段改扩建工程环境影响报告表的批复》，于2024年1月～2026年12月施工，建设工期3年，</w:t>
            </w:r>
            <w:r>
              <w:rPr>
                <w:rFonts w:hint="eastAsia" w:eastAsia="仿宋" w:cs="Times New Roman"/>
                <w:color w:val="auto"/>
                <w:kern w:val="2"/>
                <w:sz w:val="24"/>
                <w:szCs w:val="24"/>
                <w:highlight w:val="none"/>
                <w:lang w:val="en-US" w:eastAsia="zh-CN" w:bidi="ar-SA"/>
              </w:rPr>
              <w:t>由环评报告可知，本项共设置取土场26个，主要用于主体工程填筑砂砾石料、碎石及砾土，填方量共计22537054m</w:t>
            </w:r>
            <w:r>
              <w:rPr>
                <w:rFonts w:hint="eastAsia" w:eastAsia="仿宋" w:cs="Times New Roman"/>
                <w:color w:val="auto"/>
                <w:kern w:val="2"/>
                <w:sz w:val="24"/>
                <w:szCs w:val="24"/>
                <w:highlight w:val="none"/>
                <w:vertAlign w:val="superscript"/>
                <w:lang w:val="en-US" w:eastAsia="zh-CN" w:bidi="ar-SA"/>
              </w:rPr>
              <w:t>3</w:t>
            </w:r>
            <w:r>
              <w:rPr>
                <w:rFonts w:hint="eastAsia" w:eastAsia="仿宋" w:cs="Times New Roman"/>
                <w:color w:val="auto"/>
                <w:kern w:val="2"/>
                <w:sz w:val="24"/>
                <w:szCs w:val="24"/>
                <w:highlight w:val="none"/>
                <w:lang w:val="en-US" w:eastAsia="zh-CN" w:bidi="ar-SA"/>
              </w:rPr>
              <w:t>，</w:t>
            </w:r>
            <w:r>
              <w:rPr>
                <w:rFonts w:hint="eastAsia" w:eastAsia="仿宋" w:cs="Times New Roman"/>
                <w:color w:val="auto"/>
                <w:kern w:val="0"/>
                <w:sz w:val="24"/>
                <w:szCs w:val="24"/>
                <w:lang w:val="en-US" w:eastAsia="zh-CN" w:bidi="ar"/>
              </w:rPr>
              <w:t>为了保证最终边帮的稳定性和下部水平的工作安全，根据</w:t>
            </w:r>
            <w:r>
              <w:rPr>
                <w:rFonts w:hint="default" w:ascii="Times New Roman" w:hAnsi="Times New Roman" w:eastAsia="仿宋" w:cs="Times New Roman"/>
                <w:color w:val="auto"/>
                <w:sz w:val="24"/>
                <w:szCs w:val="24"/>
                <w:lang w:val="en-US" w:eastAsia="zh-CN"/>
              </w:rPr>
              <w:t>《</w:t>
            </w:r>
            <w:r>
              <w:rPr>
                <w:rFonts w:hint="eastAsia" w:eastAsia="仿宋" w:cs="Times New Roman"/>
                <w:color w:val="auto"/>
                <w:sz w:val="24"/>
                <w:szCs w:val="24"/>
                <w:lang w:val="en-US" w:eastAsia="zh-CN"/>
              </w:rPr>
              <w:t>新疆鄯善县连木沁镇连木沁坎村北砂石料矿</w:t>
            </w:r>
            <w:r>
              <w:rPr>
                <w:rFonts w:hint="default" w:ascii="Times New Roman" w:hAnsi="Times New Roman" w:eastAsia="仿宋" w:cs="Times New Roman"/>
                <w:color w:val="auto"/>
                <w:sz w:val="24"/>
                <w:szCs w:val="24"/>
                <w:lang w:val="en-US" w:eastAsia="zh-CN"/>
              </w:rPr>
              <w:t>矿产资源开发利用与生态保护修复方案》</w:t>
            </w:r>
            <w:r>
              <w:rPr>
                <w:rFonts w:hint="eastAsia" w:ascii="Times New Roman" w:hAnsi="Times New Roman" w:eastAsia="仿宋" w:cs="Times New Roman"/>
                <w:color w:val="auto"/>
                <w:sz w:val="24"/>
                <w:szCs w:val="24"/>
                <w:lang w:val="en-US" w:eastAsia="zh-CN"/>
              </w:rPr>
              <w:t>可知，本次开采起点为东北侧，由北向南，自上而下，分水平、分台阶开采。</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kern w:val="0"/>
                <w:sz w:val="24"/>
                <w:szCs w:val="24"/>
                <w:lang w:val="en-US" w:eastAsia="zh-CN" w:bidi="ar"/>
              </w:rPr>
              <w:t>（</w:t>
            </w:r>
            <w:r>
              <w:rPr>
                <w:rFonts w:hint="eastAsia" w:eastAsia="仿宋" w:cs="Times New Roman"/>
                <w:color w:val="auto"/>
                <w:kern w:val="0"/>
                <w:sz w:val="24"/>
                <w:szCs w:val="24"/>
                <w:lang w:val="en-US" w:eastAsia="zh-CN" w:bidi="ar"/>
              </w:rPr>
              <w:t>3</w:t>
            </w:r>
            <w:r>
              <w:rPr>
                <w:rFonts w:hint="default" w:ascii="Times New Roman" w:hAnsi="Times New Roman" w:eastAsia="仿宋" w:cs="Times New Roman"/>
                <w:color w:val="auto"/>
                <w:kern w:val="0"/>
                <w:sz w:val="24"/>
                <w:szCs w:val="24"/>
                <w:lang w:val="en-US" w:eastAsia="zh-CN" w:bidi="ar"/>
              </w:rPr>
              <w:t>）加工工艺过程</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kern w:val="0"/>
                <w:sz w:val="24"/>
                <w:szCs w:val="24"/>
                <w:lang w:val="en-US" w:eastAsia="zh-CN" w:bidi="ar"/>
              </w:rPr>
              <w:t>采、选矿工艺流程：砂石矿→</w:t>
            </w:r>
            <w:r>
              <w:rPr>
                <w:rFonts w:hint="eastAsia" w:eastAsia="仿宋" w:cs="Times New Roman"/>
                <w:color w:val="auto"/>
                <w:kern w:val="0"/>
                <w:sz w:val="24"/>
                <w:szCs w:val="24"/>
                <w:lang w:val="en-US" w:eastAsia="zh-CN" w:bidi="ar"/>
              </w:rPr>
              <w:t>挖掘机</w:t>
            </w:r>
            <w:r>
              <w:rPr>
                <w:rFonts w:hint="default" w:ascii="Times New Roman" w:hAnsi="Times New Roman" w:eastAsia="仿宋" w:cs="Times New Roman"/>
                <w:color w:val="auto"/>
                <w:kern w:val="0"/>
                <w:sz w:val="24"/>
                <w:szCs w:val="24"/>
                <w:lang w:val="en-US" w:eastAsia="zh-CN" w:bidi="ar"/>
              </w:rPr>
              <w:t>露采→汽车运输→工地。</w:t>
            </w:r>
          </w:p>
          <w:p>
            <w:pPr>
              <w:adjustRightInd w:val="0"/>
              <w:snapToGrid w:val="0"/>
              <w:ind w:firstLine="422"/>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4、运输方案</w:t>
            </w:r>
          </w:p>
          <w:p>
            <w:pPr>
              <w:adjustRightInd w:val="0"/>
              <w:snapToGrid w:val="0"/>
              <w:ind w:firstLine="420"/>
              <w:rPr>
                <w:rFonts w:hint="eastAsia" w:ascii="Times New Roman" w:hAnsi="Times New Roman" w:eastAsia="仿宋" w:cs="Times New Roman"/>
                <w:color w:val="auto"/>
                <w:sz w:val="24"/>
                <w:szCs w:val="24"/>
                <w:lang w:val="en-US" w:eastAsia="zh-CN"/>
              </w:rPr>
            </w:pPr>
            <w:r>
              <w:rPr>
                <w:rFonts w:hint="eastAsia" w:eastAsia="仿宋" w:cs="Times New Roman"/>
                <w:color w:val="auto"/>
                <w:sz w:val="24"/>
                <w:szCs w:val="24"/>
                <w:highlight w:val="none"/>
                <w:lang w:val="en-US" w:eastAsia="zh-CN"/>
              </w:rPr>
              <w:t>（1）矿区内道路：根据</w:t>
            </w:r>
            <w:r>
              <w:rPr>
                <w:rFonts w:hint="default" w:ascii="Times New Roman" w:hAnsi="Times New Roman" w:eastAsia="仿宋" w:cs="Times New Roman"/>
                <w:color w:val="auto"/>
                <w:sz w:val="24"/>
                <w:szCs w:val="24"/>
                <w:lang w:val="en-US" w:eastAsia="zh-CN"/>
              </w:rPr>
              <w:t>《</w:t>
            </w:r>
            <w:r>
              <w:rPr>
                <w:rFonts w:hint="eastAsia" w:eastAsia="仿宋" w:cs="Times New Roman"/>
                <w:color w:val="auto"/>
                <w:sz w:val="24"/>
                <w:szCs w:val="24"/>
                <w:lang w:val="en-US" w:eastAsia="zh-CN"/>
              </w:rPr>
              <w:t>新疆鄯善县连木沁镇连木沁坎村北砂石料矿</w:t>
            </w:r>
            <w:r>
              <w:rPr>
                <w:rFonts w:hint="default" w:ascii="Times New Roman" w:hAnsi="Times New Roman" w:eastAsia="仿宋" w:cs="Times New Roman"/>
                <w:color w:val="auto"/>
                <w:sz w:val="24"/>
                <w:szCs w:val="24"/>
                <w:lang w:val="en-US" w:eastAsia="zh-CN"/>
              </w:rPr>
              <w:t>矿产资源开发利用与生态保护修复方案》可知</w:t>
            </w:r>
            <w:r>
              <w:rPr>
                <w:rFonts w:hint="eastAsia" w:ascii="Times New Roman" w:hAnsi="Times New Roman" w:eastAsia="仿宋" w:cs="Times New Roman"/>
                <w:color w:val="auto"/>
                <w:sz w:val="24"/>
                <w:szCs w:val="24"/>
                <w:lang w:val="en-US" w:eastAsia="zh-CN"/>
              </w:rPr>
              <w:t>，矿山拟设新建道路为三级道路，由矿区外西南部砂石路通往露天采场，路基宽6米，路面宽4.5米，最小转弯半径15米，道路连接露天采场及矿山地面布局。占地面积约1300平方米，其中矿区内道路1000平方米，矿区外道路300平方米。</w:t>
            </w:r>
          </w:p>
          <w:p>
            <w:pPr>
              <w:adjustRightInd w:val="0"/>
              <w:snapToGrid w:val="0"/>
              <w:ind w:firstLine="422"/>
              <w:rPr>
                <w:rFonts w:hint="default" w:ascii="Times New Roman" w:hAnsi="Times New Roman" w:eastAsia="仿宋" w:cs="Times New Roman"/>
                <w:b/>
                <w:color w:val="auto"/>
                <w:kern w:val="0"/>
                <w:sz w:val="24"/>
                <w:szCs w:val="24"/>
                <w:lang w:val="en-US" w:eastAsia="zh-CN"/>
              </w:rPr>
            </w:pPr>
            <w:r>
              <w:rPr>
                <w:rFonts w:hint="eastAsia" w:eastAsia="仿宋" w:cs="Times New Roman"/>
                <w:color w:val="auto"/>
                <w:sz w:val="24"/>
                <w:szCs w:val="24"/>
                <w:lang w:val="en-US" w:eastAsia="zh-CN"/>
              </w:rPr>
              <w:t>（2）矿区外道路：</w:t>
            </w:r>
            <w:r>
              <w:rPr>
                <w:rFonts w:hint="eastAsia" w:eastAsia="仿宋" w:cs="Times New Roman"/>
                <w:color w:val="auto"/>
                <w:sz w:val="24"/>
                <w:szCs w:val="24"/>
                <w:highlight w:val="none"/>
                <w:lang w:val="en-US" w:eastAsia="zh-CN"/>
              </w:rPr>
              <w:t>根据开发利用方案可知，本次新建矿区外道路临时道路，占地面积300平方米，</w:t>
            </w:r>
            <w:r>
              <w:rPr>
                <w:rFonts w:hint="default" w:ascii="Times New Roman" w:hAnsi="Times New Roman" w:eastAsia="仿宋" w:cs="Times New Roman"/>
                <w:color w:val="auto"/>
                <w:sz w:val="24"/>
                <w:szCs w:val="24"/>
              </w:rPr>
              <w:t>泥结碎石路面</w:t>
            </w:r>
            <w:r>
              <w:rPr>
                <w:rFonts w:hint="eastAsia" w:ascii="Times New Roman" w:hAnsi="Times New Roman" w:eastAsia="仿宋" w:cs="Times New Roman"/>
                <w:color w:val="auto"/>
                <w:sz w:val="24"/>
                <w:szCs w:val="24"/>
                <w:lang w:eastAsia="zh-CN"/>
              </w:rPr>
              <w:t>，</w:t>
            </w:r>
            <w:r>
              <w:rPr>
                <w:rFonts w:hint="eastAsia" w:eastAsia="仿宋" w:cs="Times New Roman"/>
                <w:color w:val="auto"/>
                <w:sz w:val="24"/>
                <w:szCs w:val="24"/>
                <w:highlight w:val="none"/>
                <w:lang w:val="en-US" w:eastAsia="zh-CN"/>
              </w:rPr>
              <w:t>道路宽6米。</w:t>
            </w:r>
          </w:p>
          <w:p>
            <w:pPr>
              <w:adjustRightInd w:val="0"/>
              <w:snapToGrid w:val="0"/>
              <w:ind w:firstLine="422"/>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5、产品方案</w:t>
            </w:r>
          </w:p>
          <w:p>
            <w:pPr>
              <w:adjustRightInd w:val="0"/>
              <w:snapToGrid w:val="0"/>
              <w:ind w:firstLine="42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4"/>
                <w:szCs w:val="24"/>
              </w:rPr>
              <w:t>本项目矿山开采产品为</w:t>
            </w:r>
            <w:r>
              <w:rPr>
                <w:rFonts w:hint="default" w:ascii="Times New Roman" w:hAnsi="Times New Roman" w:eastAsia="仿宋" w:cs="Times New Roman"/>
                <w:color w:val="auto"/>
                <w:kern w:val="0"/>
                <w:sz w:val="24"/>
                <w:szCs w:val="24"/>
                <w:lang w:eastAsia="zh-CN"/>
              </w:rPr>
              <w:t>路基填筑料</w:t>
            </w:r>
            <w:r>
              <w:rPr>
                <w:rFonts w:hint="eastAsia"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rPr>
              <w:t>主要产品规格见表2-4。</w:t>
            </w:r>
          </w:p>
          <w:p>
            <w:pPr>
              <w:pStyle w:val="41"/>
              <w:spacing w:line="240" w:lineRule="auto"/>
              <w:ind w:firstLine="422" w:firstLineChars="20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表2-4产品方案一览表</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698"/>
              <w:gridCol w:w="3569"/>
              <w:gridCol w:w="1453"/>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9" w:type="pct"/>
                  <w:vMerge w:val="restart"/>
                  <w:vAlign w:val="center"/>
                </w:tcPr>
                <w:p>
                  <w:pPr>
                    <w:pStyle w:val="44"/>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序号</w:t>
                  </w:r>
                </w:p>
              </w:tc>
              <w:tc>
                <w:tcPr>
                  <w:tcW w:w="951" w:type="pct"/>
                  <w:vMerge w:val="restart"/>
                  <w:vAlign w:val="center"/>
                </w:tcPr>
                <w:p>
                  <w:pPr>
                    <w:pStyle w:val="44"/>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名称</w:t>
                  </w:r>
                </w:p>
              </w:tc>
              <w:tc>
                <w:tcPr>
                  <w:tcW w:w="1999" w:type="pct"/>
                  <w:vMerge w:val="restart"/>
                  <w:vAlign w:val="center"/>
                </w:tcPr>
                <w:p>
                  <w:pPr>
                    <w:pStyle w:val="44"/>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规格</w:t>
                  </w:r>
                </w:p>
              </w:tc>
              <w:tc>
                <w:tcPr>
                  <w:tcW w:w="1629" w:type="pct"/>
                  <w:gridSpan w:val="2"/>
                  <w:vAlign w:val="center"/>
                </w:tcPr>
                <w:p>
                  <w:pPr>
                    <w:pStyle w:val="44"/>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9"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rPr>
                  </w:pPr>
                </w:p>
              </w:tc>
              <w:tc>
                <w:tcPr>
                  <w:tcW w:w="951"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rPr>
                  </w:pPr>
                </w:p>
              </w:tc>
              <w:tc>
                <w:tcPr>
                  <w:tcW w:w="1999"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rPr>
                  </w:pPr>
                </w:p>
              </w:tc>
              <w:tc>
                <w:tcPr>
                  <w:tcW w:w="814" w:type="pct"/>
                  <w:vAlign w:val="center"/>
                </w:tcPr>
                <w:p>
                  <w:pPr>
                    <w:pStyle w:val="44"/>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万m</w:t>
                  </w:r>
                  <w:r>
                    <w:rPr>
                      <w:rFonts w:hint="default" w:ascii="Times New Roman" w:hAnsi="Times New Roman" w:eastAsia="仿宋" w:cs="Times New Roman"/>
                      <w:color w:val="auto"/>
                      <w:sz w:val="21"/>
                      <w:szCs w:val="21"/>
                      <w:vertAlign w:val="superscript"/>
                    </w:rPr>
                    <w:t>3</w:t>
                  </w:r>
                  <w:r>
                    <w:rPr>
                      <w:rFonts w:hint="default" w:ascii="Times New Roman" w:hAnsi="Times New Roman" w:eastAsia="仿宋" w:cs="Times New Roman"/>
                      <w:color w:val="auto"/>
                      <w:sz w:val="21"/>
                      <w:szCs w:val="21"/>
                    </w:rPr>
                    <w:t>/a</w:t>
                  </w:r>
                </w:p>
              </w:tc>
              <w:tc>
                <w:tcPr>
                  <w:tcW w:w="815" w:type="pct"/>
                  <w:vAlign w:val="center"/>
                </w:tcPr>
                <w:p>
                  <w:pPr>
                    <w:pStyle w:val="44"/>
                    <w:spacing w:line="240" w:lineRule="auto"/>
                    <w:ind w:firstLine="0" w:firstLineChars="0"/>
                    <w:rPr>
                      <w:rFonts w:hint="default" w:ascii="Times New Roman" w:hAnsi="Times New Roman" w:eastAsia="仿宋" w:cs="Times New Roman"/>
                      <w:color w:val="auto"/>
                      <w:sz w:val="21"/>
                      <w:szCs w:val="21"/>
                    </w:rPr>
                  </w:pPr>
                  <w:r>
                    <w:rPr>
                      <w:rFonts w:hint="eastAsia" w:eastAsia="仿宋" w:cs="Times New Roman"/>
                      <w:color w:val="auto"/>
                      <w:sz w:val="21"/>
                      <w:szCs w:val="21"/>
                      <w:lang w:val="en-US" w:eastAsia="zh-CN"/>
                    </w:rPr>
                    <w:t>万t</w:t>
                  </w:r>
                  <w:r>
                    <w:rPr>
                      <w:rFonts w:hint="default" w:ascii="Times New Roman" w:hAnsi="Times New Roman" w:eastAsia="仿宋" w:cs="Times New Roman"/>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9" w:type="pct"/>
                  <w:vAlign w:val="center"/>
                </w:tcPr>
                <w:p>
                  <w:pPr>
                    <w:pStyle w:val="44"/>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51" w:type="pct"/>
                  <w:vAlign w:val="center"/>
                </w:tcPr>
                <w:p>
                  <w:pPr>
                    <w:pStyle w:val="44"/>
                    <w:spacing w:line="240" w:lineRule="auto"/>
                    <w:ind w:firstLine="0" w:firstLineChars="0"/>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路基填筑料</w:t>
                  </w:r>
                </w:p>
              </w:tc>
              <w:tc>
                <w:tcPr>
                  <w:tcW w:w="1999" w:type="pct"/>
                  <w:vAlign w:val="center"/>
                </w:tcPr>
                <w:p>
                  <w:pPr>
                    <w:pStyle w:val="44"/>
                    <w:spacing w:line="240" w:lineRule="auto"/>
                    <w:ind w:firstLine="0" w:firstLineChars="0"/>
                    <w:rPr>
                      <w:rFonts w:hint="default" w:ascii="Times New Roman" w:hAnsi="Times New Roman" w:eastAsia="仿宋" w:cs="Times New Roman"/>
                      <w:color w:val="auto"/>
                      <w:sz w:val="21"/>
                      <w:szCs w:val="21"/>
                      <w:lang w:val="en-US"/>
                    </w:rPr>
                  </w:pPr>
                  <w:r>
                    <w:rPr>
                      <w:rFonts w:hint="eastAsia" w:eastAsia="仿宋" w:cs="Times New Roman"/>
                      <w:color w:val="auto"/>
                      <w:sz w:val="21"/>
                      <w:szCs w:val="21"/>
                      <w:lang w:val="en-US" w:eastAsia="zh-CN"/>
                    </w:rPr>
                    <w:t>0.5-2cm</w:t>
                  </w:r>
                </w:p>
              </w:tc>
              <w:tc>
                <w:tcPr>
                  <w:tcW w:w="814" w:type="pct"/>
                  <w:vAlign w:val="center"/>
                </w:tcPr>
                <w:p>
                  <w:pPr>
                    <w:pStyle w:val="44"/>
                    <w:spacing w:line="240" w:lineRule="auto"/>
                    <w:ind w:firstLine="0" w:firstLineChars="0"/>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15</w:t>
                  </w:r>
                </w:p>
              </w:tc>
              <w:tc>
                <w:tcPr>
                  <w:tcW w:w="815" w:type="pct"/>
                  <w:vAlign w:val="center"/>
                </w:tcPr>
                <w:p>
                  <w:pPr>
                    <w:pStyle w:val="44"/>
                    <w:spacing w:line="240" w:lineRule="auto"/>
                    <w:ind w:firstLine="0" w:firstLineChars="0"/>
                    <w:rPr>
                      <w:rFonts w:hint="default" w:eastAsia="仿宋" w:cs="Times New Roman"/>
                      <w:color w:val="auto"/>
                      <w:sz w:val="21"/>
                      <w:szCs w:val="21"/>
                      <w:lang w:val="en-US" w:eastAsia="zh-CN"/>
                    </w:rPr>
                  </w:pPr>
                  <w:r>
                    <w:rPr>
                      <w:rFonts w:hint="eastAsia" w:eastAsia="仿宋" w:cs="Times New Roman"/>
                      <w:color w:val="auto"/>
                      <w:sz w:val="21"/>
                      <w:szCs w:val="21"/>
                      <w:lang w:val="en-US" w:eastAsia="zh-CN"/>
                    </w:rPr>
                    <w:t>22.5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2"/>
              <w:textAlignment w:val="auto"/>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备注：</w:t>
            </w:r>
            <w:r>
              <w:rPr>
                <w:rFonts w:hint="default" w:ascii="Times New Roman" w:hAnsi="Times New Roman" w:eastAsia="仿宋" w:cs="Times New Roman"/>
                <w:color w:val="auto"/>
                <w:sz w:val="21"/>
                <w:szCs w:val="21"/>
                <w:lang w:val="en-GB"/>
              </w:rPr>
              <w:t>建筑用砂比重根据经验值选择1.</w:t>
            </w:r>
            <w:r>
              <w:rPr>
                <w:rFonts w:hint="default" w:ascii="Times New Roman" w:hAnsi="Times New Roman" w:eastAsia="仿宋" w:cs="Times New Roman"/>
                <w:color w:val="auto"/>
                <w:sz w:val="21"/>
                <w:szCs w:val="21"/>
                <w:lang w:val="en-US" w:eastAsia="zh-CN"/>
              </w:rPr>
              <w:t>5</w:t>
            </w:r>
            <w:r>
              <w:rPr>
                <w:rFonts w:hint="default" w:ascii="Times New Roman" w:hAnsi="Times New Roman" w:eastAsia="仿宋" w:cs="Times New Roman"/>
                <w:color w:val="auto"/>
                <w:sz w:val="21"/>
                <w:szCs w:val="21"/>
                <w:lang w:val="en-GB"/>
              </w:rPr>
              <w:t>吨/立方米</w:t>
            </w:r>
            <w:r>
              <w:rPr>
                <w:rFonts w:hint="eastAsia" w:eastAsia="仿宋" w:cs="Times New Roman"/>
                <w:color w:val="auto"/>
                <w:sz w:val="21"/>
                <w:szCs w:val="21"/>
                <w:lang w:val="en-GB" w:eastAsia="zh-CN"/>
              </w:rPr>
              <w:t>，</w:t>
            </w:r>
            <w:r>
              <w:rPr>
                <w:rFonts w:hint="eastAsia" w:eastAsia="仿宋" w:cs="Times New Roman"/>
                <w:color w:val="auto"/>
                <w:sz w:val="21"/>
                <w:szCs w:val="21"/>
                <w:lang w:val="en-US" w:eastAsia="zh-CN"/>
              </w:rPr>
              <w:t>根据《新疆鄯善县连木沁镇连木沁坎村北砂石料矿矿产资源开发利用与生态保护修复方案》可知，</w:t>
            </w:r>
            <w:r>
              <w:rPr>
                <w:rFonts w:hint="eastAsia" w:eastAsia="仿宋" w:cs="Times New Roman"/>
                <w:color w:val="auto"/>
                <w:sz w:val="21"/>
                <w:szCs w:val="21"/>
                <w:lang w:val="en-GB" w:eastAsia="zh-CN"/>
              </w:rPr>
              <w:t>该矿山矿石主要用于周边道路的路基修筑，矿山矿石可直接利用，无需筛分，因此设计矿山产品方案为换填用料砂石原矿。</w:t>
            </w:r>
          </w:p>
          <w:p>
            <w:pPr>
              <w:keepNext w:val="0"/>
              <w:keepLines w:val="0"/>
              <w:pageBreakBefore w:val="0"/>
              <w:widowControl w:val="0"/>
              <w:kinsoku/>
              <w:wordWrap/>
              <w:overflowPunct/>
              <w:topLinePunct w:val="0"/>
              <w:autoSpaceDE/>
              <w:autoSpaceDN/>
              <w:bidi w:val="0"/>
              <w:adjustRightInd w:val="0"/>
              <w:snapToGrid w:val="0"/>
              <w:spacing w:line="360" w:lineRule="auto"/>
              <w:ind w:firstLine="422"/>
              <w:textAlignment w:val="auto"/>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6、主要生产设备</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本项目主要生产设备见下表：</w:t>
            </w:r>
          </w:p>
          <w:p>
            <w:pPr>
              <w:pStyle w:val="41"/>
              <w:spacing w:line="240" w:lineRule="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表2-5主要生产设备一览表</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855"/>
              <w:gridCol w:w="3334"/>
              <w:gridCol w:w="764"/>
              <w:gridCol w:w="814"/>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序号</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设备名称</w:t>
                  </w:r>
                </w:p>
              </w:tc>
              <w:tc>
                <w:tcPr>
                  <w:tcW w:w="18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型号规格</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单位</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数量</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一</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采矿设备</w:t>
                  </w:r>
                </w:p>
              </w:tc>
              <w:tc>
                <w:tcPr>
                  <w:tcW w:w="1867"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Times New Roman" w:hAnsi="Times New Roman" w:eastAsia="仿宋" w:cs="Times New Roman"/>
                      <w:color w:val="auto"/>
                      <w:kern w:val="0"/>
                      <w:sz w:val="21"/>
                      <w:szCs w:val="21"/>
                      <w:lang w:val="en-US" w:eastAsia="zh-CN" w:bidi="ar-SA"/>
                    </w:rPr>
                  </w:pP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45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全液压挖掘机</w:t>
                  </w:r>
                </w:p>
              </w:tc>
              <w:tc>
                <w:tcPr>
                  <w:tcW w:w="18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挖掘机斗容</w:t>
                  </w:r>
                  <w:r>
                    <w:rPr>
                      <w:rFonts w:hint="eastAsia" w:eastAsia="仿宋" w:cs="Times New Roman"/>
                      <w:color w:val="auto"/>
                      <w:kern w:val="0"/>
                      <w:sz w:val="21"/>
                      <w:szCs w:val="21"/>
                      <w:lang w:val="en-US" w:eastAsia="zh-CN" w:bidi="ar-SA"/>
                    </w:rPr>
                    <w:t>，</w:t>
                  </w:r>
                  <w:r>
                    <w:rPr>
                      <w:rFonts w:hint="eastAsia" w:ascii="Times New Roman" w:hAnsi="Times New Roman" w:eastAsia="仿宋" w:cs="Times New Roman"/>
                      <w:color w:val="auto"/>
                      <w:kern w:val="0"/>
                      <w:sz w:val="21"/>
                      <w:szCs w:val="21"/>
                      <w:lang w:val="en-US" w:eastAsia="zh-CN" w:bidi="ar-SA"/>
                    </w:rPr>
                    <w:t>1.54m</w:t>
                  </w:r>
                  <w:r>
                    <w:rPr>
                      <w:rFonts w:hint="eastAsia" w:eastAsia="仿宋" w:cs="Times New Roman"/>
                      <w:color w:val="auto"/>
                      <w:kern w:val="0"/>
                      <w:sz w:val="21"/>
                      <w:szCs w:val="21"/>
                      <w:vertAlign w:val="superscript"/>
                      <w:lang w:val="en-US" w:eastAsia="zh-CN" w:bidi="ar-SA"/>
                    </w:rPr>
                    <w:t>3</w:t>
                  </w:r>
                  <w:r>
                    <w:rPr>
                      <w:rFonts w:hint="eastAsia" w:ascii="Times New Roman" w:hAnsi="Times New Roman" w:eastAsia="仿宋" w:cs="Times New Roman"/>
                      <w:color w:val="auto"/>
                      <w:kern w:val="0"/>
                      <w:sz w:val="21"/>
                      <w:szCs w:val="21"/>
                      <w:lang w:val="en-US" w:eastAsia="zh-CN" w:bidi="ar-SA"/>
                    </w:rPr>
                    <w:t>，最大挖掘高度9.68m。</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台</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eastAsia="仿宋" w:cs="Times New Roman"/>
                      <w:color w:val="auto"/>
                      <w:kern w:val="0"/>
                      <w:sz w:val="21"/>
                      <w:szCs w:val="21"/>
                      <w:lang w:val="en-US" w:eastAsia="zh-CN" w:bidi="ar-SA"/>
                    </w:rPr>
                    <w:t>3</w:t>
                  </w:r>
                </w:p>
              </w:tc>
              <w:tc>
                <w:tcPr>
                  <w:tcW w:w="74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二手机械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2</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轮胎式装载机</w:t>
                  </w:r>
                </w:p>
              </w:tc>
              <w:tc>
                <w:tcPr>
                  <w:tcW w:w="18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ZL50</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台</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二手机械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4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3</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矿用自卸卡车</w:t>
                  </w:r>
                </w:p>
              </w:tc>
              <w:tc>
                <w:tcPr>
                  <w:tcW w:w="18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eastAsia="仿宋" w:cs="Times New Roman"/>
                      <w:color w:val="auto"/>
                      <w:kern w:val="0"/>
                      <w:sz w:val="21"/>
                      <w:szCs w:val="21"/>
                      <w:lang w:val="en-US" w:eastAsia="zh-CN" w:bidi="ar-SA"/>
                    </w:rPr>
                    <w:t>30</w:t>
                  </w:r>
                  <w:r>
                    <w:rPr>
                      <w:rFonts w:hint="eastAsia" w:ascii="Times New Roman" w:hAnsi="Times New Roman" w:eastAsia="仿宋" w:cs="Times New Roman"/>
                      <w:color w:val="auto"/>
                      <w:kern w:val="0"/>
                      <w:sz w:val="21"/>
                      <w:szCs w:val="21"/>
                      <w:lang w:val="en-US" w:eastAsia="zh-CN" w:bidi="ar-SA"/>
                    </w:rPr>
                    <w:t>t</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辆</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eastAsia="仿宋" w:cs="Times New Roman"/>
                      <w:color w:val="auto"/>
                      <w:kern w:val="0"/>
                      <w:sz w:val="21"/>
                      <w:szCs w:val="21"/>
                      <w:lang w:val="en-US" w:eastAsia="zh-CN" w:bidi="ar-SA"/>
                    </w:rPr>
                    <w:t>4</w:t>
                  </w:r>
                </w:p>
              </w:tc>
              <w:tc>
                <w:tcPr>
                  <w:tcW w:w="74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二手机械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二</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辅助设备</w:t>
                  </w:r>
                </w:p>
              </w:tc>
              <w:tc>
                <w:tcPr>
                  <w:tcW w:w="1867"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45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供电设备</w:t>
                  </w:r>
                </w:p>
              </w:tc>
              <w:tc>
                <w:tcPr>
                  <w:tcW w:w="1867"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45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柴油发电机</w:t>
                  </w:r>
                </w:p>
              </w:tc>
              <w:tc>
                <w:tcPr>
                  <w:tcW w:w="1867"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台</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2</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机修设备</w:t>
                  </w:r>
                </w:p>
              </w:tc>
              <w:tc>
                <w:tcPr>
                  <w:tcW w:w="1867"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45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交流电焊机</w:t>
                  </w:r>
                </w:p>
              </w:tc>
              <w:tc>
                <w:tcPr>
                  <w:tcW w:w="18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BX350</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台</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三</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公用设施</w:t>
                  </w:r>
                </w:p>
              </w:tc>
              <w:tc>
                <w:tcPr>
                  <w:tcW w:w="1867"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45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储水罐</w:t>
                  </w:r>
                </w:p>
              </w:tc>
              <w:tc>
                <w:tcPr>
                  <w:tcW w:w="18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10m</w:t>
                  </w:r>
                  <w:r>
                    <w:rPr>
                      <w:rFonts w:hint="eastAsia" w:eastAsia="仿宋" w:cs="Times New Roman"/>
                      <w:color w:val="auto"/>
                      <w:kern w:val="0"/>
                      <w:sz w:val="21"/>
                      <w:szCs w:val="21"/>
                      <w:vertAlign w:val="superscript"/>
                      <w:lang w:val="en-US" w:eastAsia="zh-CN" w:bidi="ar-SA"/>
                    </w:rPr>
                    <w:t>3</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个</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2</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皮卡车</w:t>
                  </w:r>
                </w:p>
              </w:tc>
              <w:tc>
                <w:tcPr>
                  <w:tcW w:w="1867"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辆</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二手机械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3</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洒水车</w:t>
                  </w:r>
                </w:p>
              </w:tc>
              <w:tc>
                <w:tcPr>
                  <w:tcW w:w="18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10t</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辆</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二手机械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4</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通信设备</w:t>
                  </w:r>
                </w:p>
              </w:tc>
              <w:tc>
                <w:tcPr>
                  <w:tcW w:w="18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对讲机</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部</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6</w:t>
                  </w:r>
                </w:p>
              </w:tc>
              <w:tc>
                <w:tcPr>
                  <w:tcW w:w="74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bl>
          <w:p>
            <w:pPr>
              <w:keepNext w:val="0"/>
              <w:keepLines w:val="0"/>
              <w:pageBreakBefore w:val="0"/>
              <w:widowControl w:val="0"/>
              <w:kinsoku/>
              <w:wordWrap/>
              <w:overflowPunct/>
              <w:topLinePunct w:val="0"/>
              <w:autoSpaceDE/>
              <w:autoSpaceDN/>
              <w:bidi w:val="0"/>
              <w:adjustRightInd/>
              <w:snapToGrid/>
              <w:ind w:left="0" w:leftChars="0" w:right="105" w:rightChars="50" w:firstLine="482" w:firstLineChars="200"/>
              <w:jc w:val="left"/>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7、公用工程</w:t>
            </w:r>
          </w:p>
          <w:p>
            <w:pPr>
              <w:keepNext w:val="0"/>
              <w:keepLines w:val="0"/>
              <w:pageBreakBefore w:val="0"/>
              <w:widowControl w:val="0"/>
              <w:kinsoku/>
              <w:wordWrap/>
              <w:overflowPunct/>
              <w:topLinePunct w:val="0"/>
              <w:autoSpaceDE/>
              <w:autoSpaceDN/>
              <w:bidi w:val="0"/>
              <w:adjustRightInd/>
              <w:snapToGrid/>
              <w:ind w:right="105" w:rightChars="50" w:firstLine="422"/>
              <w:jc w:val="left"/>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7.</w:t>
            </w:r>
            <w:r>
              <w:rPr>
                <w:rFonts w:hint="default" w:ascii="Times New Roman" w:hAnsi="Times New Roman" w:eastAsia="仿宋" w:cs="Times New Roman"/>
                <w:b/>
                <w:color w:val="auto"/>
                <w:sz w:val="24"/>
                <w:szCs w:val="24"/>
                <w:lang w:val="en-US" w:eastAsia="zh-CN"/>
              </w:rPr>
              <w:t>1</w:t>
            </w:r>
            <w:r>
              <w:rPr>
                <w:rFonts w:hint="default" w:ascii="Times New Roman" w:hAnsi="Times New Roman" w:eastAsia="仿宋" w:cs="Times New Roman"/>
                <w:b/>
                <w:color w:val="auto"/>
                <w:sz w:val="24"/>
                <w:szCs w:val="24"/>
              </w:rPr>
              <w:t>供电</w:t>
            </w:r>
          </w:p>
          <w:p>
            <w:pPr>
              <w:keepNext w:val="0"/>
              <w:keepLines w:val="0"/>
              <w:pageBreakBefore w:val="0"/>
              <w:widowControl w:val="0"/>
              <w:kinsoku/>
              <w:wordWrap/>
              <w:overflowPunct/>
              <w:topLinePunct w:val="0"/>
              <w:bidi w:val="0"/>
              <w:adjustRightInd/>
              <w:snapToGrid/>
              <w:ind w:right="105" w:rightChars="50" w:firstLine="422"/>
              <w:jc w:val="left"/>
              <w:textAlignment w:val="auto"/>
              <w:rPr>
                <w:rFonts w:hint="default"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根据</w:t>
            </w:r>
            <w:r>
              <w:rPr>
                <w:rFonts w:hint="default" w:ascii="Times New Roman" w:hAnsi="Times New Roman" w:eastAsia="仿宋" w:cs="Times New Roman"/>
                <w:color w:val="auto"/>
                <w:sz w:val="24"/>
                <w:szCs w:val="24"/>
                <w:lang w:val="en-US" w:eastAsia="zh-CN"/>
              </w:rPr>
              <w:t>《</w:t>
            </w:r>
            <w:r>
              <w:rPr>
                <w:rFonts w:hint="eastAsia" w:eastAsia="仿宋" w:cs="Times New Roman"/>
                <w:color w:val="auto"/>
                <w:sz w:val="24"/>
                <w:szCs w:val="24"/>
                <w:lang w:val="en-US" w:eastAsia="zh-CN"/>
              </w:rPr>
              <w:t>新疆鄯善县连木沁镇连木沁坎村北砂石料矿</w:t>
            </w:r>
            <w:r>
              <w:rPr>
                <w:rFonts w:hint="default" w:ascii="Times New Roman" w:hAnsi="Times New Roman" w:eastAsia="仿宋" w:cs="Times New Roman"/>
                <w:color w:val="auto"/>
                <w:sz w:val="24"/>
                <w:szCs w:val="24"/>
                <w:lang w:val="en-US" w:eastAsia="zh-CN"/>
              </w:rPr>
              <w:t>矿产资源开发利用与生态保护修复方案》可知，矿山采矿及相关辅助设备设施均采用柴油设备，因此矿山采矿无需供电。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color w:val="auto"/>
                <w:sz w:val="24"/>
                <w:szCs w:val="24"/>
              </w:rPr>
              <w:t>7.</w:t>
            </w:r>
            <w:r>
              <w:rPr>
                <w:rFonts w:hint="default" w:ascii="Times New Roman" w:hAnsi="Times New Roman" w:eastAsia="仿宋" w:cs="Times New Roman"/>
                <w:b/>
                <w:color w:val="auto"/>
                <w:sz w:val="24"/>
                <w:szCs w:val="24"/>
                <w:lang w:val="en-US" w:eastAsia="zh-CN"/>
              </w:rPr>
              <w:t>2</w:t>
            </w:r>
            <w:r>
              <w:rPr>
                <w:rFonts w:hint="default" w:ascii="Times New Roman" w:hAnsi="Times New Roman" w:eastAsia="仿宋" w:cs="Times New Roman"/>
                <w:b/>
                <w:bCs/>
                <w:color w:val="auto"/>
                <w:sz w:val="24"/>
                <w:szCs w:val="24"/>
                <w:lang w:val="en-US" w:eastAsia="zh-CN"/>
              </w:rPr>
              <w:t>矿山机修</w:t>
            </w:r>
          </w:p>
          <w:p>
            <w:pPr>
              <w:pStyle w:val="36"/>
              <w:keepNext w:val="0"/>
              <w:keepLines w:val="0"/>
              <w:pageBreakBefore w:val="0"/>
              <w:kinsoku/>
              <w:wordWrap/>
              <w:overflowPunct/>
              <w:topLinePunct w:val="0"/>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由于矿山服务年限仅</w:t>
            </w:r>
            <w:r>
              <w:rPr>
                <w:rFonts w:hint="eastAsia" w:ascii="Times New Roman" w:eastAsia="仿宋" w:cs="Times New Roman"/>
                <w:color w:val="auto"/>
                <w:sz w:val="24"/>
                <w:szCs w:val="24"/>
                <w:lang w:val="en-US" w:eastAsia="zh-CN"/>
              </w:rPr>
              <w:t>2.62年</w:t>
            </w:r>
            <w:r>
              <w:rPr>
                <w:rFonts w:hint="default" w:ascii="Times New Roman" w:hAnsi="Times New Roman" w:eastAsia="仿宋" w:cs="Times New Roman"/>
                <w:color w:val="auto"/>
                <w:sz w:val="24"/>
                <w:szCs w:val="24"/>
                <w:lang w:val="en-US" w:eastAsia="zh-CN"/>
              </w:rPr>
              <w:t>，矿区距鄯善县连木沁镇</w:t>
            </w:r>
            <w:r>
              <w:rPr>
                <w:rFonts w:hint="eastAsia" w:ascii="Times New Roman" w:eastAsia="仿宋" w:cs="Times New Roman"/>
                <w:color w:val="auto"/>
                <w:sz w:val="24"/>
                <w:szCs w:val="24"/>
                <w:lang w:val="en-US" w:eastAsia="zh-CN"/>
              </w:rPr>
              <w:t>10.7</w:t>
            </w:r>
            <w:r>
              <w:rPr>
                <w:rFonts w:hint="default" w:ascii="Times New Roman" w:hAnsi="Times New Roman" w:eastAsia="仿宋" w:cs="Times New Roman"/>
                <w:color w:val="auto"/>
                <w:sz w:val="24"/>
                <w:szCs w:val="24"/>
                <w:lang w:val="en-US" w:eastAsia="zh-CN"/>
              </w:rPr>
              <w:t>千米，全程高速，故矿山设备修理依托鄯善县</w:t>
            </w:r>
            <w:r>
              <w:rPr>
                <w:rFonts w:hint="eastAsia" w:eastAsia="仿宋" w:cs="Times New Roman"/>
                <w:color w:val="auto"/>
                <w:sz w:val="24"/>
                <w:szCs w:val="24"/>
                <w:lang w:val="en-US" w:eastAsia="zh-CN"/>
              </w:rPr>
              <w:t>连木沁镇</w:t>
            </w:r>
            <w:r>
              <w:rPr>
                <w:rFonts w:hint="default" w:ascii="Times New Roman" w:hAnsi="Times New Roman" w:eastAsia="仿宋" w:cs="Times New Roman"/>
                <w:color w:val="auto"/>
                <w:sz w:val="24"/>
                <w:szCs w:val="24"/>
                <w:lang w:val="en-US" w:eastAsia="zh-CN"/>
              </w:rPr>
              <w:t>修理厂，设计矿山不</w:t>
            </w:r>
            <w:r>
              <w:rPr>
                <w:rFonts w:hint="eastAsia" w:ascii="Times New Roman" w:eastAsia="仿宋" w:cs="Times New Roman"/>
                <w:color w:val="auto"/>
                <w:sz w:val="24"/>
                <w:szCs w:val="24"/>
                <w:lang w:val="en-US" w:eastAsia="zh-CN"/>
              </w:rPr>
              <w:t>设置</w:t>
            </w:r>
            <w:r>
              <w:rPr>
                <w:rFonts w:hint="default" w:ascii="Times New Roman" w:hAnsi="Times New Roman" w:eastAsia="仿宋" w:cs="Times New Roman"/>
                <w:color w:val="auto"/>
                <w:sz w:val="24"/>
                <w:szCs w:val="24"/>
                <w:lang w:val="en-US" w:eastAsia="zh-CN"/>
              </w:rPr>
              <w:t>设备修理间</w:t>
            </w:r>
            <w:r>
              <w:rPr>
                <w:rFonts w:hint="eastAsia" w:ascii="Times New Roman" w:eastAsia="仿宋" w:cs="Times New Roman"/>
                <w:color w:val="auto"/>
                <w:sz w:val="24"/>
                <w:szCs w:val="24"/>
                <w:lang w:eastAsia="zh-CN"/>
              </w:rPr>
              <w:t>，</w:t>
            </w:r>
            <w:r>
              <w:rPr>
                <w:rFonts w:hint="eastAsia" w:ascii="Times New Roman" w:eastAsia="仿宋" w:cs="Times New Roman"/>
                <w:color w:val="auto"/>
                <w:sz w:val="24"/>
                <w:szCs w:val="24"/>
                <w:lang w:val="en-US" w:eastAsia="zh-CN"/>
              </w:rPr>
              <w:t>因此</w:t>
            </w:r>
            <w:r>
              <w:rPr>
                <w:rFonts w:hint="eastAsia" w:ascii="Times New Roman" w:hAnsi="Times New Roman" w:eastAsia="仿宋" w:cs="Times New Roman"/>
                <w:b w:val="0"/>
                <w:bCs w:val="0"/>
                <w:color w:val="auto"/>
                <w:kern w:val="0"/>
                <w:sz w:val="24"/>
                <w:szCs w:val="24"/>
                <w:lang w:val="en-US" w:eastAsia="zh-CN" w:bidi="ar"/>
              </w:rPr>
              <w:t>施工期及开采期不涉及废机油等危险废物</w:t>
            </w:r>
            <w:r>
              <w:rPr>
                <w:rFonts w:hint="eastAsia" w:ascii="Times New Roman" w:eastAsia="仿宋" w:cs="Times New Roman"/>
                <w:b w:val="0"/>
                <w:bCs w:val="0"/>
                <w:color w:val="auto"/>
                <w:kern w:val="0"/>
                <w:sz w:val="24"/>
                <w:szCs w:val="24"/>
                <w:lang w:val="en-US" w:eastAsia="zh-CN" w:bidi="ar"/>
              </w:rPr>
              <w:t>。</w:t>
            </w:r>
          </w:p>
          <w:p>
            <w:pPr>
              <w:keepNext w:val="0"/>
              <w:keepLines w:val="0"/>
              <w:pageBreakBefore w:val="0"/>
              <w:kinsoku/>
              <w:wordWrap/>
              <w:overflowPunct/>
              <w:topLinePunct w:val="0"/>
              <w:bidi w:val="0"/>
              <w:adjustRightInd/>
              <w:snapToGrid/>
              <w:ind w:right="105" w:rightChars="50" w:firstLine="422"/>
              <w:jc w:val="left"/>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7.</w:t>
            </w:r>
            <w:r>
              <w:rPr>
                <w:rFonts w:hint="eastAsia" w:eastAsia="仿宋" w:cs="Times New Roman"/>
                <w:b/>
                <w:color w:val="auto"/>
                <w:sz w:val="24"/>
                <w:szCs w:val="24"/>
                <w:lang w:val="en-US" w:eastAsia="zh-CN"/>
              </w:rPr>
              <w:t>3</w:t>
            </w:r>
            <w:r>
              <w:rPr>
                <w:rFonts w:hint="default" w:ascii="Times New Roman" w:hAnsi="Times New Roman" w:eastAsia="仿宋" w:cs="Times New Roman"/>
                <w:b/>
                <w:color w:val="auto"/>
                <w:sz w:val="24"/>
                <w:szCs w:val="24"/>
              </w:rPr>
              <w:t>供水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根据项目开发利用与生态保护修复方案可知，矿区产品为路基建筑用，不需要筛分、水洗，主要为洒水降尘用。矿区距</w:t>
            </w:r>
            <w:r>
              <w:rPr>
                <w:rFonts w:hint="eastAsia" w:eastAsia="仿宋" w:cs="Times New Roman"/>
                <w:color w:val="auto"/>
                <w:sz w:val="24"/>
                <w:szCs w:val="24"/>
                <w:lang w:val="en-US" w:eastAsia="zh-CN"/>
              </w:rPr>
              <w:t>连木沁镇10.7</w:t>
            </w:r>
            <w:r>
              <w:rPr>
                <w:rFonts w:hint="default" w:ascii="Times New Roman" w:hAnsi="Times New Roman" w:eastAsia="仿宋" w:cs="Times New Roman"/>
                <w:color w:val="auto"/>
                <w:sz w:val="24"/>
                <w:szCs w:val="24"/>
                <w:lang w:val="en-US" w:eastAsia="zh-CN"/>
              </w:rPr>
              <w:t>千米，设计矿山配备</w:t>
            </w:r>
            <w:r>
              <w:rPr>
                <w:rFonts w:hint="eastAsia"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lang w:val="en-US" w:eastAsia="zh-CN"/>
              </w:rPr>
              <w:t>台20m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水车，生产用水自鄯善</w:t>
            </w:r>
            <w:r>
              <w:rPr>
                <w:rFonts w:hint="eastAsia" w:eastAsia="仿宋" w:cs="Times New Roman"/>
                <w:color w:val="auto"/>
                <w:sz w:val="24"/>
                <w:szCs w:val="24"/>
                <w:lang w:val="en-US" w:eastAsia="zh-CN"/>
              </w:rPr>
              <w:t>连木沁镇</w:t>
            </w:r>
            <w:r>
              <w:rPr>
                <w:rFonts w:hint="default" w:ascii="Times New Roman" w:hAnsi="Times New Roman" w:eastAsia="仿宋" w:cs="Times New Roman"/>
                <w:color w:val="auto"/>
                <w:sz w:val="24"/>
                <w:szCs w:val="24"/>
                <w:lang w:val="en-US" w:eastAsia="zh-CN"/>
              </w:rPr>
              <w:t>拉运。</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eastAsia="zh-CN"/>
              </w:rPr>
              <w:t>（</w:t>
            </w:r>
            <w:r>
              <w:rPr>
                <w:rFonts w:hint="default" w:ascii="Times New Roman" w:hAnsi="Times New Roman" w:eastAsia="仿宋" w:cs="Times New Roman"/>
                <w:color w:val="auto"/>
                <w:kern w:val="0"/>
                <w:sz w:val="24"/>
                <w:szCs w:val="24"/>
                <w:highlight w:val="none"/>
                <w:lang w:val="en-US" w:eastAsia="zh-CN"/>
              </w:rPr>
              <w:t>1</w:t>
            </w:r>
            <w:r>
              <w:rPr>
                <w:rFonts w:hint="default" w:ascii="Times New Roman" w:hAnsi="Times New Roman" w:eastAsia="仿宋" w:cs="Times New Roman"/>
                <w:color w:val="auto"/>
                <w:kern w:val="0"/>
                <w:sz w:val="24"/>
                <w:szCs w:val="24"/>
                <w:highlight w:val="none"/>
                <w:lang w:eastAsia="zh-CN"/>
              </w:rPr>
              <w:t>）</w:t>
            </w:r>
            <w:r>
              <w:rPr>
                <w:rFonts w:hint="default" w:ascii="Times New Roman" w:hAnsi="Times New Roman" w:eastAsia="仿宋" w:cs="Times New Roman"/>
                <w:color w:val="auto"/>
                <w:kern w:val="0"/>
                <w:sz w:val="24"/>
                <w:szCs w:val="24"/>
                <w:highlight w:val="none"/>
              </w:rPr>
              <w:t>降尘用水</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fldChar w:fldCharType="begin"/>
            </w:r>
            <w:r>
              <w:rPr>
                <w:rFonts w:hint="default" w:ascii="Times New Roman" w:hAnsi="Times New Roman" w:eastAsia="仿宋" w:cs="Times New Roman"/>
                <w:color w:val="auto"/>
                <w:kern w:val="0"/>
                <w:sz w:val="24"/>
                <w:szCs w:val="24"/>
                <w:highlight w:val="none"/>
              </w:rPr>
              <w:instrText xml:space="preserve"> = 1 \* GB3 </w:instrText>
            </w:r>
            <w:r>
              <w:rPr>
                <w:rFonts w:hint="default" w:ascii="Times New Roman" w:hAnsi="Times New Roman" w:eastAsia="仿宋" w:cs="Times New Roman"/>
                <w:color w:val="auto"/>
                <w:kern w:val="0"/>
                <w:sz w:val="24"/>
                <w:szCs w:val="24"/>
                <w:highlight w:val="none"/>
              </w:rPr>
              <w:fldChar w:fldCharType="separate"/>
            </w:r>
            <w:r>
              <w:rPr>
                <w:rFonts w:hint="default" w:ascii="Times New Roman" w:hAnsi="Times New Roman" w:eastAsia="仿宋" w:cs="Times New Roman"/>
                <w:color w:val="auto"/>
                <w:kern w:val="0"/>
                <w:sz w:val="24"/>
                <w:szCs w:val="24"/>
                <w:highlight w:val="none"/>
              </w:rPr>
              <w:t>①</w:t>
            </w:r>
            <w:r>
              <w:rPr>
                <w:rFonts w:hint="default" w:ascii="Times New Roman" w:hAnsi="Times New Roman" w:eastAsia="仿宋" w:cs="Times New Roman"/>
                <w:color w:val="auto"/>
                <w:kern w:val="0"/>
                <w:sz w:val="24"/>
                <w:szCs w:val="24"/>
                <w:highlight w:val="none"/>
              </w:rPr>
              <w:fldChar w:fldCharType="end"/>
            </w:r>
            <w:r>
              <w:rPr>
                <w:rFonts w:hint="default" w:ascii="Times New Roman" w:hAnsi="Times New Roman" w:eastAsia="仿宋" w:cs="Times New Roman"/>
                <w:color w:val="auto"/>
                <w:kern w:val="0"/>
                <w:sz w:val="24"/>
                <w:szCs w:val="24"/>
                <w:highlight w:val="none"/>
              </w:rPr>
              <w:t>开采及装卸降尘用水</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项目采用雾炮机对开采、铲装（装卸）过程中产生的扬尘进行抑制，</w:t>
            </w:r>
            <w:r>
              <w:rPr>
                <w:rFonts w:hint="eastAsia" w:eastAsia="仿宋" w:cs="Times New Roman"/>
                <w:color w:val="auto"/>
                <w:sz w:val="24"/>
                <w:szCs w:val="24"/>
                <w:lang w:val="en-US" w:eastAsia="zh-CN"/>
              </w:rPr>
              <w:t>根据</w:t>
            </w:r>
            <w:r>
              <w:rPr>
                <w:rFonts w:hint="default" w:ascii="Times New Roman" w:hAnsi="Times New Roman" w:eastAsia="仿宋" w:cs="Times New Roman"/>
                <w:color w:val="auto"/>
                <w:sz w:val="24"/>
                <w:szCs w:val="24"/>
                <w:lang w:val="en-US" w:eastAsia="zh-CN"/>
              </w:rPr>
              <w:t>《</w:t>
            </w:r>
            <w:r>
              <w:rPr>
                <w:rFonts w:hint="eastAsia" w:eastAsia="仿宋" w:cs="Times New Roman"/>
                <w:color w:val="auto"/>
                <w:sz w:val="24"/>
                <w:szCs w:val="24"/>
                <w:lang w:val="en-US" w:eastAsia="zh-CN"/>
              </w:rPr>
              <w:t>新疆鄯善县连木沁镇连木沁坎村北砂石料矿</w:t>
            </w:r>
            <w:r>
              <w:rPr>
                <w:rFonts w:hint="default" w:ascii="Times New Roman" w:hAnsi="Times New Roman" w:eastAsia="仿宋" w:cs="Times New Roman"/>
                <w:color w:val="auto"/>
                <w:sz w:val="24"/>
                <w:szCs w:val="24"/>
                <w:lang w:val="en-US" w:eastAsia="zh-CN"/>
              </w:rPr>
              <w:t>矿产资源开发利用与生态保护修复方案》可知，</w:t>
            </w:r>
            <w:r>
              <w:rPr>
                <w:rFonts w:hint="default" w:ascii="Times New Roman" w:hAnsi="Times New Roman" w:eastAsia="仿宋" w:cs="Times New Roman"/>
                <w:color w:val="auto"/>
                <w:kern w:val="0"/>
                <w:sz w:val="24"/>
                <w:szCs w:val="24"/>
                <w:highlight w:val="none"/>
              </w:rPr>
              <w:t>抑尘用水量按2L/t-矿石计，项目每日开采约</w:t>
            </w:r>
            <w:r>
              <w:rPr>
                <w:rFonts w:hint="eastAsia" w:eastAsia="仿宋" w:cs="Times New Roman"/>
                <w:color w:val="auto"/>
                <w:kern w:val="0"/>
                <w:sz w:val="24"/>
                <w:szCs w:val="24"/>
                <w:highlight w:val="none"/>
                <w:lang w:val="en-US" w:eastAsia="zh-CN"/>
              </w:rPr>
              <w:t>833.33</w:t>
            </w:r>
            <w:r>
              <w:rPr>
                <w:rFonts w:hint="default" w:ascii="Times New Roman" w:hAnsi="Times New Roman" w:eastAsia="仿宋" w:cs="Times New Roman"/>
                <w:color w:val="auto"/>
                <w:kern w:val="0"/>
                <w:sz w:val="24"/>
                <w:szCs w:val="24"/>
                <w:highlight w:val="none"/>
              </w:rPr>
              <w:t>t，用水量约</w:t>
            </w:r>
            <w:r>
              <w:rPr>
                <w:rFonts w:hint="eastAsia" w:eastAsia="仿宋" w:cs="Times New Roman"/>
                <w:color w:val="auto"/>
                <w:kern w:val="0"/>
                <w:sz w:val="24"/>
                <w:szCs w:val="24"/>
                <w:highlight w:val="none"/>
                <w:lang w:val="en-US" w:eastAsia="zh-CN"/>
              </w:rPr>
              <w:t>1.67</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/d（</w:t>
            </w:r>
            <w:r>
              <w:rPr>
                <w:rFonts w:hint="eastAsia" w:eastAsia="仿宋" w:cs="Times New Roman"/>
                <w:color w:val="auto"/>
                <w:kern w:val="0"/>
                <w:sz w:val="24"/>
                <w:szCs w:val="24"/>
                <w:highlight w:val="none"/>
                <w:lang w:val="en-US" w:eastAsia="zh-CN"/>
              </w:rPr>
              <w:t>450</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/a），降尘用水直接自然蒸发消耗。</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fldChar w:fldCharType="begin"/>
            </w:r>
            <w:r>
              <w:rPr>
                <w:rFonts w:hint="default" w:ascii="Times New Roman" w:hAnsi="Times New Roman" w:eastAsia="仿宋" w:cs="Times New Roman"/>
                <w:color w:val="auto"/>
                <w:kern w:val="0"/>
                <w:sz w:val="24"/>
                <w:szCs w:val="24"/>
                <w:highlight w:val="none"/>
              </w:rPr>
              <w:instrText xml:space="preserve"> = 2 \* GB3 </w:instrText>
            </w:r>
            <w:r>
              <w:rPr>
                <w:rFonts w:hint="default" w:ascii="Times New Roman" w:hAnsi="Times New Roman" w:eastAsia="仿宋" w:cs="Times New Roman"/>
                <w:color w:val="auto"/>
                <w:kern w:val="0"/>
                <w:sz w:val="24"/>
                <w:szCs w:val="24"/>
                <w:highlight w:val="none"/>
              </w:rPr>
              <w:fldChar w:fldCharType="separate"/>
            </w:r>
            <w:r>
              <w:rPr>
                <w:rFonts w:hint="default" w:ascii="Times New Roman" w:hAnsi="Times New Roman" w:eastAsia="仿宋" w:cs="Times New Roman"/>
                <w:color w:val="auto"/>
                <w:kern w:val="0"/>
                <w:sz w:val="24"/>
                <w:szCs w:val="24"/>
                <w:highlight w:val="none"/>
              </w:rPr>
              <w:t>②</w:t>
            </w:r>
            <w:r>
              <w:rPr>
                <w:rFonts w:hint="default" w:ascii="Times New Roman" w:hAnsi="Times New Roman" w:eastAsia="仿宋" w:cs="Times New Roman"/>
                <w:color w:val="auto"/>
                <w:kern w:val="0"/>
                <w:sz w:val="24"/>
                <w:szCs w:val="24"/>
                <w:highlight w:val="none"/>
              </w:rPr>
              <w:fldChar w:fldCharType="end"/>
            </w:r>
            <w:r>
              <w:rPr>
                <w:rFonts w:hint="default" w:ascii="Times New Roman" w:hAnsi="Times New Roman" w:eastAsia="仿宋" w:cs="Times New Roman"/>
                <w:color w:val="auto"/>
                <w:kern w:val="0"/>
                <w:sz w:val="24"/>
                <w:szCs w:val="24"/>
                <w:highlight w:val="none"/>
              </w:rPr>
              <w:t>道路降尘用水</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为减少矿山道路运输扬尘，需对道路进行洒水抑尘，矿区内道路面积为</w:t>
            </w:r>
            <w:r>
              <w:rPr>
                <w:rFonts w:hint="eastAsia" w:eastAsia="仿宋" w:cs="Times New Roman"/>
                <w:color w:val="auto"/>
                <w:kern w:val="0"/>
                <w:sz w:val="24"/>
                <w:szCs w:val="24"/>
                <w:highlight w:val="none"/>
                <w:lang w:val="en-US" w:eastAsia="zh-CN"/>
              </w:rPr>
              <w:t>10</w:t>
            </w:r>
            <w:r>
              <w:rPr>
                <w:rFonts w:hint="default" w:ascii="Times New Roman" w:hAnsi="Times New Roman" w:eastAsia="仿宋" w:cs="Times New Roman"/>
                <w:color w:val="auto"/>
                <w:kern w:val="0"/>
                <w:sz w:val="24"/>
                <w:szCs w:val="24"/>
                <w:highlight w:val="none"/>
                <w:lang w:val="en-US" w:eastAsia="zh-CN"/>
              </w:rPr>
              <w:t>00</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2</w:t>
            </w:r>
            <w:r>
              <w:rPr>
                <w:rFonts w:hint="default" w:ascii="Times New Roman" w:hAnsi="Times New Roman" w:eastAsia="仿宋" w:cs="Times New Roman"/>
                <w:color w:val="auto"/>
                <w:kern w:val="0"/>
                <w:sz w:val="24"/>
                <w:szCs w:val="24"/>
                <w:highlight w:val="none"/>
              </w:rPr>
              <w:t>，道路洒水按平均1L/m</w:t>
            </w:r>
            <w:r>
              <w:rPr>
                <w:rFonts w:hint="default" w:ascii="Times New Roman" w:hAnsi="Times New Roman" w:eastAsia="仿宋" w:cs="Times New Roman"/>
                <w:color w:val="auto"/>
                <w:kern w:val="0"/>
                <w:sz w:val="24"/>
                <w:szCs w:val="24"/>
                <w:highlight w:val="none"/>
                <w:vertAlign w:val="superscript"/>
              </w:rPr>
              <w:t>2</w:t>
            </w:r>
            <w:r>
              <w:rPr>
                <w:rFonts w:hint="default" w:ascii="Times New Roman" w:hAnsi="Times New Roman" w:eastAsia="仿宋" w:cs="Times New Roman"/>
                <w:color w:val="auto"/>
                <w:kern w:val="0"/>
                <w:sz w:val="24"/>
                <w:szCs w:val="24"/>
                <w:highlight w:val="none"/>
              </w:rPr>
              <w:t>•次，每天洒水</w:t>
            </w:r>
            <w:r>
              <w:rPr>
                <w:rFonts w:hint="default" w:ascii="Times New Roman" w:hAnsi="Times New Roman" w:eastAsia="仿宋" w:cs="Times New Roman"/>
                <w:color w:val="auto"/>
                <w:kern w:val="0"/>
                <w:sz w:val="24"/>
                <w:szCs w:val="24"/>
                <w:highlight w:val="none"/>
                <w:lang w:val="en-US" w:eastAsia="zh-CN"/>
              </w:rPr>
              <w:t>2</w:t>
            </w:r>
            <w:r>
              <w:rPr>
                <w:rFonts w:hint="default" w:ascii="Times New Roman" w:hAnsi="Times New Roman" w:eastAsia="仿宋" w:cs="Times New Roman"/>
                <w:color w:val="auto"/>
                <w:kern w:val="0"/>
                <w:sz w:val="24"/>
                <w:szCs w:val="24"/>
                <w:highlight w:val="none"/>
              </w:rPr>
              <w:t>次，洒水量为</w:t>
            </w:r>
            <w:r>
              <w:rPr>
                <w:rFonts w:hint="eastAsia" w:eastAsia="仿宋" w:cs="Times New Roman"/>
                <w:color w:val="auto"/>
                <w:kern w:val="0"/>
                <w:sz w:val="24"/>
                <w:szCs w:val="24"/>
                <w:highlight w:val="none"/>
                <w:lang w:val="en-US" w:eastAsia="zh-CN"/>
              </w:rPr>
              <w:t>2</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/d（</w:t>
            </w:r>
            <w:r>
              <w:rPr>
                <w:rFonts w:hint="eastAsia" w:eastAsia="仿宋" w:cs="Times New Roman"/>
                <w:color w:val="auto"/>
                <w:kern w:val="0"/>
                <w:sz w:val="24"/>
                <w:szCs w:val="24"/>
                <w:highlight w:val="none"/>
                <w:lang w:val="en-US" w:eastAsia="zh-CN"/>
              </w:rPr>
              <w:t>540</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/a），降尘用水直接自然蒸发消耗。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bidi="ar"/>
              </w:rPr>
              <w:t>（</w:t>
            </w:r>
            <w:r>
              <w:rPr>
                <w:rFonts w:hint="eastAsia" w:eastAsia="仿宋" w:cs="Times New Roman"/>
                <w:color w:val="auto"/>
                <w:kern w:val="0"/>
                <w:sz w:val="24"/>
                <w:szCs w:val="24"/>
                <w:highlight w:val="none"/>
                <w:lang w:val="en-US" w:eastAsia="zh-CN" w:bidi="ar"/>
              </w:rPr>
              <w:t>2</w:t>
            </w:r>
            <w:r>
              <w:rPr>
                <w:rFonts w:hint="default" w:ascii="Times New Roman" w:hAnsi="Times New Roman" w:eastAsia="仿宋" w:cs="Times New Roman"/>
                <w:color w:val="auto"/>
                <w:kern w:val="0"/>
                <w:sz w:val="24"/>
                <w:szCs w:val="24"/>
                <w:highlight w:val="none"/>
                <w:lang w:val="en-US" w:eastAsia="zh-CN" w:bidi="ar"/>
              </w:rPr>
              <w:t>）</w:t>
            </w:r>
            <w:r>
              <w:rPr>
                <w:rFonts w:hint="default" w:ascii="Times New Roman" w:hAnsi="Times New Roman" w:eastAsia="仿宋" w:cs="Times New Roman"/>
                <w:color w:val="auto"/>
                <w:sz w:val="24"/>
                <w:szCs w:val="24"/>
                <w:highlight w:val="none"/>
                <w:lang w:val="en-US" w:eastAsia="zh-CN"/>
              </w:rPr>
              <w:t>车辆冲洗用水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sz w:val="24"/>
                <w:szCs w:val="24"/>
                <w:highlight w:val="none"/>
                <w:lang w:val="en-US" w:eastAsia="zh-CN"/>
              </w:rPr>
              <w:t>本项目产品加工生产规模为</w:t>
            </w:r>
            <w:r>
              <w:rPr>
                <w:rFonts w:hint="eastAsia" w:eastAsia="仿宋" w:cs="Times New Roman"/>
                <w:color w:val="auto"/>
                <w:sz w:val="24"/>
                <w:szCs w:val="24"/>
                <w:highlight w:val="none"/>
                <w:lang w:val="en-US" w:eastAsia="zh-CN"/>
              </w:rPr>
              <w:t>22.5万</w:t>
            </w:r>
            <w:r>
              <w:rPr>
                <w:rFonts w:hint="default" w:ascii="Times New Roman" w:hAnsi="Times New Roman" w:eastAsia="仿宋" w:cs="Times New Roman"/>
                <w:color w:val="auto"/>
                <w:sz w:val="24"/>
                <w:szCs w:val="24"/>
                <w:highlight w:val="none"/>
                <w:lang w:val="en-US" w:eastAsia="zh-CN"/>
              </w:rPr>
              <w:t>t/a，按照生产装置最大能力的100%计算，每年最大运输原料</w:t>
            </w:r>
            <w:r>
              <w:rPr>
                <w:rFonts w:hint="eastAsia" w:eastAsia="仿宋" w:cs="Times New Roman"/>
                <w:color w:val="auto"/>
                <w:sz w:val="24"/>
                <w:szCs w:val="24"/>
                <w:highlight w:val="none"/>
                <w:lang w:val="en-US" w:eastAsia="zh-CN"/>
              </w:rPr>
              <w:t>22.5万</w:t>
            </w:r>
            <w:r>
              <w:rPr>
                <w:rFonts w:hint="default" w:ascii="Times New Roman" w:hAnsi="Times New Roman" w:eastAsia="仿宋" w:cs="Times New Roman"/>
                <w:color w:val="auto"/>
                <w:sz w:val="24"/>
                <w:szCs w:val="24"/>
                <w:highlight w:val="none"/>
                <w:lang w:val="en-US" w:eastAsia="zh-CN"/>
              </w:rPr>
              <w:t>吨，按照单车1次运输量最大为10吨计算，每年约需运输</w:t>
            </w:r>
            <w:r>
              <w:rPr>
                <w:rFonts w:hint="eastAsia" w:eastAsia="仿宋" w:cs="Times New Roman"/>
                <w:color w:val="auto"/>
                <w:sz w:val="24"/>
                <w:szCs w:val="24"/>
                <w:highlight w:val="none"/>
                <w:lang w:val="en-US" w:eastAsia="zh-CN"/>
              </w:rPr>
              <w:t>225</w:t>
            </w:r>
            <w:r>
              <w:rPr>
                <w:rFonts w:hint="default" w:ascii="Times New Roman" w:hAnsi="Times New Roman" w:eastAsia="仿宋" w:cs="Times New Roman"/>
                <w:color w:val="auto"/>
                <w:sz w:val="24"/>
                <w:szCs w:val="24"/>
                <w:highlight w:val="none"/>
                <w:lang w:val="en-US" w:eastAsia="zh-CN"/>
              </w:rPr>
              <w:t>00辆/年，每天运输车辆为</w:t>
            </w:r>
            <w:r>
              <w:rPr>
                <w:rFonts w:hint="eastAsia" w:eastAsia="仿宋" w:cs="Times New Roman"/>
                <w:color w:val="auto"/>
                <w:sz w:val="24"/>
                <w:szCs w:val="24"/>
                <w:highlight w:val="none"/>
                <w:lang w:val="en-US" w:eastAsia="zh-CN"/>
              </w:rPr>
              <w:t>84</w:t>
            </w:r>
            <w:r>
              <w:rPr>
                <w:rFonts w:hint="default" w:ascii="Times New Roman" w:hAnsi="Times New Roman" w:eastAsia="仿宋" w:cs="Times New Roman"/>
                <w:color w:val="auto"/>
                <w:sz w:val="24"/>
                <w:szCs w:val="24"/>
                <w:highlight w:val="none"/>
                <w:lang w:val="en-US" w:eastAsia="zh-CN"/>
              </w:rPr>
              <w:t>辆，车辆进出厂区前需对车轮和车身进行冲洗。据调查车辆车轮和车身冲洗水量为0.04m³/辆·，每年冲洗用水为</w:t>
            </w:r>
            <w:r>
              <w:rPr>
                <w:rFonts w:hint="eastAsia" w:eastAsia="仿宋" w:cs="Times New Roman"/>
                <w:color w:val="auto"/>
                <w:sz w:val="24"/>
                <w:szCs w:val="24"/>
                <w:highlight w:val="none"/>
                <w:lang w:val="en-US" w:eastAsia="zh-CN"/>
              </w:rPr>
              <w:t>900</w:t>
            </w:r>
            <w:r>
              <w:rPr>
                <w:rFonts w:hint="default" w:ascii="Times New Roman" w:hAnsi="Times New Roman" w:eastAsia="仿宋" w:cs="Times New Roman"/>
                <w:color w:val="auto"/>
                <w:sz w:val="24"/>
                <w:szCs w:val="24"/>
                <w:highlight w:val="none"/>
                <w:lang w:val="en-US" w:eastAsia="zh-CN"/>
              </w:rPr>
              <w:t>m</w:t>
            </w:r>
            <w:r>
              <w:rPr>
                <w:rFonts w:hint="default" w:ascii="Times New Roman" w:hAnsi="Times New Roman" w:eastAsia="仿宋" w:cs="Times New Roman"/>
                <w:color w:val="auto"/>
                <w:sz w:val="24"/>
                <w:szCs w:val="24"/>
                <w:highlight w:val="none"/>
                <w:vertAlign w:val="superscript"/>
                <w:lang w:val="en-US" w:eastAsia="zh-CN"/>
              </w:rPr>
              <w:t>3</w:t>
            </w:r>
            <w:r>
              <w:rPr>
                <w:rFonts w:hint="default" w:ascii="Times New Roman" w:hAnsi="Times New Roman" w:eastAsia="仿宋" w:cs="Times New Roman"/>
                <w:color w:val="auto"/>
                <w:sz w:val="24"/>
                <w:szCs w:val="24"/>
                <w:highlight w:val="none"/>
                <w:lang w:val="en-US" w:eastAsia="zh-CN"/>
              </w:rPr>
              <w:t>/a（</w:t>
            </w:r>
            <w:r>
              <w:rPr>
                <w:rFonts w:hint="eastAsia" w:eastAsia="仿宋" w:cs="Times New Roman"/>
                <w:color w:val="auto"/>
                <w:sz w:val="24"/>
                <w:szCs w:val="24"/>
                <w:highlight w:val="none"/>
                <w:lang w:val="en-US" w:eastAsia="zh-CN"/>
              </w:rPr>
              <w:t>3.33</w:t>
            </w:r>
            <w:r>
              <w:rPr>
                <w:rFonts w:hint="default" w:ascii="Times New Roman" w:hAnsi="Times New Roman" w:eastAsia="仿宋" w:cs="Times New Roman"/>
                <w:color w:val="auto"/>
                <w:sz w:val="24"/>
                <w:szCs w:val="24"/>
                <w:highlight w:val="none"/>
                <w:lang w:val="en-US" w:eastAsia="zh-CN"/>
              </w:rPr>
              <w:t>m³/d），排污系数按0.9计算，则冲洗车辆的清洗废水量约</w:t>
            </w:r>
            <w:r>
              <w:rPr>
                <w:rFonts w:hint="eastAsia" w:eastAsia="仿宋" w:cs="Times New Roman"/>
                <w:color w:val="auto"/>
                <w:sz w:val="24"/>
                <w:szCs w:val="24"/>
                <w:highlight w:val="none"/>
                <w:lang w:val="en-US" w:eastAsia="zh-CN"/>
              </w:rPr>
              <w:t>810</w:t>
            </w:r>
            <w:r>
              <w:rPr>
                <w:rFonts w:hint="default" w:ascii="Times New Roman" w:hAnsi="Times New Roman" w:eastAsia="仿宋" w:cs="Times New Roman"/>
                <w:color w:val="auto"/>
                <w:sz w:val="24"/>
                <w:szCs w:val="24"/>
                <w:highlight w:val="none"/>
                <w:lang w:val="en-US" w:eastAsia="zh-CN"/>
              </w:rPr>
              <w:t>m</w:t>
            </w:r>
            <w:r>
              <w:rPr>
                <w:rFonts w:hint="default" w:ascii="Times New Roman" w:hAnsi="Times New Roman" w:eastAsia="仿宋" w:cs="Times New Roman"/>
                <w:color w:val="auto"/>
                <w:sz w:val="24"/>
                <w:szCs w:val="24"/>
                <w:highlight w:val="none"/>
                <w:vertAlign w:val="superscript"/>
                <w:lang w:val="en-US" w:eastAsia="zh-CN"/>
              </w:rPr>
              <w:t>3</w:t>
            </w:r>
            <w:r>
              <w:rPr>
                <w:rFonts w:hint="default" w:ascii="Times New Roman" w:hAnsi="Times New Roman" w:eastAsia="仿宋" w:cs="Times New Roman"/>
                <w:color w:val="auto"/>
                <w:sz w:val="24"/>
                <w:szCs w:val="24"/>
                <w:highlight w:val="none"/>
                <w:lang w:val="en-US" w:eastAsia="zh-CN"/>
              </w:rPr>
              <w:t>/a（</w:t>
            </w:r>
            <w:r>
              <w:rPr>
                <w:rFonts w:hint="eastAsia"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lang w:val="en-US" w:eastAsia="zh-CN"/>
              </w:rPr>
              <w:t>m</w:t>
            </w:r>
            <w:r>
              <w:rPr>
                <w:rFonts w:hint="default" w:ascii="Times New Roman" w:hAnsi="Times New Roman" w:eastAsia="仿宋" w:cs="Times New Roman"/>
                <w:color w:val="auto"/>
                <w:sz w:val="24"/>
                <w:szCs w:val="24"/>
                <w:highlight w:val="none"/>
                <w:vertAlign w:val="superscript"/>
                <w:lang w:val="en-US" w:eastAsia="zh-CN"/>
              </w:rPr>
              <w:t>3</w:t>
            </w:r>
            <w:r>
              <w:rPr>
                <w:rFonts w:hint="default" w:ascii="Times New Roman" w:hAnsi="Times New Roman" w:eastAsia="仿宋" w:cs="Times New Roman"/>
                <w:color w:val="auto"/>
                <w:sz w:val="24"/>
                <w:szCs w:val="24"/>
                <w:highlight w:val="none"/>
                <w:lang w:val="en-US" w:eastAsia="zh-CN"/>
              </w:rPr>
              <w:t>/d）。废水经沉淀池沉淀后回用。</w:t>
            </w:r>
          </w:p>
          <w:p>
            <w:pPr>
              <w:keepNext w:val="0"/>
              <w:keepLines w:val="0"/>
              <w:pageBreakBefore w:val="0"/>
              <w:kinsoku/>
              <w:wordWrap/>
              <w:overflowPunct/>
              <w:topLinePunct w:val="0"/>
              <w:bidi w:val="0"/>
              <w:adjustRightInd/>
              <w:snapToGrid/>
              <w:ind w:right="105" w:rightChars="50" w:firstLine="422"/>
              <w:jc w:val="left"/>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7.</w:t>
            </w:r>
            <w:r>
              <w:rPr>
                <w:rFonts w:hint="eastAsia" w:eastAsia="仿宋" w:cs="Times New Roman"/>
                <w:b/>
                <w:color w:val="auto"/>
                <w:sz w:val="24"/>
                <w:szCs w:val="24"/>
                <w:highlight w:val="none"/>
                <w:lang w:val="en-US" w:eastAsia="zh-CN"/>
              </w:rPr>
              <w:t>4</w:t>
            </w:r>
            <w:r>
              <w:rPr>
                <w:rFonts w:hint="default" w:ascii="Times New Roman" w:hAnsi="Times New Roman" w:eastAsia="仿宋" w:cs="Times New Roman"/>
                <w:b/>
                <w:color w:val="auto"/>
                <w:sz w:val="24"/>
                <w:szCs w:val="24"/>
                <w:highlight w:val="none"/>
              </w:rPr>
              <w:t>排水</w:t>
            </w:r>
          </w:p>
          <w:p>
            <w:pPr>
              <w:autoSpaceDE w:val="0"/>
              <w:autoSpaceDN w:val="0"/>
              <w:adjustRightInd w:val="0"/>
              <w:snapToGrid w:val="0"/>
              <w:spacing w:line="360" w:lineRule="auto"/>
              <w:ind w:firstLine="480" w:firstLineChars="200"/>
              <w:jc w:val="both"/>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降尘用水在生产过程中全部挥发，无废水产生</w:t>
            </w:r>
            <w:r>
              <w:rPr>
                <w:rFonts w:hint="eastAsia" w:eastAsia="仿宋" w:cs="Times New Roman"/>
                <w:color w:val="auto"/>
                <w:sz w:val="24"/>
                <w:szCs w:val="24"/>
                <w:highlight w:val="none"/>
                <w:lang w:eastAsia="zh-CN"/>
              </w:rPr>
              <w:t>，</w:t>
            </w:r>
            <w:r>
              <w:rPr>
                <w:rFonts w:hint="eastAsia" w:eastAsia="仿宋" w:cs="Times New Roman"/>
                <w:color w:val="auto"/>
                <w:sz w:val="24"/>
                <w:szCs w:val="24"/>
                <w:highlight w:val="none"/>
                <w:lang w:val="en-US" w:eastAsia="zh-CN"/>
              </w:rPr>
              <w:t>本项目不设办公生活区，</w:t>
            </w:r>
            <w:r>
              <w:rPr>
                <w:rFonts w:hint="default" w:ascii="Times New Roman" w:hAnsi="Times New Roman" w:eastAsia="仿宋" w:cs="Times New Roman"/>
                <w:color w:val="auto"/>
                <w:sz w:val="24"/>
                <w:szCs w:val="24"/>
                <w:highlight w:val="none"/>
              </w:rPr>
              <w:t>项目用水量估算见表2-6，本项目水平衡见图2-</w:t>
            </w:r>
            <w:r>
              <w:rPr>
                <w:rFonts w:hint="default"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w:t>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表2-6用水情况一览表</w:t>
            </w:r>
          </w:p>
          <w:tbl>
            <w:tblPr>
              <w:tblStyle w:val="25"/>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1564"/>
              <w:gridCol w:w="1571"/>
              <w:gridCol w:w="1457"/>
              <w:gridCol w:w="1084"/>
              <w:gridCol w:w="1500"/>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序号</w:t>
                  </w:r>
                </w:p>
              </w:tc>
              <w:tc>
                <w:tcPr>
                  <w:tcW w:w="876"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用水项目</w:t>
                  </w:r>
                </w:p>
              </w:tc>
              <w:tc>
                <w:tcPr>
                  <w:tcW w:w="88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用水定额</w:t>
                  </w:r>
                </w:p>
              </w:tc>
              <w:tc>
                <w:tcPr>
                  <w:tcW w:w="816"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用水</w:t>
                  </w:r>
                  <w:r>
                    <w:rPr>
                      <w:rFonts w:hint="default" w:ascii="Times New Roman" w:hAnsi="Times New Roman" w:eastAsia="仿宋" w:cs="Times New Roman"/>
                      <w:color w:val="auto"/>
                      <w:sz w:val="21"/>
                      <w:szCs w:val="21"/>
                      <w:highlight w:val="none"/>
                    </w:rPr>
                    <w:t>量（m</w:t>
                  </w:r>
                  <w:r>
                    <w:rPr>
                      <w:rFonts w:hint="default" w:ascii="Times New Roman" w:hAnsi="Times New Roman" w:eastAsia="仿宋" w:cs="Times New Roman"/>
                      <w:color w:val="auto"/>
                      <w:spacing w:val="-4"/>
                      <w:sz w:val="21"/>
                      <w:szCs w:val="21"/>
                      <w:highlight w:val="none"/>
                      <w:vertAlign w:val="superscript"/>
                    </w:rPr>
                    <w:t>3</w:t>
                  </w:r>
                  <w:r>
                    <w:rPr>
                      <w:rFonts w:hint="default" w:ascii="Times New Roman" w:hAnsi="Times New Roman" w:eastAsia="仿宋" w:cs="Times New Roman"/>
                      <w:color w:val="auto"/>
                      <w:sz w:val="21"/>
                      <w:szCs w:val="21"/>
                      <w:highlight w:val="none"/>
                    </w:rPr>
                    <w:t>/d）</w:t>
                  </w:r>
                </w:p>
              </w:tc>
              <w:tc>
                <w:tcPr>
                  <w:tcW w:w="607"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排污系数</w:t>
                  </w:r>
                </w:p>
              </w:tc>
              <w:tc>
                <w:tcPr>
                  <w:tcW w:w="840"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lang w:val="en-US" w:eastAsia="zh-CN"/>
                    </w:rPr>
                    <w:t>回用水</w:t>
                  </w:r>
                  <w:r>
                    <w:rPr>
                      <w:rFonts w:hint="default" w:ascii="Times New Roman" w:hAnsi="Times New Roman" w:eastAsia="仿宋" w:cs="Times New Roman"/>
                      <w:bCs/>
                      <w:color w:val="auto"/>
                      <w:sz w:val="21"/>
                      <w:szCs w:val="21"/>
                      <w:highlight w:val="none"/>
                    </w:rPr>
                    <w:t>（m</w:t>
                  </w:r>
                  <w:r>
                    <w:rPr>
                      <w:rFonts w:hint="default" w:ascii="Times New Roman" w:hAnsi="Times New Roman" w:eastAsia="仿宋" w:cs="Times New Roman"/>
                      <w:color w:val="auto"/>
                      <w:spacing w:val="-4"/>
                      <w:sz w:val="21"/>
                      <w:szCs w:val="21"/>
                      <w:highlight w:val="none"/>
                      <w:vertAlign w:val="superscript"/>
                    </w:rPr>
                    <w:t>3</w:t>
                  </w:r>
                  <w:r>
                    <w:rPr>
                      <w:rFonts w:hint="default" w:ascii="Times New Roman" w:hAnsi="Times New Roman" w:eastAsia="仿宋" w:cs="Times New Roman"/>
                      <w:bCs/>
                      <w:color w:val="auto"/>
                      <w:sz w:val="21"/>
                      <w:szCs w:val="21"/>
                      <w:highlight w:val="none"/>
                    </w:rPr>
                    <w:t>/</w:t>
                  </w:r>
                  <w:r>
                    <w:rPr>
                      <w:rFonts w:hint="default" w:ascii="Times New Roman" w:hAnsi="Times New Roman" w:eastAsia="仿宋" w:cs="Times New Roman"/>
                      <w:bCs/>
                      <w:color w:val="auto"/>
                      <w:sz w:val="21"/>
                      <w:szCs w:val="21"/>
                      <w:highlight w:val="none"/>
                      <w:lang w:val="en-US" w:eastAsia="zh-CN"/>
                    </w:rPr>
                    <w:t>d</w:t>
                  </w:r>
                  <w:r>
                    <w:rPr>
                      <w:rFonts w:hint="default" w:ascii="Times New Roman" w:hAnsi="Times New Roman" w:eastAsia="仿宋" w:cs="Times New Roman"/>
                      <w:bCs/>
                      <w:color w:val="auto"/>
                      <w:sz w:val="21"/>
                      <w:szCs w:val="21"/>
                      <w:highlight w:val="none"/>
                    </w:rPr>
                    <w:t>）</w:t>
                  </w:r>
                </w:p>
              </w:tc>
              <w:tc>
                <w:tcPr>
                  <w:tcW w:w="736"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废水量（m</w:t>
                  </w:r>
                  <w:r>
                    <w:rPr>
                      <w:rFonts w:hint="default" w:ascii="Times New Roman" w:hAnsi="Times New Roman" w:eastAsia="仿宋" w:cs="Times New Roman"/>
                      <w:color w:val="auto"/>
                      <w:spacing w:val="-4"/>
                      <w:sz w:val="21"/>
                      <w:szCs w:val="21"/>
                      <w:highlight w:val="none"/>
                      <w:vertAlign w:val="superscript"/>
                    </w:rPr>
                    <w:t>3</w:t>
                  </w:r>
                  <w:r>
                    <w:rPr>
                      <w:rFonts w:hint="default" w:ascii="Times New Roman" w:hAnsi="Times New Roman" w:eastAsia="仿宋" w:cs="Times New Roman"/>
                      <w:bCs/>
                      <w:color w:val="auto"/>
                      <w:sz w:val="21"/>
                      <w:szCs w:val="21"/>
                      <w:highlight w:val="none"/>
                    </w:rPr>
                    <w:t>/</w:t>
                  </w:r>
                  <w:r>
                    <w:rPr>
                      <w:rFonts w:hint="default" w:ascii="Times New Roman" w:hAnsi="Times New Roman" w:eastAsia="仿宋" w:cs="Times New Roman"/>
                      <w:bCs/>
                      <w:color w:val="auto"/>
                      <w:sz w:val="21"/>
                      <w:szCs w:val="21"/>
                      <w:highlight w:val="none"/>
                      <w:lang w:val="en-US" w:eastAsia="zh-CN"/>
                    </w:rPr>
                    <w:t>d</w:t>
                  </w:r>
                  <w:r>
                    <w:rPr>
                      <w:rFonts w:hint="default" w:ascii="Times New Roman" w:hAnsi="Times New Roman" w:eastAsia="仿宋" w:cs="Times New Roman"/>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Align w:val="center"/>
                </w:tcPr>
                <w:p>
                  <w:pPr>
                    <w:pStyle w:val="44"/>
                    <w:spacing w:line="240" w:lineRule="auto"/>
                    <w:ind w:firstLine="0" w:firstLineChars="0"/>
                    <w:rPr>
                      <w:rFonts w:hint="eastAsia" w:ascii="Times New Roman" w:hAnsi="Times New Roman" w:eastAsia="仿宋" w:cs="Times New Roman"/>
                      <w:bCs/>
                      <w:color w:val="auto"/>
                      <w:sz w:val="21"/>
                      <w:szCs w:val="21"/>
                      <w:highlight w:val="none"/>
                      <w:lang w:eastAsia="zh-CN"/>
                    </w:rPr>
                  </w:pPr>
                  <w:r>
                    <w:rPr>
                      <w:rFonts w:hint="eastAsia" w:eastAsia="仿宋" w:cs="Times New Roman"/>
                      <w:bCs/>
                      <w:color w:val="auto"/>
                      <w:sz w:val="21"/>
                      <w:szCs w:val="21"/>
                      <w:highlight w:val="none"/>
                      <w:lang w:val="en-US" w:eastAsia="zh-CN"/>
                    </w:rPr>
                    <w:t>1</w:t>
                  </w:r>
                </w:p>
              </w:tc>
              <w:tc>
                <w:tcPr>
                  <w:tcW w:w="876"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开采、装卸降尘用水</w:t>
                  </w:r>
                </w:p>
              </w:tc>
              <w:tc>
                <w:tcPr>
                  <w:tcW w:w="88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2L/t-矿石</w:t>
                  </w:r>
                </w:p>
              </w:tc>
              <w:tc>
                <w:tcPr>
                  <w:tcW w:w="816"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1.67</w:t>
                  </w:r>
                </w:p>
              </w:tc>
              <w:tc>
                <w:tcPr>
                  <w:tcW w:w="607" w:type="pct"/>
                  <w:vAlign w:val="center"/>
                </w:tcPr>
                <w:p>
                  <w:pPr>
                    <w:pStyle w:val="44"/>
                    <w:spacing w:line="240" w:lineRule="auto"/>
                    <w:ind w:firstLine="0" w:firstLineChars="0"/>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w:t>
                  </w:r>
                </w:p>
              </w:tc>
              <w:tc>
                <w:tcPr>
                  <w:tcW w:w="84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736"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Align w:val="center"/>
                </w:tcPr>
                <w:p>
                  <w:pPr>
                    <w:pStyle w:val="44"/>
                    <w:spacing w:line="240" w:lineRule="auto"/>
                    <w:ind w:firstLine="0" w:firstLineChars="0"/>
                    <w:rPr>
                      <w:rFonts w:hint="eastAsia" w:ascii="Times New Roman" w:hAnsi="Times New Roman" w:eastAsia="仿宋" w:cs="Times New Roman"/>
                      <w:bCs/>
                      <w:color w:val="auto"/>
                      <w:sz w:val="21"/>
                      <w:szCs w:val="21"/>
                      <w:highlight w:val="none"/>
                      <w:lang w:eastAsia="zh-CN"/>
                    </w:rPr>
                  </w:pPr>
                  <w:r>
                    <w:rPr>
                      <w:rFonts w:hint="eastAsia" w:eastAsia="仿宋" w:cs="Times New Roman"/>
                      <w:bCs/>
                      <w:color w:val="auto"/>
                      <w:sz w:val="21"/>
                      <w:szCs w:val="21"/>
                      <w:highlight w:val="none"/>
                      <w:lang w:val="en-US" w:eastAsia="zh-CN"/>
                    </w:rPr>
                    <w:t>2</w:t>
                  </w:r>
                </w:p>
              </w:tc>
              <w:tc>
                <w:tcPr>
                  <w:tcW w:w="876"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道路降尘用水</w:t>
                  </w:r>
                </w:p>
              </w:tc>
              <w:tc>
                <w:tcPr>
                  <w:tcW w:w="88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1L/m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•次</w:t>
                  </w:r>
                </w:p>
              </w:tc>
              <w:tc>
                <w:tcPr>
                  <w:tcW w:w="816"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2</w:t>
                  </w:r>
                </w:p>
              </w:tc>
              <w:tc>
                <w:tcPr>
                  <w:tcW w:w="607" w:type="pct"/>
                  <w:vAlign w:val="center"/>
                </w:tcPr>
                <w:p>
                  <w:pPr>
                    <w:pStyle w:val="44"/>
                    <w:spacing w:line="240" w:lineRule="auto"/>
                    <w:ind w:firstLine="0" w:firstLineChars="0"/>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sz w:val="21"/>
                      <w:szCs w:val="21"/>
                      <w:highlight w:val="none"/>
                      <w:lang w:val="en-US" w:eastAsia="zh-CN"/>
                    </w:rPr>
                    <w:t>/</w:t>
                  </w:r>
                </w:p>
              </w:tc>
              <w:tc>
                <w:tcPr>
                  <w:tcW w:w="84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736"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42"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3</w:t>
                  </w:r>
                </w:p>
              </w:tc>
              <w:tc>
                <w:tcPr>
                  <w:tcW w:w="876"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车辆冲洗用水</w:t>
                  </w:r>
                </w:p>
              </w:tc>
              <w:tc>
                <w:tcPr>
                  <w:tcW w:w="88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0.04m³/辆·次</w:t>
                  </w:r>
                </w:p>
              </w:tc>
              <w:tc>
                <w:tcPr>
                  <w:tcW w:w="816"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3.33</w:t>
                  </w:r>
                </w:p>
              </w:tc>
              <w:tc>
                <w:tcPr>
                  <w:tcW w:w="607"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0.9</w:t>
                  </w:r>
                </w:p>
              </w:tc>
              <w:tc>
                <w:tcPr>
                  <w:tcW w:w="84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3</w:t>
                  </w:r>
                </w:p>
              </w:tc>
              <w:tc>
                <w:tcPr>
                  <w:tcW w:w="736"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42"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lang w:eastAsia="zh-CN"/>
                    </w:rPr>
                  </w:pPr>
                  <w:r>
                    <w:rPr>
                      <w:rFonts w:hint="eastAsia" w:eastAsia="仿宋" w:cs="Times New Roman"/>
                      <w:bCs/>
                      <w:color w:val="auto"/>
                      <w:sz w:val="21"/>
                      <w:szCs w:val="21"/>
                      <w:highlight w:val="none"/>
                      <w:lang w:val="en-US" w:eastAsia="zh-CN"/>
                    </w:rPr>
                    <w:t>4</w:t>
                  </w:r>
                </w:p>
              </w:tc>
              <w:tc>
                <w:tcPr>
                  <w:tcW w:w="876"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合计</w:t>
                  </w:r>
                </w:p>
              </w:tc>
              <w:tc>
                <w:tcPr>
                  <w:tcW w:w="88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c>
                <w:tcPr>
                  <w:tcW w:w="816"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7</w:t>
                  </w:r>
                </w:p>
              </w:tc>
              <w:tc>
                <w:tcPr>
                  <w:tcW w:w="607"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84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3</w:t>
                  </w:r>
                </w:p>
              </w:tc>
              <w:tc>
                <w:tcPr>
                  <w:tcW w:w="736"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w:t>
                  </w:r>
                </w:p>
              </w:tc>
            </w:tr>
          </w:tbl>
          <w:p>
            <w:pPr>
              <w:ind w:right="105" w:rightChars="50"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1120775</wp:posOffset>
                      </wp:positionH>
                      <wp:positionV relativeFrom="paragraph">
                        <wp:posOffset>769620</wp:posOffset>
                      </wp:positionV>
                      <wp:extent cx="288290" cy="635"/>
                      <wp:effectExtent l="0" t="37465" r="16510" b="38100"/>
                      <wp:wrapNone/>
                      <wp:docPr id="109" name="直接连接符 7"/>
                      <wp:cNvGraphicFramePr/>
                      <a:graphic xmlns:a="http://schemas.openxmlformats.org/drawingml/2006/main">
                        <a:graphicData uri="http://schemas.microsoft.com/office/word/2010/wordprocessingShape">
                          <wps:wsp>
                            <wps:cNvCnPr/>
                            <wps:spPr>
                              <a:xfrm>
                                <a:off x="0" y="0"/>
                                <a:ext cx="288290" cy="63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margin-left:88.25pt;margin-top:60.6pt;height:0.05pt;width:22.7pt;z-index:251669504;mso-width-relative:page;mso-height-relative:page;" filled="f" stroked="t" coordsize="21600,21600" o:gfxdata="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9c3dgAAAALAQAADwAAAAAAAAABACAAAAAiAAAAZHJzL2Rvd25yZXYueG1sUEsB&#10;AhQAFAAAAAgAh07iQIFyWDj1AQAA4AMAAA4AAAAAAAAAAQAgAAAAJwEAAGRycy9lMm9Eb2MueG1s&#10;UEsFBgAAAAAGAAYAWQEAAI4FA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3552825</wp:posOffset>
                      </wp:positionH>
                      <wp:positionV relativeFrom="paragraph">
                        <wp:posOffset>1163320</wp:posOffset>
                      </wp:positionV>
                      <wp:extent cx="663575" cy="270510"/>
                      <wp:effectExtent l="6350" t="6350" r="15875" b="8890"/>
                      <wp:wrapNone/>
                      <wp:docPr id="106" name="文本框 2"/>
                      <wp:cNvGraphicFramePr/>
                      <a:graphic xmlns:a="http://schemas.openxmlformats.org/drawingml/2006/main">
                        <a:graphicData uri="http://schemas.microsoft.com/office/word/2010/wordprocessingShape">
                          <wps:wsp>
                            <wps:cNvSpPr/>
                            <wps:spPr>
                              <a:xfrm>
                                <a:off x="0" y="0"/>
                                <a:ext cx="663575" cy="270510"/>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default"/>
                                      <w:lang w:val="en-US"/>
                                    </w:rPr>
                                  </w:pPr>
                                  <w:r>
                                    <w:rPr>
                                      <w:rFonts w:hint="eastAsia"/>
                                      <w:lang w:val="en-US" w:eastAsia="zh-CN"/>
                                    </w:rPr>
                                    <w:t>沉淀池</w:t>
                                  </w:r>
                                </w:p>
                              </w:txbxContent>
                            </wps:txbx>
                            <wps:bodyPr upright="1"/>
                          </wps:wsp>
                        </a:graphicData>
                      </a:graphic>
                    </wp:anchor>
                  </w:drawing>
                </mc:Choice>
                <mc:Fallback>
                  <w:pict>
                    <v:rect id="文本框 2" o:spid="_x0000_s1026" o:spt="1" style="position:absolute;left:0pt;margin-left:279.75pt;margin-top:91.6pt;height:21.3pt;width:52.25pt;z-index:251668480;mso-width-relative:page;mso-height-relative:page;" fillcolor="#FFFFFF" filled="t" stroked="t" coordsize="21600,21600" o:gfxdata="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ETfXDYAAAACwEAAA8A&#10;AAAAAAAAAQAgAAAAIgAAAGRycy9kb3ducmV2LnhtbFBLAQIUABQAAAAIAIdO4kBlT+GsUAIAAAQF&#10;AAAOAAAAAAAAAAEAIAAAACcBAABkcnMvZTJvRG9jLnhtbFBLBQYAAAAABgAGAFkBAADpBQAAAAA=&#10;">
                      <v:fill type="gradient" on="t" color2="#FFFFFF" angle="90" focus="100%" focussize="0,0"/>
                      <v:stroke weight="1pt" color="#000000" joinstyle="miter"/>
                      <v:imagedata o:title=""/>
                      <o:lock v:ext="edit" aspectratio="f"/>
                      <v:textbox>
                        <w:txbxContent>
                          <w:p>
                            <w:pPr>
                              <w:spacing w:line="240" w:lineRule="auto"/>
                              <w:ind w:firstLine="0" w:firstLineChars="0"/>
                              <w:jc w:val="center"/>
                              <w:rPr>
                                <w:rFonts w:hint="default"/>
                                <w:lang w:val="en-US"/>
                              </w:rPr>
                            </w:pPr>
                            <w:r>
                              <w:rPr>
                                <w:rFonts w:hint="eastAsia"/>
                                <w:lang w:val="en-US" w:eastAsia="zh-CN"/>
                              </w:rPr>
                              <w:t>沉淀池</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3147695</wp:posOffset>
                      </wp:positionH>
                      <wp:positionV relativeFrom="paragraph">
                        <wp:posOffset>1025525</wp:posOffset>
                      </wp:positionV>
                      <wp:extent cx="608965" cy="378460"/>
                      <wp:effectExtent l="0" t="0" r="0" b="0"/>
                      <wp:wrapNone/>
                      <wp:docPr id="117" name="文本框 25"/>
                      <wp:cNvGraphicFramePr/>
                      <a:graphic xmlns:a="http://schemas.openxmlformats.org/drawingml/2006/main">
                        <a:graphicData uri="http://schemas.microsoft.com/office/word/2010/wordprocessingShape">
                          <wps:wsp>
                            <wps:cNvSpPr/>
                            <wps:spPr>
                              <a:xfrm>
                                <a:off x="0" y="0"/>
                                <a:ext cx="608965" cy="378460"/>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3</w:t>
                                  </w:r>
                                </w:p>
                              </w:txbxContent>
                            </wps:txbx>
                            <wps:bodyPr upright="1"/>
                          </wps:wsp>
                        </a:graphicData>
                      </a:graphic>
                    </wp:anchor>
                  </w:drawing>
                </mc:Choice>
                <mc:Fallback>
                  <w:pict>
                    <v:rect id="文本框 25" o:spid="_x0000_s1026" o:spt="1" style="position:absolute;left:0pt;margin-left:247.85pt;margin-top:80.75pt;height:29.8pt;width:47.95pt;z-index:251671552;mso-width-relative:page;mso-height-relative:page;" filled="f" stroked="f" coordsize="21600,21600" o:gfxdata="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KfKa7bAAAA&#10;CwEAAA8AAAAAAAAAAQAgAAAAIgAAAGRycy9kb3ducmV2LnhtbFBLAQIUABQAAAAIAIdO4kDDSNfL&#10;qAEAAEYDAAAOAAAAAAAAAAEAIAAAACoBAABkcnMvZTJvRG9jLnhtbFBLBQYAAAAABgAGAFkBAABE&#10;BQ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3</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3254375</wp:posOffset>
                      </wp:positionH>
                      <wp:positionV relativeFrom="paragraph">
                        <wp:posOffset>1271270</wp:posOffset>
                      </wp:positionV>
                      <wp:extent cx="288290" cy="635"/>
                      <wp:effectExtent l="0" t="37465" r="16510" b="38100"/>
                      <wp:wrapNone/>
                      <wp:docPr id="105" name="直接连接符 7"/>
                      <wp:cNvGraphicFramePr/>
                      <a:graphic xmlns:a="http://schemas.openxmlformats.org/drawingml/2006/main">
                        <a:graphicData uri="http://schemas.microsoft.com/office/word/2010/wordprocessingShape">
                          <wps:wsp>
                            <wps:cNvCnPr/>
                            <wps:spPr>
                              <a:xfrm>
                                <a:off x="0" y="0"/>
                                <a:ext cx="288290" cy="63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margin-left:256.25pt;margin-top:100.1pt;height:0.05pt;width:22.7pt;z-index:251667456;mso-width-relative:page;mso-height-relative:page;" filled="f" stroked="t" coordsize="21600,21600" o:gfxdata="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xml/DZAAAACwEAAA8AAAAAAAAAAQAgAAAAIgAAAGRycy9kb3ducmV2LnhtbFBL&#10;AQIUABQAAAAIAIdO4kCR7WVz9QEAAOADAAAOAAAAAAAAAAEAIAAAACgBAABkcnMvZTJvRG9jLnht&#10;bFBLBQYAAAAABgAGAFkBAACPBQ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2171065</wp:posOffset>
                      </wp:positionH>
                      <wp:positionV relativeFrom="paragraph">
                        <wp:posOffset>1104265</wp:posOffset>
                      </wp:positionV>
                      <wp:extent cx="1045210" cy="270510"/>
                      <wp:effectExtent l="6350" t="6350" r="15240" b="8890"/>
                      <wp:wrapNone/>
                      <wp:docPr id="98" name="文本框 2"/>
                      <wp:cNvGraphicFramePr/>
                      <a:graphic xmlns:a="http://schemas.openxmlformats.org/drawingml/2006/main">
                        <a:graphicData uri="http://schemas.microsoft.com/office/word/2010/wordprocessingShape">
                          <wps:wsp>
                            <wps:cNvSpPr/>
                            <wps:spPr>
                              <a:xfrm>
                                <a:off x="0" y="0"/>
                                <a:ext cx="1045210" cy="270510"/>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lang w:val="en-US" w:eastAsia="zh-CN"/>
                                    </w:rPr>
                                    <w:t>车辆冲洗</w:t>
                                  </w:r>
                                  <w:r>
                                    <w:t>用水</w:t>
                                  </w:r>
                                </w:p>
                              </w:txbxContent>
                            </wps:txbx>
                            <wps:bodyPr upright="1"/>
                          </wps:wsp>
                        </a:graphicData>
                      </a:graphic>
                    </wp:anchor>
                  </w:drawing>
                </mc:Choice>
                <mc:Fallback>
                  <w:pict>
                    <v:rect id="文本框 2" o:spid="_x0000_s1026" o:spt="1" style="position:absolute;left:0pt;margin-left:170.95pt;margin-top:86.95pt;height:21.3pt;width:82.3pt;z-index:251663360;mso-width-relative:page;mso-height-relative:page;" fillcolor="#FFFFFF" filled="t" stroked="t" coordsize="21600,21600" o:gfxdata="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eYZFzYAAAACwEAAA8AAAAA&#10;AAAAAQAgAAAAIgAAAGRycy9kb3ducmV2LnhtbFBLAQIUABQAAAAIAIdO4kBBOmzaTQIAAAQFAAAO&#10;AAAAAAAAAAEAIAAAACcBAABkcnMvZTJvRG9jLnhtbFBLBQYAAAAABgAGAFkBAADmBQAAAAA=&#10;">
                      <v:fill type="gradient" on="t" color2="#FFFFFF" angle="90" focus="100%" focussize="0,0"/>
                      <v:stroke weight="1pt" color="#000000" joinstyle="miter"/>
                      <v:imagedata o:title=""/>
                      <o:lock v:ext="edit" aspectratio="f"/>
                      <v:textbox>
                        <w:txbxContent>
                          <w:p>
                            <w:pPr>
                              <w:spacing w:line="240" w:lineRule="auto"/>
                              <w:ind w:firstLine="0" w:firstLineChars="0"/>
                              <w:jc w:val="center"/>
                            </w:pPr>
                            <w:r>
                              <w:rPr>
                                <w:rFonts w:hint="eastAsia"/>
                                <w:lang w:val="en-US" w:eastAsia="zh-CN"/>
                              </w:rPr>
                              <w:t>车辆冲洗</w:t>
                            </w:r>
                            <w:r>
                              <w:t>用水</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2727960</wp:posOffset>
                      </wp:positionH>
                      <wp:positionV relativeFrom="paragraph">
                        <wp:posOffset>885190</wp:posOffset>
                      </wp:positionV>
                      <wp:extent cx="266700" cy="172085"/>
                      <wp:effectExtent l="3175" t="0" r="15875" b="18415"/>
                      <wp:wrapNone/>
                      <wp:docPr id="99" name="直接连接符 15"/>
                      <wp:cNvGraphicFramePr/>
                      <a:graphic xmlns:a="http://schemas.openxmlformats.org/drawingml/2006/main">
                        <a:graphicData uri="http://schemas.microsoft.com/office/word/2010/wordprocessingShape">
                          <wps:wsp>
                            <wps:cNvCnPr/>
                            <wps:spPr>
                              <a:xfrm flipV="1">
                                <a:off x="0" y="0"/>
                                <a:ext cx="266700" cy="172085"/>
                              </a:xfrm>
                              <a:prstGeom prst="line">
                                <a:avLst/>
                              </a:prstGeom>
                              <a:ln w="12700" cap="flat" cmpd="sng">
                                <a:solidFill>
                                  <a:srgbClr val="000000"/>
                                </a:solidFill>
                                <a:prstDash val="dash"/>
                                <a:headEnd type="none" w="med" len="med"/>
                                <a:tailEnd type="triangle" w="med" len="med"/>
                              </a:ln>
                            </wps:spPr>
                            <wps:bodyPr/>
                          </wps:wsp>
                        </a:graphicData>
                      </a:graphic>
                    </wp:anchor>
                  </w:drawing>
                </mc:Choice>
                <mc:Fallback>
                  <w:pict>
                    <v:line id="直接连接符 15" o:spid="_x0000_s1026" o:spt="20" style="position:absolute;left:0pt;flip:y;margin-left:214.8pt;margin-top:69.7pt;height:13.55pt;width:21pt;z-index:251664384;mso-width-relative:page;mso-height-relative:page;" filled="f" stroked="t" coordsize="21600,21600" o:gfxdata="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iDZS9kAAAALAQAADwAAAAAAAAABACAAAAAiAAAAZHJzL2Rv&#10;d25yZXYueG1sUEsBAhQAFAAAAAgAh07iQKUHVckAAgAA7AMAAA4AAAAAAAAAAQAgAAAAKAEAAGRy&#10;cy9lMm9Eb2MueG1sUEsFBgAAAAAGAAYAWQEAAJoFAAAAAA==&#10;">
                      <v:fill on="f" focussize="0,0"/>
                      <v:stroke weight="1pt" color="#000000" joinstyle="round" dashstyle="dash"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2654300</wp:posOffset>
                      </wp:positionH>
                      <wp:positionV relativeFrom="paragraph">
                        <wp:posOffset>659765</wp:posOffset>
                      </wp:positionV>
                      <wp:extent cx="975360" cy="315595"/>
                      <wp:effectExtent l="0" t="0" r="0" b="0"/>
                      <wp:wrapNone/>
                      <wp:docPr id="100" name="文本框 20"/>
                      <wp:cNvGraphicFramePr/>
                      <a:graphic xmlns:a="http://schemas.openxmlformats.org/drawingml/2006/main">
                        <a:graphicData uri="http://schemas.microsoft.com/office/word/2010/wordprocessingShape">
                          <wps:wsp>
                            <wps:cNvSpPr/>
                            <wps:spPr>
                              <a:xfrm>
                                <a:off x="0" y="0"/>
                                <a:ext cx="975360" cy="315595"/>
                              </a:xfrm>
                              <a:prstGeom prst="rect">
                                <a:avLst/>
                              </a:prstGeom>
                              <a:noFill/>
                              <a:ln>
                                <a:noFill/>
                              </a:ln>
                            </wps:spPr>
                            <wps:txbx>
                              <w:txbxContent>
                                <w:p>
                                  <w:pPr>
                                    <w:spacing w:line="240" w:lineRule="auto"/>
                                    <w:ind w:firstLine="0" w:firstLineChars="0"/>
                                    <w:jc w:val="center"/>
                                    <w:rPr>
                                      <w:rFonts w:hint="default" w:eastAsia="宋体"/>
                                      <w:lang w:val="en-US" w:eastAsia="zh-CN"/>
                                    </w:rPr>
                                  </w:pPr>
                                  <w:r>
                                    <w:t>损耗</w:t>
                                  </w:r>
                                  <w:r>
                                    <w:rPr>
                                      <w:rFonts w:hint="eastAsia"/>
                                      <w:lang w:val="en-US" w:eastAsia="zh-CN"/>
                                    </w:rPr>
                                    <w:t>0.33</w:t>
                                  </w:r>
                                </w:p>
                              </w:txbxContent>
                            </wps:txbx>
                            <wps:bodyPr upright="1"/>
                          </wps:wsp>
                        </a:graphicData>
                      </a:graphic>
                    </wp:anchor>
                  </w:drawing>
                </mc:Choice>
                <mc:Fallback>
                  <w:pict>
                    <v:rect id="文本框 20" o:spid="_x0000_s1026" o:spt="1" style="position:absolute;left:0pt;margin-left:209pt;margin-top:51.95pt;height:24.85pt;width:76.8pt;z-index:251665408;mso-width-relative:page;mso-height-relative:page;" filled="f" stroked="f" coordsize="21600,21600" o:gfxdata="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z3lbncAAAA&#10;CwEAAA8AAAAAAAAAAQAgAAAAIgAAAGRycy9kb3ducmV2LnhtbFBLAQIUABQAAAAIAIdO4kDYJwHt&#10;pwEAAEYDAAAOAAAAAAAAAAEAIAAAACsBAABkcnMvZTJvRG9jLnhtbFBLBQYAAAAABgAGAFkBAABE&#10;BQ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t>损耗</w:t>
                            </w:r>
                            <w:r>
                              <w:rPr>
                                <w:rFonts w:hint="eastAsia"/>
                                <w:lang w:val="en-US" w:eastAsia="zh-CN"/>
                              </w:rPr>
                              <w:t>0.33</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1475105</wp:posOffset>
                      </wp:positionH>
                      <wp:positionV relativeFrom="paragraph">
                        <wp:posOffset>1214120</wp:posOffset>
                      </wp:positionV>
                      <wp:extent cx="678815" cy="3175"/>
                      <wp:effectExtent l="0" t="35560" r="6985" b="37465"/>
                      <wp:wrapNone/>
                      <wp:docPr id="80" name="直接连接符 7"/>
                      <wp:cNvGraphicFramePr/>
                      <a:graphic xmlns:a="http://schemas.openxmlformats.org/drawingml/2006/main">
                        <a:graphicData uri="http://schemas.microsoft.com/office/word/2010/wordprocessingShape">
                          <wps:wsp>
                            <wps:cNvCnPr/>
                            <wps:spPr>
                              <a:xfrm>
                                <a:off x="0" y="0"/>
                                <a:ext cx="678815" cy="317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margin-left:116.15pt;margin-top:95.6pt;height:0.25pt;width:53.45pt;z-index:251661312;mso-width-relative:page;mso-height-relative:page;" filled="f" stroked="t" coordsize="21600,21600" o:gfxdata="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LjvSrYAAAACwEAAA8AAAAAAAAAAQAgAAAAIgAAAGRycy9kb3ducmV2LnhtbFBL&#10;AQIUABQAAAAIAIdO4kADhdkb9gEAAOADAAAOAAAAAAAAAAEAIAAAACcBAABkcnMvZTJvRG9jLnht&#10;bFBLBQYAAAAABgAGAFkBAACPBQ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1616075</wp:posOffset>
                      </wp:positionH>
                      <wp:positionV relativeFrom="paragraph">
                        <wp:posOffset>758190</wp:posOffset>
                      </wp:positionV>
                      <wp:extent cx="511810" cy="378460"/>
                      <wp:effectExtent l="0" t="0" r="0" b="0"/>
                      <wp:wrapNone/>
                      <wp:docPr id="88" name="文本框 25"/>
                      <wp:cNvGraphicFramePr/>
                      <a:graphic xmlns:a="http://schemas.openxmlformats.org/drawingml/2006/main">
                        <a:graphicData uri="http://schemas.microsoft.com/office/word/2010/wordprocessingShape">
                          <wps:wsp>
                            <wps:cNvSpPr/>
                            <wps:spPr>
                              <a:xfrm>
                                <a:off x="0" y="0"/>
                                <a:ext cx="511810" cy="378552"/>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3.33</w:t>
                                  </w:r>
                                </w:p>
                              </w:txbxContent>
                            </wps:txbx>
                            <wps:bodyPr upright="1"/>
                          </wps:wsp>
                        </a:graphicData>
                      </a:graphic>
                    </wp:anchor>
                  </w:drawing>
                </mc:Choice>
                <mc:Fallback>
                  <w:pict>
                    <v:rect id="文本框 25" o:spid="_x0000_s1026" o:spt="1" style="position:absolute;left:0pt;margin-left:127.25pt;margin-top:59.7pt;height:29.8pt;width:40.3pt;z-index:251662336;mso-width-relative:page;mso-height-relative:page;" filled="f" stroked="f" coordsize="21600,21600" o:gfxdata="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UAdaPcAAAA&#10;CwEAAA8AAAAAAAAAAQAgAAAAIgAAAGRycy9kb3ducmV2LnhtbFBLAQIUABQAAAAIAIdO4kAiNUKj&#10;pwEAAEUDAAAOAAAAAAAAAAEAIAAAACsBAABkcnMvZTJvRG9jLnhtbFBLBQYAAAAABgAGAFkBAABE&#10;BQ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3.33</w:t>
                            </w:r>
                          </w:p>
                        </w:txbxContent>
                      </v:textbox>
                    </v:rect>
                  </w:pict>
                </mc:Fallback>
              </mc:AlternateContent>
            </w:r>
            <w:r>
              <w:rPr>
                <w:rFonts w:hint="default" w:ascii="Times New Roman" w:hAnsi="Times New Roman" w:eastAsia="仿宋" w:cs="Times New Roman"/>
                <w:snapToGrid w:val="0"/>
                <w:color w:val="auto"/>
                <w:sz w:val="24"/>
                <w:szCs w:val="22"/>
                <w:highlight w:val="none"/>
              </w:rPr>
              <mc:AlternateContent>
                <mc:Choice Requires="wpg">
                  <w:drawing>
                    <wp:inline distT="0" distB="0" distL="114300" distR="114300">
                      <wp:extent cx="4733290" cy="1259840"/>
                      <wp:effectExtent l="0" t="0" r="0" b="17145"/>
                      <wp:docPr id="20" name="组合 28"/>
                      <wp:cNvGraphicFramePr/>
                      <a:graphic xmlns:a="http://schemas.openxmlformats.org/drawingml/2006/main">
                        <a:graphicData uri="http://schemas.microsoft.com/office/word/2010/wordprocessingGroup">
                          <wpg:wgp>
                            <wpg:cNvGrpSpPr/>
                            <wpg:grpSpPr>
                              <a:xfrm>
                                <a:off x="0" y="0"/>
                                <a:ext cx="4733452" cy="1260028"/>
                                <a:chOff x="2304" y="10300"/>
                                <a:chExt cx="6938" cy="1676"/>
                              </a:xfrm>
                            </wpg:grpSpPr>
                            <wps:wsp>
                              <wps:cNvPr id="55" name="文本框 3"/>
                              <wps:cNvSpPr/>
                              <wps:spPr>
                                <a:xfrm>
                                  <a:off x="7347" y="10300"/>
                                  <a:ext cx="1895" cy="601"/>
                                </a:xfrm>
                                <a:prstGeom prst="rect">
                                  <a:avLst/>
                                </a:prstGeom>
                                <a:noFill/>
                                <a:ln w="12700" cap="flat" cmpd="sng">
                                  <a:noFill/>
                                  <a:prstDash val="solid"/>
                                  <a:miter/>
                                  <a:headEnd type="none" w="med" len="med"/>
                                  <a:tailEnd type="none" w="med" len="med"/>
                                </a:ln>
                              </wps:spPr>
                              <wps:txbx>
                                <w:txbxContent>
                                  <w:p>
                                    <w:pPr>
                                      <w:spacing w:line="240" w:lineRule="auto"/>
                                      <w:ind w:firstLine="0" w:firstLineChars="0"/>
                                      <w:jc w:val="center"/>
                                      <w:rPr>
                                        <w:rFonts w:hint="default" w:eastAsia="宋体"/>
                                        <w:lang w:val="en-US" w:eastAsia="zh-CN"/>
                                      </w:rPr>
                                    </w:pPr>
                                  </w:p>
                                </w:txbxContent>
                              </wps:txbx>
                              <wps:bodyPr upright="1"/>
                            </wps:wsp>
                            <wps:wsp>
                              <wps:cNvPr id="56" name="文本框 4"/>
                              <wps:cNvSpPr/>
                              <wps:spPr>
                                <a:xfrm>
                                  <a:off x="5067" y="10597"/>
                                  <a:ext cx="3028" cy="396"/>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ind w:firstLine="0" w:firstLineChars="0"/>
                                      <w:jc w:val="center"/>
                                    </w:pPr>
                                    <w:r>
                                      <w:t>开采区、道路洒水降尘</w:t>
                                    </w:r>
                                  </w:p>
                                </w:txbxContent>
                              </wps:txbx>
                              <wps:bodyPr upright="1"/>
                            </wps:wsp>
                            <wps:wsp>
                              <wps:cNvPr id="59" name="直接连接符 7"/>
                              <wps:cNvCnPr/>
                              <wps:spPr>
                                <a:xfrm flipV="1">
                                  <a:off x="3799" y="10829"/>
                                  <a:ext cx="1261" cy="14"/>
                                </a:xfrm>
                                <a:prstGeom prst="line">
                                  <a:avLst/>
                                </a:prstGeom>
                                <a:ln w="12700" cap="flat" cmpd="sng">
                                  <a:solidFill>
                                    <a:srgbClr val="000000"/>
                                  </a:solidFill>
                                  <a:prstDash val="solid"/>
                                  <a:headEnd type="none" w="med" len="med"/>
                                  <a:tailEnd type="triangle" w="med" len="med"/>
                                </a:ln>
                              </wps:spPr>
                              <wps:bodyPr/>
                            </wps:wsp>
                            <wps:wsp>
                              <wps:cNvPr id="65" name="直接连接符 13"/>
                              <wps:cNvCnPr/>
                              <wps:spPr>
                                <a:xfrm>
                                  <a:off x="3812" y="10827"/>
                                  <a:ext cx="14" cy="1087"/>
                                </a:xfrm>
                                <a:prstGeom prst="line">
                                  <a:avLst/>
                                </a:prstGeom>
                                <a:ln w="12700" cap="flat" cmpd="sng">
                                  <a:solidFill>
                                    <a:srgbClr val="000000"/>
                                  </a:solidFill>
                                  <a:prstDash val="solid"/>
                                  <a:headEnd type="none" w="med" len="med"/>
                                  <a:tailEnd type="none" w="med" len="med"/>
                                </a:ln>
                              </wps:spPr>
                              <wps:bodyPr/>
                            </wps:wsp>
                            <wps:wsp>
                              <wps:cNvPr id="66" name="文本框 14"/>
                              <wps:cNvSpPr/>
                              <wps:spPr>
                                <a:xfrm>
                                  <a:off x="2304" y="11158"/>
                                  <a:ext cx="1132" cy="818"/>
                                </a:xfrm>
                                <a:prstGeom prst="rect">
                                  <a:avLst/>
                                </a:prstGeom>
                                <a:noFill/>
                                <a:ln>
                                  <a:noFill/>
                                </a:ln>
                              </wps:spPr>
                              <wps:txbx>
                                <w:txbxContent>
                                  <w:p>
                                    <w:pPr>
                                      <w:spacing w:line="240" w:lineRule="auto"/>
                                      <w:ind w:firstLine="0" w:firstLineChars="0"/>
                                      <w:jc w:val="center"/>
                                      <w:rPr>
                                        <w:rFonts w:hint="default" w:eastAsia="宋体"/>
                                        <w:lang w:val="en-US" w:eastAsia="zh-CN"/>
                                      </w:rPr>
                                    </w:pPr>
                                    <w:r>
                                      <w:t>新鲜水</w:t>
                                    </w:r>
                                    <w:r>
                                      <w:rPr>
                                        <w:rFonts w:hint="eastAsia"/>
                                        <w:lang w:val="en-US" w:eastAsia="zh-CN"/>
                                      </w:rPr>
                                      <w:t>7</w:t>
                                    </w:r>
                                  </w:p>
                                </w:txbxContent>
                              </wps:txbx>
                              <wps:bodyPr upright="1"/>
                            </wps:wsp>
                            <wps:wsp>
                              <wps:cNvPr id="76" name="文本框 25"/>
                              <wps:cNvSpPr/>
                              <wps:spPr>
                                <a:xfrm>
                                  <a:off x="4013" y="10400"/>
                                  <a:ext cx="805" cy="615"/>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3.67</w:t>
                                    </w:r>
                                  </w:p>
                                </w:txbxContent>
                              </wps:txbx>
                              <wps:bodyPr upright="1"/>
                            </wps:wsp>
                          </wpg:wgp>
                        </a:graphicData>
                      </a:graphic>
                    </wp:inline>
                  </w:drawing>
                </mc:Choice>
                <mc:Fallback>
                  <w:pict>
                    <v:group id="组合 28" o:spid="_x0000_s1026" o:spt="203" style="height:99.2pt;width:372.7pt;" coordorigin="2304,10300" coordsize="6938,1676" o:gfxdata="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">
                      <o:lock v:ext="edit" aspectratio="f"/>
                      <v:rect id="文本框 3" o:spid="_x0000_s1026" o:spt="1" style="position:absolute;left:7347;top:10300;height:601;width:1895;" filled="f" stroked="f" coordsize="21600,21600" o:gfxdata="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cjrkvQAA&#10;ANsAAAAPAAAAAAAAAAEAIAAAACIAAABkcnMvZG93bnJldi54bWxQSwECFAAUAAAACACHTuJAMy8F&#10;njsAAAA5AAAAEAAAAAAAAAABACAAAAAMAQAAZHJzL3NoYXBleG1sLnhtbFBLBQYAAAAABgAGAFsB&#10;AAC2AwAAAAA=&#10;">
                        <v:fill on="f" focussize="0,0"/>
                        <v:stroke on="f" weight="1pt" joinstyle="miter"/>
                        <v:imagedata o:title=""/>
                        <o:lock v:ext="edit" aspectratio="f"/>
                        <v:textbox>
                          <w:txbxContent>
                            <w:p>
                              <w:pPr>
                                <w:spacing w:line="240" w:lineRule="auto"/>
                                <w:ind w:firstLine="0" w:firstLineChars="0"/>
                                <w:jc w:val="center"/>
                                <w:rPr>
                                  <w:rFonts w:hint="default" w:eastAsia="宋体"/>
                                  <w:lang w:val="en-US" w:eastAsia="zh-CN"/>
                                </w:rPr>
                              </w:pPr>
                            </w:p>
                          </w:txbxContent>
                        </v:textbox>
                      </v:rect>
                      <v:rect id="文本框 4" o:spid="_x0000_s1026" o:spt="1" style="position:absolute;left:5067;top:10597;height:396;width:3028;" fillcolor="#FFFFFF" filled="t" stroked="t" coordsize="21600,21600" o:gfxdata="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xZ/a8AAAA&#10;2wAAAA8AAAAAAAAAAQAgAAAAIgAAAGRycy9kb3ducmV2LnhtbFBLAQIUABQAAAAIAIdO4kAzLwWe&#10;OwAAADkAAAAQAAAAAAAAAAEAIAAAAAsBAABkcnMvc2hhcGV4bWwueG1sUEsFBgAAAAAGAAYAWwEA&#10;ALUDAAAAAA==&#10;">
                        <v:fill type="gradient" on="t" color2="#FFFFFF" angle="90" focus="100%" focussize="0,0"/>
                        <v:stroke weight="1pt" color="#000000" joinstyle="miter"/>
                        <v:imagedata o:title=""/>
                        <o:lock v:ext="edit" aspectratio="f"/>
                        <v:textbox>
                          <w:txbxContent>
                            <w:p>
                              <w:pPr>
                                <w:ind w:firstLine="0" w:firstLineChars="0"/>
                                <w:jc w:val="center"/>
                              </w:pPr>
                              <w:r>
                                <w:t>开采区、道路洒水降尘</w:t>
                              </w:r>
                            </w:p>
                          </w:txbxContent>
                        </v:textbox>
                      </v:rect>
                      <v:line id="直接连接符 7" o:spid="_x0000_s1026" o:spt="20" style="position:absolute;left:3799;top:10829;flip:y;height:14;width:1261;" filled="f" stroked="t" coordsize="21600,21600" o:gfxdata="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ocjM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直接连接符 13" o:spid="_x0000_s1026" o:spt="20" style="position:absolute;left:3812;top:10827;height:1087;width:14;" filled="f" stroked="t" coordsize="21600,21600" o:gfxdata="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AK02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rect id="文本框 14" o:spid="_x0000_s1026" o:spt="1" style="position:absolute;left:2304;top:11158;height:818;width:1132;" filled="f" stroked="f" coordsize="21600,21600" o:gfxdata="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zqg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t>新鲜水</w:t>
                              </w:r>
                              <w:r>
                                <w:rPr>
                                  <w:rFonts w:hint="eastAsia"/>
                                  <w:lang w:val="en-US" w:eastAsia="zh-CN"/>
                                </w:rPr>
                                <w:t>7</w:t>
                              </w:r>
                            </w:p>
                          </w:txbxContent>
                        </v:textbox>
                      </v:rect>
                      <v:rect id="文本框 25" o:spid="_x0000_s1026" o:spt="1" style="position:absolute;left:4013;top:10400;height:615;width:805;" filled="f" stroked="f" coordsize="21600,21600" o:gfxdata="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V8X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3.67</w:t>
                              </w:r>
                            </w:p>
                          </w:txbxContent>
                        </v:textbox>
                      </v:rect>
                      <w10:wrap type="none"/>
                      <w10:anchorlock/>
                    </v:group>
                  </w:pict>
                </mc:Fallback>
              </mc:AlternateContent>
            </w:r>
          </w:p>
          <w:p>
            <w:pPr>
              <w:ind w:right="105" w:rightChars="50"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2941320</wp:posOffset>
                      </wp:positionH>
                      <wp:positionV relativeFrom="paragraph">
                        <wp:posOffset>226060</wp:posOffset>
                      </wp:positionV>
                      <wp:extent cx="812165" cy="378460"/>
                      <wp:effectExtent l="0" t="0" r="0" b="0"/>
                      <wp:wrapNone/>
                      <wp:docPr id="119" name="文本框 25"/>
                      <wp:cNvGraphicFramePr/>
                      <a:graphic xmlns:a="http://schemas.openxmlformats.org/drawingml/2006/main">
                        <a:graphicData uri="http://schemas.microsoft.com/office/word/2010/wordprocessingShape">
                          <wps:wsp>
                            <wps:cNvSpPr/>
                            <wps:spPr>
                              <a:xfrm>
                                <a:off x="0" y="0"/>
                                <a:ext cx="812165" cy="378460"/>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回用3</w:t>
                                  </w:r>
                                </w:p>
                              </w:txbxContent>
                            </wps:txbx>
                            <wps:bodyPr upright="1"/>
                          </wps:wsp>
                        </a:graphicData>
                      </a:graphic>
                    </wp:anchor>
                  </w:drawing>
                </mc:Choice>
                <mc:Fallback>
                  <w:pict>
                    <v:rect id="文本框 25" o:spid="_x0000_s1026" o:spt="1" style="position:absolute;left:0pt;margin-left:231.6pt;margin-top:17.8pt;height:29.8pt;width:63.95pt;z-index:251672576;mso-width-relative:page;mso-height-relative:page;" filled="f" stroked="f" coordsize="21600,21600" o:gfxdata="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Z1oh/bAAAA&#10;CQEAAA8AAAAAAAAAAQAgAAAAIgAAAGRycy9kb3ducmV2LnhtbFBLAQIUABQAAAAIAIdO4kCCH6pZ&#10;qAEAAEYDAAAOAAAAAAAAAAEAIAAAACoBAABkcnMvZTJvRG9jLnhtbFBLBQYAAAAABgAGAFkBAABE&#10;BQ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回用3</w:t>
                            </w:r>
                          </w:p>
                        </w:txbxContent>
                      </v:textbox>
                    </v:rect>
                  </w:pict>
                </mc:Fallback>
              </mc:AlternateContent>
            </w:r>
            <w:r>
              <w:rPr>
                <w:rFonts w:hint="default" w:ascii="Times New Roman" w:hAnsi="Times New Roman" w:eastAsia="仿宋" w:cs="Times New Roman"/>
                <w:color w:val="auto"/>
                <w:sz w:val="21"/>
                <w:highlight w:val="none"/>
              </w:rPr>
              <mc:AlternateContent>
                <mc:Choice Requires="wps">
                  <w:drawing>
                    <wp:anchor distT="0" distB="0" distL="114300" distR="114300" simplePos="0" relativeHeight="251666432" behindDoc="0" locked="0" layoutInCell="1" allowOverlap="1">
                      <wp:simplePos x="0" y="0"/>
                      <wp:positionH relativeFrom="column">
                        <wp:posOffset>2829560</wp:posOffset>
                      </wp:positionH>
                      <wp:positionV relativeFrom="paragraph">
                        <wp:posOffset>486410</wp:posOffset>
                      </wp:positionV>
                      <wp:extent cx="1068705" cy="635"/>
                      <wp:effectExtent l="0" t="0" r="0" b="0"/>
                      <wp:wrapNone/>
                      <wp:docPr id="103" name="直接连接符 103"/>
                      <wp:cNvGraphicFramePr/>
                      <a:graphic xmlns:a="http://schemas.openxmlformats.org/drawingml/2006/main">
                        <a:graphicData uri="http://schemas.microsoft.com/office/word/2010/wordprocessingShape">
                          <wps:wsp>
                            <wps:cNvCnPr/>
                            <wps:spPr>
                              <a:xfrm flipV="1">
                                <a:off x="0" y="0"/>
                                <a:ext cx="106870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22.8pt;margin-top:38.3pt;height:0.05pt;width:84.15pt;z-index:251666432;mso-width-relative:page;mso-height-relative:page;" filled="f" stroked="t" coordsize="21600,21600" o:gfxdata="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lthuU2AAAAAkBAAAPAAAAAAAAAAEAIAAAACIAAABkcnMvZG93bnJldi54bWxQ&#10;SwECFAAUAAAACACHTuJAchhL9PcBAADpAwAADgAAAAAAAAABACAAAAAnAQAAZHJzL2Uyb0RvYy54&#10;bWxQSwUGAAAAAAYABgBZAQAAkAUAAAAA&#10;">
                      <v:fill on="f" focussize="0,0"/>
                      <v:stroke weight="1pt" color="#000000" joinstyle="round"/>
                      <v:imagedata o:title=""/>
                      <o:lock v:ext="edit" aspectratio="f"/>
                    </v:line>
                  </w:pict>
                </mc:Fallback>
              </mc:AlternateContent>
            </w:r>
            <w:r>
              <w:rPr>
                <w:color w:val="auto"/>
              </w:rPr>
              <mc:AlternateContent>
                <mc:Choice Requires="wps">
                  <w:drawing>
                    <wp:anchor distT="0" distB="0" distL="114300" distR="114300" simplePos="0" relativeHeight="251673600" behindDoc="0" locked="0" layoutInCell="1" allowOverlap="1">
                      <wp:simplePos x="0" y="0"/>
                      <wp:positionH relativeFrom="column">
                        <wp:posOffset>2848610</wp:posOffset>
                      </wp:positionH>
                      <wp:positionV relativeFrom="paragraph">
                        <wp:posOffset>93980</wp:posOffset>
                      </wp:positionV>
                      <wp:extent cx="7620" cy="353695"/>
                      <wp:effectExtent l="32385" t="0" r="36195" b="8255"/>
                      <wp:wrapNone/>
                      <wp:docPr id="5" name="直接连接符 15"/>
                      <wp:cNvGraphicFramePr/>
                      <a:graphic xmlns:a="http://schemas.openxmlformats.org/drawingml/2006/main">
                        <a:graphicData uri="http://schemas.microsoft.com/office/word/2010/wordprocessingShape">
                          <wps:wsp>
                            <wps:cNvCnPr/>
                            <wps:spPr>
                              <a:xfrm flipV="1">
                                <a:off x="0" y="0"/>
                                <a:ext cx="7620" cy="353695"/>
                              </a:xfrm>
                              <a:prstGeom prst="line">
                                <a:avLst/>
                              </a:prstGeom>
                              <a:ln w="12700" cap="flat" cmpd="sng">
                                <a:solidFill>
                                  <a:srgbClr val="000000"/>
                                </a:solidFill>
                                <a:prstDash val="dash"/>
                                <a:headEnd type="none" w="med" len="med"/>
                                <a:tailEnd type="triangle" w="med" len="med"/>
                              </a:ln>
                            </wps:spPr>
                            <wps:bodyPr/>
                          </wps:wsp>
                        </a:graphicData>
                      </a:graphic>
                    </wp:anchor>
                  </w:drawing>
                </mc:Choice>
                <mc:Fallback>
                  <w:pict>
                    <v:line id="直接连接符 15" o:spid="_x0000_s1026" o:spt="20" style="position:absolute;left:0pt;flip:y;margin-left:224.3pt;margin-top:7.4pt;height:27.85pt;width:0.6pt;z-index:251673600;mso-width-relative:page;mso-height-relative:page;" filled="f" stroked="t" coordsize="21600,21600" o:gfxdata="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qkjutcAAAAJAQAADwAAAAAAAAABACAAAAAiAAAAZHJzL2Rvd25y&#10;ZXYueG1sUEsBAhQAFAAAAAgAh07iQMePFRH/AQAA6QMAAA4AAAAAAAAAAQAgAAAAJgEAAGRycy9l&#10;Mm9Eb2MueG1sUEsFBgAAAAAGAAYAWQEAAJcFAAAAAA==&#10;">
                      <v:fill on="f" focussize="0,0"/>
                      <v:stroke weight="1pt" color="#000000" joinstyle="round" dashstyle="dash" endarrow="block"/>
                      <v:imagedata o:title=""/>
                      <o:lock v:ext="edit" aspectratio="f"/>
                    </v:line>
                  </w:pict>
                </mc:Fallback>
              </mc:AlternateContent>
            </w:r>
            <w:r>
              <w:rPr>
                <w:rFonts w:hint="default" w:ascii="Times New Roman" w:hAnsi="Times New Roman" w:eastAsia="仿宋" w:cs="Times New Roman"/>
                <w:color w:val="auto"/>
                <w:sz w:val="21"/>
                <w:highlight w:val="none"/>
              </w:rPr>
              <mc:AlternateContent>
                <mc:Choice Requires="wps">
                  <w:drawing>
                    <wp:anchor distT="0" distB="0" distL="114300" distR="114300" simplePos="0" relativeHeight="251670528" behindDoc="0" locked="0" layoutInCell="1" allowOverlap="1">
                      <wp:simplePos x="0" y="0"/>
                      <wp:positionH relativeFrom="column">
                        <wp:posOffset>3854450</wp:posOffset>
                      </wp:positionH>
                      <wp:positionV relativeFrom="paragraph">
                        <wp:posOffset>156210</wp:posOffset>
                      </wp:positionV>
                      <wp:extent cx="4445" cy="299085"/>
                      <wp:effectExtent l="4445" t="0" r="10160" b="0"/>
                      <wp:wrapNone/>
                      <wp:docPr id="111" name="直接连接符 111"/>
                      <wp:cNvGraphicFramePr/>
                      <a:graphic xmlns:a="http://schemas.openxmlformats.org/drawingml/2006/main">
                        <a:graphicData uri="http://schemas.microsoft.com/office/word/2010/wordprocessingShape">
                          <wps:wsp>
                            <wps:cNvCnPr/>
                            <wps:spPr>
                              <a:xfrm flipH="1">
                                <a:off x="6059805" y="8648700"/>
                                <a:ext cx="4445" cy="299085"/>
                              </a:xfrm>
                              <a:prstGeom prst="line">
                                <a:avLst/>
                              </a:prstGeom>
                              <a:ln>
                                <a:prstDash val="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03.5pt;margin-top:12.3pt;height:23.55pt;width:0.35pt;z-index:251670528;mso-width-relative:page;mso-height-relative:page;" filled="f" stroked="t" coordsize="21600,21600" o:gfxdata="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i&#10;sjle1QAAAAkBAAAPAAAAAAAAAAEAIAAAACIAAABkcnMvZG93bnJldi54bWxQSwECFAAUAAAACACH&#10;TuJAHFhdbicCAABCBAAADgAAAAAAAAABACAAAAAkAQAAZHJzL2Uyb0RvYy54bWxQSwUGAAAAAAYA&#10;BgBZAQAAvQUAAAAA&#10;">
                      <v:fill on="f" focussize="0,0"/>
                      <v:stroke color="#000000 [3200]" joinstyle="round" dashstyle="dash"/>
                      <v:imagedata o:title=""/>
                      <o:lock v:ext="edit" aspectratio="f"/>
                    </v:line>
                  </w:pict>
                </mc:Fallback>
              </mc:AlternateContent>
            </w:r>
          </w:p>
          <w:p>
            <w:pPr>
              <w:ind w:right="105" w:rightChars="50" w:firstLine="0" w:firstLineChars="0"/>
              <w:jc w:val="center"/>
              <w:rPr>
                <w:rFonts w:hint="default" w:ascii="Times New Roman" w:hAnsi="Times New Roman" w:eastAsia="仿宋" w:cs="Times New Roman"/>
                <w:b/>
                <w:color w:val="auto"/>
                <w:sz w:val="24"/>
                <w:szCs w:val="24"/>
                <w:highlight w:val="none"/>
              </w:rPr>
            </w:pPr>
          </w:p>
          <w:p>
            <w:pPr>
              <w:ind w:right="105" w:rightChars="50"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图2-</w:t>
            </w:r>
            <w:r>
              <w:rPr>
                <w:rFonts w:hint="default" w:ascii="Times New Roman" w:hAnsi="Times New Roman" w:eastAsia="仿宋" w:cs="Times New Roman"/>
                <w:b/>
                <w:color w:val="auto"/>
                <w:sz w:val="24"/>
                <w:szCs w:val="24"/>
                <w:highlight w:val="none"/>
                <w:lang w:val="en-US" w:eastAsia="zh-CN"/>
              </w:rPr>
              <w:t>3</w:t>
            </w:r>
            <w:r>
              <w:rPr>
                <w:rFonts w:hint="default" w:ascii="Times New Roman" w:hAnsi="Times New Roman" w:eastAsia="仿宋" w:cs="Times New Roman"/>
                <w:b/>
                <w:color w:val="auto"/>
                <w:sz w:val="24"/>
                <w:szCs w:val="24"/>
                <w:highlight w:val="none"/>
              </w:rPr>
              <w:t>本项目水平衡图m</w:t>
            </w:r>
            <w:r>
              <w:rPr>
                <w:rFonts w:hint="default" w:ascii="Times New Roman" w:hAnsi="Times New Roman" w:eastAsia="仿宋" w:cs="Times New Roman"/>
                <w:b/>
                <w:color w:val="auto"/>
                <w:sz w:val="24"/>
                <w:szCs w:val="24"/>
                <w:highlight w:val="none"/>
                <w:vertAlign w:val="superscript"/>
              </w:rPr>
              <w:t>3</w:t>
            </w:r>
            <w:r>
              <w:rPr>
                <w:rFonts w:hint="default" w:ascii="Times New Roman" w:hAnsi="Times New Roman" w:eastAsia="仿宋" w:cs="Times New Roman"/>
                <w:b/>
                <w:color w:val="auto"/>
                <w:sz w:val="24"/>
                <w:szCs w:val="24"/>
                <w:highlight w:val="none"/>
              </w:rPr>
              <w:t>/d</w:t>
            </w:r>
          </w:p>
          <w:p>
            <w:pPr>
              <w:keepNext w:val="0"/>
              <w:keepLines w:val="0"/>
              <w:pageBreakBefore w:val="0"/>
              <w:widowControl w:val="0"/>
              <w:kinsoku/>
              <w:wordWrap/>
              <w:overflowPunct/>
              <w:topLinePunct w:val="0"/>
              <w:autoSpaceDE/>
              <w:autoSpaceDN/>
              <w:bidi w:val="0"/>
              <w:adjustRightInd/>
              <w:snapToGrid/>
              <w:spacing w:before="157" w:beforeLines="50"/>
              <w:ind w:right="105" w:rightChars="50" w:firstLine="422"/>
              <w:jc w:val="left"/>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lang w:val="en-US" w:eastAsia="zh-CN"/>
              </w:rPr>
              <w:t>9、</w:t>
            </w:r>
            <w:r>
              <w:rPr>
                <w:rFonts w:hint="default" w:ascii="Times New Roman" w:hAnsi="Times New Roman" w:eastAsia="仿宋" w:cs="Times New Roman"/>
                <w:b/>
                <w:color w:val="auto"/>
                <w:sz w:val="24"/>
                <w:szCs w:val="24"/>
                <w:highlight w:val="none"/>
              </w:rPr>
              <w:t>劳动定员及工作制度</w:t>
            </w:r>
          </w:p>
          <w:p>
            <w:pPr>
              <w:pStyle w:val="36"/>
              <w:spacing w:line="360" w:lineRule="auto"/>
              <w:ind w:firstLine="480" w:firstLineChars="200"/>
              <w:rPr>
                <w:rFonts w:hint="default" w:eastAsia="宋体"/>
                <w:color w:val="auto"/>
                <w:lang w:val="en-US" w:eastAsia="zh-CN"/>
              </w:rPr>
            </w:pPr>
            <w:r>
              <w:rPr>
                <w:rFonts w:hint="default" w:ascii="Times New Roman" w:hAnsi="Times New Roman" w:eastAsia="仿宋" w:cs="Times New Roman"/>
                <w:b w:val="0"/>
                <w:bCs/>
                <w:color w:val="auto"/>
                <w:kern w:val="2"/>
                <w:sz w:val="24"/>
                <w:szCs w:val="24"/>
                <w:highlight w:val="none"/>
                <w:lang w:val="en-US" w:eastAsia="zh-CN" w:bidi="ar-SA"/>
              </w:rPr>
              <w:t>本项目矿区劳动定员</w:t>
            </w:r>
            <w:r>
              <w:rPr>
                <w:rFonts w:hint="eastAsia" w:ascii="Times New Roman" w:eastAsia="仿宋" w:cs="Times New Roman"/>
                <w:b w:val="0"/>
                <w:bCs/>
                <w:color w:val="auto"/>
                <w:kern w:val="2"/>
                <w:sz w:val="24"/>
                <w:szCs w:val="24"/>
                <w:highlight w:val="none"/>
                <w:lang w:val="en-US" w:eastAsia="zh-CN" w:bidi="ar-SA"/>
              </w:rPr>
              <w:t>13人</w:t>
            </w:r>
            <w:r>
              <w:rPr>
                <w:rFonts w:hint="default" w:ascii="Times New Roman" w:hAnsi="Times New Roman" w:eastAsia="仿宋" w:cs="Times New Roman"/>
                <w:b w:val="0"/>
                <w:bCs/>
                <w:color w:val="auto"/>
                <w:kern w:val="2"/>
                <w:sz w:val="24"/>
                <w:szCs w:val="24"/>
                <w:highlight w:val="none"/>
                <w:lang w:val="en-US" w:eastAsia="zh-CN" w:bidi="ar-SA"/>
              </w:rPr>
              <w:t>，每年工作270天，每天1班，每班工作8小时，年工作时间为2160h</w:t>
            </w:r>
            <w:r>
              <w:rPr>
                <w:rFonts w:hint="eastAsia" w:ascii="Times New Roman" w:eastAsia="仿宋" w:cs="Times New Roman"/>
                <w:b w:val="0"/>
                <w:bCs/>
                <w:color w:val="auto"/>
                <w:kern w:val="2"/>
                <w:sz w:val="24"/>
                <w:szCs w:val="24"/>
                <w:highlight w:val="none"/>
                <w:lang w:val="en-US" w:eastAsia="zh-CN" w:bidi="ar-SA"/>
              </w:rPr>
              <w:t>，</w:t>
            </w:r>
            <w:r>
              <w:rPr>
                <w:rFonts w:hint="eastAsia" w:eastAsia="仿宋" w:cs="Times New Roman"/>
                <w:color w:val="auto"/>
                <w:sz w:val="24"/>
                <w:szCs w:val="24"/>
                <w:highlight w:val="none"/>
                <w:lang w:val="en-US" w:eastAsia="zh-CN"/>
              </w:rPr>
              <w:t>本</w:t>
            </w:r>
            <w:r>
              <w:rPr>
                <w:rFonts w:hint="default" w:ascii="Times New Roman" w:hAnsi="Times New Roman" w:eastAsia="仿宋" w:cs="Times New Roman"/>
                <w:color w:val="auto"/>
                <w:sz w:val="24"/>
                <w:szCs w:val="24"/>
                <w:highlight w:val="none"/>
                <w:lang w:val="en-US" w:eastAsia="zh-CN"/>
              </w:rPr>
              <w:t>项目不设办公生活区，工作人员食宿租用鄯善县连木沁镇民房，与本项目最近距离为10.7千米，于车内午休（停车场），午餐自带解决。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634"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总平面及现场布置</w:t>
            </w:r>
          </w:p>
        </w:tc>
        <w:tc>
          <w:tcPr>
            <w:tcW w:w="9070" w:type="dxa"/>
            <w:vAlign w:val="center"/>
          </w:tcPr>
          <w:p>
            <w:pPr>
              <w:pStyle w:val="36"/>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仿宋" w:cs="Times New Roman"/>
                <w:color w:val="auto"/>
                <w:lang w:eastAsia="zh-CN"/>
              </w:rPr>
            </w:pPr>
            <w:r>
              <w:rPr>
                <w:rFonts w:hint="default" w:ascii="Times New Roman" w:hAnsi="Times New Roman" w:eastAsia="仿宋" w:cs="Times New Roman"/>
                <w:color w:val="auto"/>
              </w:rPr>
              <w:t>该项目总占地面积</w:t>
            </w:r>
            <w:r>
              <w:rPr>
                <w:rFonts w:hint="eastAsia" w:ascii="Times New Roman" w:eastAsia="仿宋" w:cs="Times New Roman"/>
                <w:color w:val="auto"/>
                <w:lang w:val="en-US" w:eastAsia="zh-CN"/>
              </w:rPr>
              <w:t>63200</w:t>
            </w:r>
            <w:r>
              <w:rPr>
                <w:rFonts w:hint="default" w:ascii="Times New Roman" w:hAnsi="Times New Roman" w:eastAsia="仿宋" w:cs="Times New Roman"/>
                <w:color w:val="auto"/>
              </w:rPr>
              <w:t>m</w:t>
            </w:r>
            <w:r>
              <w:rPr>
                <w:rFonts w:hint="default" w:ascii="Times New Roman" w:hAnsi="Times New Roman" w:eastAsia="仿宋" w:cs="Times New Roman"/>
                <w:color w:val="auto"/>
                <w:vertAlign w:val="superscript"/>
              </w:rPr>
              <w:t>2</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lang w:val="en-US" w:eastAsia="zh-CN"/>
              </w:rPr>
              <w:t>项目区常年主导风向为东风</w:t>
            </w:r>
            <w:r>
              <w:rPr>
                <w:rFonts w:hint="eastAsia" w:ascii="Times New Roman" w:eastAsia="仿宋" w:cs="Times New Roman"/>
                <w:color w:val="auto"/>
                <w:lang w:val="en-US" w:eastAsia="zh-CN"/>
              </w:rPr>
              <w:t>，</w:t>
            </w:r>
            <w:r>
              <w:rPr>
                <w:rFonts w:hint="default" w:ascii="Times New Roman" w:hAnsi="Times New Roman" w:eastAsia="仿宋" w:cs="Times New Roman"/>
                <w:color w:val="auto"/>
                <w:lang w:eastAsia="zh-CN"/>
              </w:rPr>
              <w:t>该矿属露天开采，矿区总体布置主要由采场</w:t>
            </w:r>
            <w:r>
              <w:rPr>
                <w:rFonts w:hint="eastAsia" w:ascii="Times New Roman" w:eastAsia="仿宋" w:cs="Times New Roman"/>
                <w:color w:val="auto"/>
                <w:lang w:eastAsia="zh-CN"/>
              </w:rPr>
              <w:t>、</w:t>
            </w:r>
            <w:r>
              <w:rPr>
                <w:rFonts w:hint="eastAsia" w:ascii="Times New Roman" w:eastAsia="仿宋" w:cs="Times New Roman"/>
                <w:color w:val="auto"/>
                <w:lang w:val="en-US" w:eastAsia="zh-CN"/>
              </w:rPr>
              <w:t>道路等区域</w:t>
            </w:r>
            <w:r>
              <w:rPr>
                <w:rFonts w:hint="default" w:ascii="Times New Roman" w:hAnsi="Times New Roman" w:eastAsia="仿宋" w:cs="Times New Roman"/>
                <w:color w:val="auto"/>
                <w:lang w:eastAsia="zh-CN"/>
              </w:rPr>
              <w:t>组成。总体布置依据采区自然地形、采矿工艺和运输的要求，确定该矿总体布置如下：</w:t>
            </w:r>
          </w:p>
          <w:p>
            <w:pPr>
              <w:pStyle w:val="36"/>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lang w:eastAsia="zh-CN"/>
              </w:rPr>
              <w:t>采场首采区布置在矿区</w:t>
            </w:r>
            <w:r>
              <w:rPr>
                <w:rFonts w:hint="eastAsia" w:ascii="Times New Roman" w:hAnsi="Times New Roman" w:eastAsia="仿宋" w:cs="Times New Roman"/>
                <w:color w:val="auto"/>
                <w:lang w:val="en-US" w:eastAsia="zh-CN"/>
              </w:rPr>
              <w:t>中</w:t>
            </w:r>
            <w:r>
              <w:rPr>
                <w:rFonts w:hint="default" w:ascii="Times New Roman" w:hAnsi="Times New Roman" w:eastAsia="仿宋" w:cs="Times New Roman"/>
                <w:color w:val="auto"/>
                <w:lang w:eastAsia="zh-CN"/>
              </w:rPr>
              <w:t>部；矿区道路采用砂质路面将以上位置贯通，进出项目区道路从</w:t>
            </w:r>
            <w:r>
              <w:rPr>
                <w:rFonts w:hint="eastAsia" w:ascii="Times New Roman" w:eastAsia="仿宋" w:cs="Times New Roman"/>
                <w:color w:val="auto"/>
                <w:lang w:val="en-US" w:eastAsia="zh-CN"/>
              </w:rPr>
              <w:t>南</w:t>
            </w:r>
            <w:r>
              <w:rPr>
                <w:rFonts w:hint="default" w:ascii="Times New Roman" w:hAnsi="Times New Roman" w:eastAsia="仿宋" w:cs="Times New Roman"/>
                <w:color w:val="auto"/>
                <w:lang w:eastAsia="zh-CN"/>
              </w:rPr>
              <w:t>侧至已有简易道路</w:t>
            </w:r>
            <w:r>
              <w:rPr>
                <w:rFonts w:hint="eastAsia" w:ascii="Times New Roman" w:eastAsia="仿宋" w:cs="Times New Roman"/>
                <w:color w:val="auto"/>
                <w:lang w:eastAsia="zh-CN"/>
              </w:rPr>
              <w:t>，</w:t>
            </w:r>
            <w:r>
              <w:rPr>
                <w:rFonts w:hint="eastAsia" w:ascii="Times New Roman" w:eastAsia="仿宋" w:cs="Times New Roman"/>
                <w:color w:val="auto"/>
                <w:lang w:val="en-US" w:eastAsia="zh-CN"/>
              </w:rPr>
              <w:t>停车场位于厂区东南侧，便于工作人员午休，</w:t>
            </w:r>
            <w:r>
              <w:rPr>
                <w:rFonts w:hint="default" w:ascii="Times New Roman" w:hAnsi="Times New Roman" w:eastAsia="仿宋" w:cs="Times New Roman"/>
                <w:color w:val="auto"/>
                <w:kern w:val="0"/>
                <w:sz w:val="24"/>
                <w:szCs w:val="24"/>
                <w:lang w:val="en-US" w:eastAsia="zh-CN" w:bidi="ar"/>
              </w:rPr>
              <w:t>沉淀池</w:t>
            </w:r>
            <w:r>
              <w:rPr>
                <w:rFonts w:hint="eastAsia" w:ascii="Times New Roman" w:hAnsi="Times New Roman" w:eastAsia="仿宋" w:cs="Times New Roman"/>
                <w:color w:val="auto"/>
                <w:kern w:val="0"/>
                <w:sz w:val="24"/>
                <w:szCs w:val="24"/>
                <w:lang w:val="en-US" w:eastAsia="zh-CN" w:bidi="ar"/>
              </w:rPr>
              <w:t>位于厂区出入口，本项目不设置堆土场，采用现用现拉运方式。</w:t>
            </w:r>
          </w:p>
          <w:p>
            <w:pPr>
              <w:pStyle w:val="36"/>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lang w:eastAsia="zh-CN"/>
              </w:rPr>
              <w:t>项目区功能分区明确，整体布置紧凑合理，较好的利用了地形，故本项目平面布置基本合理。</w:t>
            </w:r>
            <w:r>
              <w:rPr>
                <w:rFonts w:hint="default" w:ascii="Times New Roman" w:hAnsi="Times New Roman" w:eastAsia="仿宋" w:cs="Times New Roman"/>
                <w:color w:val="auto"/>
              </w:rPr>
              <w:t>本项目</w:t>
            </w:r>
            <w:r>
              <w:rPr>
                <w:rFonts w:hint="default" w:ascii="Times New Roman" w:hAnsi="Times New Roman" w:eastAsia="仿宋" w:cs="Times New Roman"/>
                <w:color w:val="auto"/>
                <w:lang w:val="en-US" w:eastAsia="zh-CN"/>
              </w:rPr>
              <w:t>平面</w:t>
            </w:r>
            <w:r>
              <w:rPr>
                <w:rFonts w:hint="default" w:ascii="Times New Roman" w:hAnsi="Times New Roman" w:eastAsia="仿宋" w:cs="Times New Roman"/>
                <w:color w:val="auto"/>
              </w:rPr>
              <w:t>布置示意图见图2-</w:t>
            </w:r>
            <w:r>
              <w:rPr>
                <w:rFonts w:hint="default" w:ascii="Times New Roman" w:hAnsi="Times New Roman" w:eastAsia="仿宋" w:cs="Times New Roman"/>
                <w:color w:val="auto"/>
                <w:lang w:val="en-US" w:eastAsia="zh-CN"/>
              </w:rPr>
              <w:t>4</w:t>
            </w:r>
            <w:r>
              <w:rPr>
                <w:rFonts w:hint="default" w:ascii="Times New Roman" w:hAnsi="Times New Roman" w:eastAsia="仿宋" w:cs="Times New Roman"/>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施工方案</w:t>
            </w:r>
          </w:p>
        </w:tc>
        <w:tc>
          <w:tcPr>
            <w:tcW w:w="9070" w:type="dxa"/>
            <w:vAlign w:val="center"/>
          </w:tcPr>
          <w:p>
            <w:pPr>
              <w:pStyle w:val="36"/>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2" w:firstLineChars="200"/>
              <w:textAlignment w:val="auto"/>
              <w:rPr>
                <w:rFonts w:hint="default" w:ascii="Times New Roman" w:hAnsi="Times New Roman" w:eastAsia="仿宋" w:cs="Times New Roman"/>
                <w:b/>
                <w:bCs/>
                <w:color w:val="auto"/>
                <w:lang w:val="en-US" w:eastAsia="zh-CN"/>
              </w:rPr>
            </w:pPr>
            <w:r>
              <w:rPr>
                <w:rFonts w:hint="default" w:ascii="Times New Roman" w:hAnsi="Times New Roman" w:eastAsia="仿宋" w:cs="Times New Roman"/>
                <w:b/>
                <w:bCs/>
                <w:color w:val="auto"/>
              </w:rPr>
              <w:t>1、施工工艺</w:t>
            </w:r>
            <w:r>
              <w:rPr>
                <w:rFonts w:hint="default" w:ascii="Times New Roman" w:hAnsi="Times New Roman" w:eastAsia="仿宋" w:cs="Times New Roman"/>
                <w:b/>
                <w:bCs/>
                <w:color w:val="auto"/>
                <w:lang w:val="en-US" w:eastAsia="zh-CN"/>
              </w:rPr>
              <w:t>流程</w:t>
            </w:r>
          </w:p>
          <w:p>
            <w:pPr>
              <w:adjustRightInd w:val="0"/>
              <w:snapToGrid w:val="0"/>
              <w:ind w:firstLine="420"/>
              <w:rPr>
                <w:rFonts w:hint="default" w:ascii="Times New Roman" w:hAnsi="Times New Roman" w:eastAsia="仿宋" w:cs="Times New Roman"/>
                <w:color w:val="auto"/>
              </w:rPr>
            </w:pPr>
            <w:r>
              <w:rPr>
                <w:rFonts w:hint="default" w:ascii="Times New Roman" w:hAnsi="Times New Roman" w:eastAsia="仿宋" w:cs="Times New Roman"/>
                <w:color w:val="auto"/>
              </w:rPr>
              <w:t>本项目工程施工期主要对</w:t>
            </w:r>
            <w:r>
              <w:rPr>
                <w:rFonts w:hint="default" w:ascii="Times New Roman" w:hAnsi="Times New Roman" w:eastAsia="仿宋" w:cs="Times New Roman"/>
                <w:color w:val="auto"/>
                <w:lang w:val="en-US" w:eastAsia="zh-CN"/>
              </w:rPr>
              <w:t>厂区平整、设备安装</w:t>
            </w:r>
            <w:r>
              <w:rPr>
                <w:rFonts w:hint="default" w:ascii="Times New Roman" w:hAnsi="Times New Roman" w:eastAsia="仿宋" w:cs="Times New Roman"/>
                <w:color w:val="auto"/>
              </w:rPr>
              <w:t>等。</w:t>
            </w:r>
          </w:p>
          <w:p>
            <w:pPr>
              <w:adjustRightInd w:val="0"/>
              <w:snapToGrid w:val="0"/>
              <w:ind w:firstLine="420"/>
              <w:jc w:val="center"/>
              <w:rPr>
                <w:rFonts w:hint="default" w:ascii="Times New Roman" w:hAnsi="Times New Roman" w:eastAsia="仿宋" w:cs="Times New Roman"/>
                <w:color w:val="auto"/>
              </w:rPr>
            </w:pPr>
            <w:r>
              <w:rPr>
                <w:rFonts w:hint="default" w:ascii="Times New Roman" w:hAnsi="Times New Roman" w:eastAsia="仿宋" w:cs="Times New Roman"/>
                <w:color w:val="auto"/>
              </w:rPr>
              <w:drawing>
                <wp:inline distT="0" distB="0" distL="0" distR="0">
                  <wp:extent cx="5398135" cy="850900"/>
                  <wp:effectExtent l="0" t="0" r="12065"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398135" cy="850900"/>
                          </a:xfrm>
                          <a:prstGeom prst="rect">
                            <a:avLst/>
                          </a:prstGeom>
                          <a:noFill/>
                          <a:ln>
                            <a:noFill/>
                          </a:ln>
                        </pic:spPr>
                      </pic:pic>
                    </a:graphicData>
                  </a:graphic>
                </wp:inline>
              </w:drawing>
            </w:r>
          </w:p>
          <w:p>
            <w:pPr>
              <w:pStyle w:val="36"/>
              <w:spacing w:line="360" w:lineRule="auto"/>
              <w:ind w:firstLine="482" w:firstLineChars="20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rPr>
              <w:t>图2-</w:t>
            </w:r>
            <w:r>
              <w:rPr>
                <w:rFonts w:hint="eastAsia" w:ascii="Times New Roman" w:hAnsi="Times New Roman" w:eastAsia="仿宋" w:cs="Times New Roman"/>
                <w:b/>
                <w:bCs/>
                <w:color w:val="auto"/>
                <w:lang w:val="en-US" w:eastAsia="zh-CN"/>
              </w:rPr>
              <w:t>5</w:t>
            </w:r>
            <w:r>
              <w:rPr>
                <w:rFonts w:hint="default" w:ascii="Times New Roman" w:hAnsi="Times New Roman" w:eastAsia="仿宋" w:cs="Times New Roman"/>
                <w:b/>
                <w:bCs/>
                <w:color w:val="auto"/>
              </w:rPr>
              <w:t>施工期工艺流程图</w:t>
            </w:r>
          </w:p>
          <w:p>
            <w:pPr>
              <w:pStyle w:val="36"/>
              <w:numPr>
                <w:ilvl w:val="0"/>
                <w:numId w:val="0"/>
              </w:numPr>
              <w:spacing w:line="360" w:lineRule="auto"/>
              <w:ind w:firstLine="482" w:firstLineChars="200"/>
              <w:rPr>
                <w:rFonts w:hint="default" w:ascii="Times New Roman" w:hAnsi="Times New Roman" w:eastAsia="仿宋" w:cs="Times New Roman"/>
                <w:b/>
                <w:bCs/>
                <w:color w:val="auto"/>
              </w:rPr>
            </w:pPr>
            <w:r>
              <w:rPr>
                <w:rFonts w:hint="eastAsia" w:ascii="Times New Roman" w:eastAsia="仿宋" w:cs="Times New Roman"/>
                <w:b/>
                <w:bCs/>
                <w:color w:val="auto"/>
                <w:lang w:val="en-US" w:eastAsia="zh-CN"/>
              </w:rPr>
              <w:t>2、</w:t>
            </w:r>
            <w:r>
              <w:rPr>
                <w:rFonts w:hint="default" w:ascii="Times New Roman" w:hAnsi="Times New Roman" w:eastAsia="仿宋" w:cs="Times New Roman"/>
                <w:b/>
                <w:bCs/>
                <w:color w:val="auto"/>
              </w:rPr>
              <w:t>运营期工艺流程图</w:t>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r>
              <w:rPr>
                <w:color w:val="auto"/>
                <w:sz w:val="24"/>
              </w:rPr>
              <mc:AlternateContent>
                <mc:Choice Requires="wpg">
                  <w:drawing>
                    <wp:anchor distT="0" distB="0" distL="114300" distR="114300" simplePos="0" relativeHeight="251674624" behindDoc="0" locked="0" layoutInCell="1" allowOverlap="1">
                      <wp:simplePos x="0" y="0"/>
                      <wp:positionH relativeFrom="column">
                        <wp:posOffset>1684655</wp:posOffset>
                      </wp:positionH>
                      <wp:positionV relativeFrom="paragraph">
                        <wp:posOffset>26670</wp:posOffset>
                      </wp:positionV>
                      <wp:extent cx="2849245" cy="1546225"/>
                      <wp:effectExtent l="4445" t="4445" r="22860" b="11430"/>
                      <wp:wrapNone/>
                      <wp:docPr id="21" name="组合 21"/>
                      <wp:cNvGraphicFramePr/>
                      <a:graphic xmlns:a="http://schemas.openxmlformats.org/drawingml/2006/main">
                        <a:graphicData uri="http://schemas.microsoft.com/office/word/2010/wordprocessingGroup">
                          <wpg:wgp>
                            <wpg:cNvGrpSpPr/>
                            <wpg:grpSpPr>
                              <a:xfrm>
                                <a:off x="0" y="0"/>
                                <a:ext cx="2849245" cy="1546225"/>
                                <a:chOff x="5003" y="430063"/>
                                <a:chExt cx="4487" cy="2435"/>
                              </a:xfrm>
                            </wpg:grpSpPr>
                            <wps:wsp>
                              <wps:cNvPr id="9" name="文本框 9"/>
                              <wps:cNvSpPr txBox="1"/>
                              <wps:spPr>
                                <a:xfrm>
                                  <a:off x="5489" y="430068"/>
                                  <a:ext cx="1513" cy="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4"/>
                                        <w:szCs w:val="32"/>
                                        <w:lang w:val="en-US" w:eastAsia="zh-CN"/>
                                      </w:rPr>
                                    </w:pPr>
                                    <w:r>
                                      <w:rPr>
                                        <w:rFonts w:hint="eastAsia"/>
                                        <w:sz w:val="24"/>
                                        <w:szCs w:val="32"/>
                                        <w:lang w:val="en-US" w:eastAsia="zh-CN"/>
                                      </w:rPr>
                                      <w:t>露天开采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直接箭头连接符 10"/>
                              <wps:cNvCnPr>
                                <a:stCxn id="9" idx="3"/>
                              </wps:cNvCnPr>
                              <wps:spPr>
                                <a:xfrm>
                                  <a:off x="7002" y="430293"/>
                                  <a:ext cx="805" cy="7"/>
                                </a:xfrm>
                                <a:prstGeom prst="straightConnector1">
                                  <a:avLst/>
                                </a:prstGeom>
                                <a:ln w="12700" cap="flat" cmpd="sng">
                                  <a:solidFill>
                                    <a:srgbClr val="000000"/>
                                  </a:solidFill>
                                  <a:prstDash val="sysDot"/>
                                  <a:headEnd type="none" w="med" len="med"/>
                                  <a:tailEnd type="arrow" w="med" len="med"/>
                                </a:ln>
                              </wps:spPr>
                              <wps:bodyPr/>
                            </wps:wsp>
                            <wps:wsp>
                              <wps:cNvPr id="12" name="文本框 12"/>
                              <wps:cNvSpPr txBox="1"/>
                              <wps:spPr>
                                <a:xfrm>
                                  <a:off x="7802" y="430063"/>
                                  <a:ext cx="1513" cy="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4"/>
                                        <w:szCs w:val="32"/>
                                        <w:lang w:val="en-US" w:eastAsia="zh-CN"/>
                                      </w:rPr>
                                    </w:pPr>
                                    <w:r>
                                      <w:rPr>
                                        <w:rFonts w:hint="eastAsia"/>
                                        <w:sz w:val="24"/>
                                        <w:szCs w:val="32"/>
                                        <w:lang w:val="en-US" w:eastAsia="zh-CN"/>
                                      </w:rPr>
                                      <w:t>粉尘、噪声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直接箭头连接符 13"/>
                              <wps:cNvCnPr/>
                              <wps:spPr>
                                <a:xfrm>
                                  <a:off x="6220" y="430531"/>
                                  <a:ext cx="7" cy="522"/>
                                </a:xfrm>
                                <a:prstGeom prst="straightConnector1">
                                  <a:avLst/>
                                </a:prstGeom>
                                <a:ln w="6350" cap="flat" cmpd="sng">
                                  <a:solidFill>
                                    <a:srgbClr val="000000"/>
                                  </a:solidFill>
                                  <a:prstDash val="sysDot"/>
                                  <a:headEnd type="none" w="med" len="med"/>
                                  <a:tailEnd type="arrow" w="med" len="med"/>
                                </a:ln>
                              </wps:spPr>
                              <wps:bodyPr/>
                            </wps:wsp>
                            <wps:wsp>
                              <wps:cNvPr id="14" name="文本框 14"/>
                              <wps:cNvSpPr txBox="1"/>
                              <wps:spPr>
                                <a:xfrm>
                                  <a:off x="5003" y="431058"/>
                                  <a:ext cx="2481" cy="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sz w:val="32"/>
                                        <w:szCs w:val="40"/>
                                        <w:lang w:val="en-US" w:eastAsia="zh-CN"/>
                                      </w:rPr>
                                    </w:pPr>
                                    <w:r>
                                      <w:rPr>
                                        <w:rFonts w:hint="default"/>
                                        <w:sz w:val="24"/>
                                        <w:szCs w:val="32"/>
                                        <w:lang w:val="en-US" w:eastAsia="zh-CN"/>
                                      </w:rPr>
                                      <w:t>0.5-2cm</w:t>
                                    </w:r>
                                    <w:r>
                                      <w:rPr>
                                        <w:rFonts w:hint="eastAsia"/>
                                        <w:sz w:val="24"/>
                                        <w:szCs w:val="32"/>
                                        <w:lang w:val="en-US" w:eastAsia="zh-CN"/>
                                      </w:rPr>
                                      <w:t>路基填筑料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直接箭头连接符 15"/>
                              <wps:cNvCnPr/>
                              <wps:spPr>
                                <a:xfrm>
                                  <a:off x="6235" y="431521"/>
                                  <a:ext cx="7" cy="522"/>
                                </a:xfrm>
                                <a:prstGeom prst="straightConnector1">
                                  <a:avLst/>
                                </a:prstGeom>
                                <a:ln w="6350" cap="flat" cmpd="sng">
                                  <a:solidFill>
                                    <a:srgbClr val="000000"/>
                                  </a:solidFill>
                                  <a:prstDash val="sysDot"/>
                                  <a:headEnd type="none" w="med" len="med"/>
                                  <a:tailEnd type="arrow" w="med" len="med"/>
                                </a:ln>
                              </wps:spPr>
                              <wps:bodyPr/>
                            </wps:wsp>
                            <wps:wsp>
                              <wps:cNvPr id="16" name="文本框 16"/>
                              <wps:cNvSpPr txBox="1"/>
                              <wps:spPr>
                                <a:xfrm>
                                  <a:off x="5482" y="432048"/>
                                  <a:ext cx="1690" cy="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sz w:val="32"/>
                                        <w:szCs w:val="40"/>
                                        <w:lang w:val="en-US" w:eastAsia="zh-CN"/>
                                      </w:rPr>
                                    </w:pPr>
                                    <w:r>
                                      <w:rPr>
                                        <w:rFonts w:hint="eastAsia"/>
                                        <w:sz w:val="24"/>
                                        <w:szCs w:val="32"/>
                                        <w:lang w:val="en-US" w:eastAsia="zh-CN"/>
                                      </w:rPr>
                                      <w:t>装车外运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箭头连接符 17"/>
                              <wps:cNvCnPr/>
                              <wps:spPr>
                                <a:xfrm>
                                  <a:off x="7189" y="432258"/>
                                  <a:ext cx="805" cy="7"/>
                                </a:xfrm>
                                <a:prstGeom prst="straightConnector1">
                                  <a:avLst/>
                                </a:prstGeom>
                                <a:ln w="12700" cap="flat" cmpd="sng">
                                  <a:solidFill>
                                    <a:srgbClr val="000000"/>
                                  </a:solidFill>
                                  <a:prstDash val="sysDot"/>
                                  <a:headEnd type="none" w="med" len="med"/>
                                  <a:tailEnd type="arrow" w="med" len="med"/>
                                </a:ln>
                              </wps:spPr>
                              <wps:bodyPr/>
                            </wps:wsp>
                            <wps:wsp>
                              <wps:cNvPr id="18" name="文本框 18"/>
                              <wps:cNvSpPr txBox="1"/>
                              <wps:spPr>
                                <a:xfrm>
                                  <a:off x="7978" y="432028"/>
                                  <a:ext cx="1513" cy="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4"/>
                                        <w:szCs w:val="32"/>
                                        <w:lang w:val="en-US" w:eastAsia="zh-CN"/>
                                      </w:rPr>
                                    </w:pPr>
                                    <w:r>
                                      <w:rPr>
                                        <w:rFonts w:hint="eastAsia"/>
                                        <w:sz w:val="24"/>
                                        <w:szCs w:val="32"/>
                                        <w:lang w:val="en-US" w:eastAsia="zh-CN"/>
                                      </w:rPr>
                                      <w:t>粉尘、噪声</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32.65pt;margin-top:2.1pt;height:121.75pt;width:224.35pt;z-index:251674624;mso-width-relative:page;mso-height-relative:page;" coordorigin="5003,430063" coordsize="4487,2435" o:gfxdata="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">
                      <o:lock v:ext="edit" aspectratio="f"/>
                      <v:shape id="_x0000_s1026" o:spid="_x0000_s1026" o:spt="202" type="#_x0000_t202" style="position:absolute;left:5489;top:430068;height:450;width:1513;"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ind w:left="0" w:leftChars="0" w:firstLine="0" w:firstLineChars="0"/>
                                <w:jc w:val="center"/>
                                <w:rPr>
                                  <w:rFonts w:hint="default" w:eastAsia="宋体"/>
                                  <w:sz w:val="24"/>
                                  <w:szCs w:val="32"/>
                                  <w:lang w:val="en-US" w:eastAsia="zh-CN"/>
                                </w:rPr>
                              </w:pPr>
                              <w:r>
                                <w:rPr>
                                  <w:rFonts w:hint="eastAsia"/>
                                  <w:sz w:val="24"/>
                                  <w:szCs w:val="32"/>
                                  <w:lang w:val="en-US" w:eastAsia="zh-CN"/>
                                </w:rPr>
                                <w:t>露天开采</w:t>
                              </w:r>
                            </w:p>
                          </w:txbxContent>
                        </v:textbox>
                      </v:shape>
                      <v:shape id="_x0000_s1026" o:spid="_x0000_s1026" o:spt="32" type="#_x0000_t32" style="position:absolute;left:7002;top:430293;height:7;width:805;" filled="f" stroked="t" coordsize="21600,21600" o:gfxdata="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yM6DvQAA&#10;ANsAAAAPAAAAAAAAAAEAIAAAACIAAABkcnMvZG93bnJldi54bWxQSwECFAAUAAAACACHTuJAMy8F&#10;njsAAAA5AAAAEAAAAAAAAAABACAAAAAMAQAAZHJzL3NoYXBleG1sLnhtbFBLBQYAAAAABgAGAFsB&#10;AAC2AwAAAAA=&#10;">
                        <v:fill on="f" focussize="0,0"/>
                        <v:stroke weight="1pt" color="#000000" joinstyle="round" dashstyle="1 1" endarrow="open"/>
                        <v:imagedata o:title=""/>
                        <o:lock v:ext="edit" aspectratio="f"/>
                      </v:shape>
                      <v:shape id="_x0000_s1026" o:spid="_x0000_s1026" o:spt="202" type="#_x0000_t202" style="position:absolute;left:7802;top:430063;height:450;width:1513;"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ind w:left="0" w:leftChars="0" w:firstLine="0" w:firstLineChars="0"/>
                                <w:jc w:val="center"/>
                                <w:rPr>
                                  <w:rFonts w:hint="default" w:eastAsia="宋体"/>
                                  <w:sz w:val="24"/>
                                  <w:szCs w:val="32"/>
                                  <w:lang w:val="en-US" w:eastAsia="zh-CN"/>
                                </w:rPr>
                              </w:pPr>
                              <w:r>
                                <w:rPr>
                                  <w:rFonts w:hint="eastAsia"/>
                                  <w:sz w:val="24"/>
                                  <w:szCs w:val="32"/>
                                  <w:lang w:val="en-US" w:eastAsia="zh-CN"/>
                                </w:rPr>
                                <w:t>粉尘、噪声</w:t>
                              </w:r>
                            </w:p>
                          </w:txbxContent>
                        </v:textbox>
                      </v:shape>
                      <v:shape id="_x0000_s1026" o:spid="_x0000_s1026" o:spt="32" type="#_x0000_t32" style="position:absolute;left:6220;top:430531;height:522;width:7;" filled="f" stroked="t" coordsize="21600,21600" o:gfxdata="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QPtA7sAAADb&#10;AAAADwAAAAAAAAABACAAAAAiAAAAZHJzL2Rvd25yZXYueG1sUEsBAhQAFAAAAAgAh07iQDMvBZ47&#10;AAAAOQAAABAAAAAAAAAAAQAgAAAACgEAAGRycy9zaGFwZXhtbC54bWxQSwUGAAAAAAYABgBbAQAA&#10;tAMAAAAA&#10;">
                        <v:fill on="f" focussize="0,0"/>
                        <v:stroke weight="0.5pt" color="#000000" joinstyle="round" dashstyle="1 1" endarrow="open"/>
                        <v:imagedata o:title=""/>
                        <o:lock v:ext="edit" aspectratio="f"/>
                      </v:shape>
                      <v:shape id="_x0000_s1026" o:spid="_x0000_s1026" o:spt="202" type="#_x0000_t202" style="position:absolute;left:5003;top:431058;height:450;width:2481;"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ind w:left="0" w:leftChars="0" w:firstLine="0" w:firstLineChars="0"/>
                                <w:rPr>
                                  <w:rFonts w:hint="default"/>
                                  <w:sz w:val="32"/>
                                  <w:szCs w:val="40"/>
                                  <w:lang w:val="en-US" w:eastAsia="zh-CN"/>
                                </w:rPr>
                              </w:pPr>
                              <w:r>
                                <w:rPr>
                                  <w:rFonts w:hint="default"/>
                                  <w:sz w:val="24"/>
                                  <w:szCs w:val="32"/>
                                  <w:lang w:val="en-US" w:eastAsia="zh-CN"/>
                                </w:rPr>
                                <w:t>0.5-2cm</w:t>
                              </w:r>
                              <w:r>
                                <w:rPr>
                                  <w:rFonts w:hint="eastAsia"/>
                                  <w:sz w:val="24"/>
                                  <w:szCs w:val="32"/>
                                  <w:lang w:val="en-US" w:eastAsia="zh-CN"/>
                                </w:rPr>
                                <w:t>路基填筑料</w:t>
                              </w:r>
                            </w:p>
                          </w:txbxContent>
                        </v:textbox>
                      </v:shape>
                      <v:shape id="_x0000_s1026" o:spid="_x0000_s1026" o:spt="32" type="#_x0000_t32" style="position:absolute;left:6235;top:431521;height:522;width:7;" filled="f" stroked="t" coordsize="21600,21600" o:gfxdata="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m0Oy8AAAA&#10;2wAAAA8AAAAAAAAAAQAgAAAAIgAAAGRycy9kb3ducmV2LnhtbFBLAQIUABQAAAAIAIdO4kAzLwWe&#10;OwAAADkAAAAQAAAAAAAAAAEAIAAAAAsBAABkcnMvc2hhcGV4bWwueG1sUEsFBgAAAAAGAAYAWwEA&#10;ALUDAAAAAA==&#10;">
                        <v:fill on="f" focussize="0,0"/>
                        <v:stroke weight="0.5pt" color="#000000" joinstyle="round" dashstyle="1 1" endarrow="open"/>
                        <v:imagedata o:title=""/>
                        <o:lock v:ext="edit" aspectratio="f"/>
                      </v:shape>
                      <v:shape id="_x0000_s1026" o:spid="_x0000_s1026" o:spt="202" type="#_x0000_t202" style="position:absolute;left:5482;top:432048;height:450;width:1690;"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ind w:left="0" w:leftChars="0" w:firstLine="0" w:firstLineChars="0"/>
                                <w:jc w:val="center"/>
                                <w:rPr>
                                  <w:rFonts w:hint="default"/>
                                  <w:sz w:val="32"/>
                                  <w:szCs w:val="40"/>
                                  <w:lang w:val="en-US" w:eastAsia="zh-CN"/>
                                </w:rPr>
                              </w:pPr>
                              <w:r>
                                <w:rPr>
                                  <w:rFonts w:hint="eastAsia"/>
                                  <w:sz w:val="24"/>
                                  <w:szCs w:val="32"/>
                                  <w:lang w:val="en-US" w:eastAsia="zh-CN"/>
                                </w:rPr>
                                <w:t>装车外运</w:t>
                              </w:r>
                            </w:p>
                          </w:txbxContent>
                        </v:textbox>
                      </v:shape>
                      <v:shape id="_x0000_s1026" o:spid="_x0000_s1026" o:spt="32" type="#_x0000_t32" style="position:absolute;left:7189;top:432258;height:7;width:805;" filled="f" stroked="t" coordsize="21600,21600" o:gfxdata="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IVb3ugAAANsA&#10;AAAPAAAAAAAAAAEAIAAAACIAAABkcnMvZG93bnJldi54bWxQSwECFAAUAAAACACHTuJAMy8FnjsA&#10;AAA5AAAAEAAAAAAAAAABACAAAAAJAQAAZHJzL3NoYXBleG1sLnhtbFBLBQYAAAAABgAGAFsBAACz&#10;AwAAAAA=&#10;">
                        <v:fill on="f" focussize="0,0"/>
                        <v:stroke weight="1pt" color="#000000" joinstyle="round" dashstyle="1 1" endarrow="open"/>
                        <v:imagedata o:title=""/>
                        <o:lock v:ext="edit" aspectratio="f"/>
                      </v:shape>
                      <v:shape id="_x0000_s1026" o:spid="_x0000_s1026" o:spt="202" type="#_x0000_t202" style="position:absolute;left:7978;top:432028;height:450;width:1513;" fillcolor="#FFFFFF [3201]" filled="t" stroked="t" coordsize="21600,21600" o:gfxdata="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KOIL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ind w:left="0" w:leftChars="0" w:firstLine="0" w:firstLineChars="0"/>
                                <w:jc w:val="center"/>
                                <w:rPr>
                                  <w:rFonts w:hint="default" w:eastAsia="宋体"/>
                                  <w:sz w:val="24"/>
                                  <w:szCs w:val="32"/>
                                  <w:lang w:val="en-US" w:eastAsia="zh-CN"/>
                                </w:rPr>
                              </w:pPr>
                              <w:r>
                                <w:rPr>
                                  <w:rFonts w:hint="eastAsia"/>
                                  <w:sz w:val="24"/>
                                  <w:szCs w:val="32"/>
                                  <w:lang w:val="en-US" w:eastAsia="zh-CN"/>
                                </w:rPr>
                                <w:t>粉尘、噪声</w:t>
                              </w:r>
                            </w:p>
                          </w:txbxContent>
                        </v:textbox>
                      </v:shape>
                    </v:group>
                  </w:pict>
                </mc:Fallback>
              </mc:AlternateContent>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r>
              <w:rPr>
                <w:rFonts w:hint="default" w:ascii="Times New Roman" w:hAnsi="Times New Roman" w:eastAsia="仿宋" w:cs="Times New Roman"/>
                <w:b/>
                <w:bCs/>
                <w:color w:val="auto"/>
                <w:sz w:val="24"/>
                <w:szCs w:val="32"/>
                <w:highlight w:val="none"/>
              </w:rPr>
              <w:t>图2-</w:t>
            </w:r>
            <w:r>
              <w:rPr>
                <w:rFonts w:hint="eastAsia" w:ascii="Times New Roman" w:hAnsi="Times New Roman" w:eastAsia="仿宋" w:cs="Times New Roman"/>
                <w:b/>
                <w:bCs/>
                <w:color w:val="auto"/>
                <w:sz w:val="24"/>
                <w:szCs w:val="32"/>
                <w:highlight w:val="none"/>
                <w:lang w:val="en-US" w:eastAsia="zh-CN"/>
              </w:rPr>
              <w:t>6</w:t>
            </w:r>
            <w:r>
              <w:rPr>
                <w:rFonts w:hint="default" w:ascii="Times New Roman" w:hAnsi="Times New Roman" w:eastAsia="仿宋" w:cs="Times New Roman"/>
                <w:b/>
                <w:bCs/>
                <w:color w:val="auto"/>
                <w:sz w:val="24"/>
                <w:szCs w:val="32"/>
                <w:highlight w:val="none"/>
              </w:rPr>
              <w:t>工艺流程图</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3"/>
              </w:rPr>
              <w:t>根据矿体赋存及矿区地形地貌条件、开采深度、矿山开采技术条件以及所选用的</w:t>
            </w:r>
            <w:r>
              <w:rPr>
                <w:rFonts w:hint="default" w:ascii="Times New Roman" w:hAnsi="Times New Roman" w:eastAsia="仿宋" w:cs="Times New Roman"/>
                <w:color w:val="auto"/>
                <w:spacing w:val="3"/>
                <w:lang w:eastAsia="zh-CN"/>
              </w:rPr>
              <w:t>采矿</w:t>
            </w:r>
            <w:r>
              <w:rPr>
                <w:rFonts w:hint="default" w:ascii="Times New Roman" w:hAnsi="Times New Roman" w:eastAsia="仿宋" w:cs="Times New Roman"/>
                <w:color w:val="auto"/>
                <w:spacing w:val="3"/>
              </w:rPr>
              <w:t>设备等，项目采用露天开采</w:t>
            </w:r>
            <w:r>
              <w:rPr>
                <w:rFonts w:hint="eastAsia" w:ascii="Times New Roman" w:hAnsi="Times New Roman" w:eastAsia="仿宋" w:cs="Times New Roman"/>
                <w:color w:val="auto"/>
                <w:spacing w:val="3"/>
                <w:lang w:eastAsia="zh-CN"/>
              </w:rPr>
              <w:t>（</w:t>
            </w:r>
            <w:r>
              <w:rPr>
                <w:rFonts w:hint="eastAsia" w:ascii="Times New Roman" w:hAnsi="Times New Roman" w:eastAsia="仿宋" w:cs="Times New Roman"/>
                <w:color w:val="auto"/>
                <w:spacing w:val="3"/>
                <w:lang w:val="en-US" w:eastAsia="zh-CN"/>
              </w:rPr>
              <w:t>无剥离工序</w:t>
            </w:r>
            <w:r>
              <w:rPr>
                <w:rFonts w:hint="eastAsia" w:ascii="Times New Roman" w:hAnsi="Times New Roman" w:eastAsia="仿宋" w:cs="Times New Roman"/>
                <w:color w:val="auto"/>
                <w:spacing w:val="3"/>
                <w:lang w:eastAsia="zh-CN"/>
              </w:rPr>
              <w:t>）</w:t>
            </w:r>
            <w:r>
              <w:rPr>
                <w:rFonts w:hint="default" w:ascii="Times New Roman" w:hAnsi="Times New Roman" w:eastAsia="仿宋" w:cs="Times New Roman"/>
                <w:color w:val="auto"/>
                <w:spacing w:val="3"/>
              </w:rPr>
              <w:t>，采用自上而下开采方法。矿山岩土疏松，可采用挖掘机采掘</w:t>
            </w:r>
            <w:r>
              <w:rPr>
                <w:rFonts w:hint="default" w:ascii="Times New Roman" w:hAnsi="Times New Roman" w:eastAsia="仿宋" w:cs="Times New Roman"/>
                <w:color w:val="auto"/>
                <w:spacing w:val="-1"/>
              </w:rPr>
              <w:t>。</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3"/>
              </w:rPr>
              <w:t>（1）开采方法</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1"/>
              </w:rPr>
              <w:t>设计采用挖掘机和汽车运输采矿方法，不涉及炸药。</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3"/>
              </w:rPr>
              <w:t>（2）开拓运输系统</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Times New Roman" w:hAnsi="Times New Roman" w:eastAsia="仿宋" w:cs="Times New Roman"/>
                <w:b/>
                <w:bCs/>
                <w:color w:val="auto"/>
                <w:kern w:val="0"/>
                <w:sz w:val="24"/>
                <w:szCs w:val="24"/>
                <w:highlight w:val="none"/>
                <w:lang w:val="en-US" w:eastAsia="zh-CN" w:bidi="ar-SA"/>
              </w:rPr>
            </w:pPr>
            <w:r>
              <w:rPr>
                <w:rFonts w:hint="default" w:ascii="Times New Roman" w:hAnsi="Times New Roman" w:eastAsia="仿宋" w:cs="Times New Roman"/>
                <w:color w:val="auto"/>
                <w:spacing w:val="-1"/>
              </w:rPr>
              <w:t>该矿系露天矿，砂石料内部运输采用挖掘机</w:t>
            </w:r>
            <w:r>
              <w:rPr>
                <w:rFonts w:hint="eastAsia" w:ascii="Times New Roman" w:hAnsi="Times New Roman" w:eastAsia="仿宋" w:cs="Times New Roman"/>
                <w:color w:val="auto"/>
                <w:spacing w:val="-1"/>
                <w:lang w:val="en-US" w:eastAsia="zh-CN"/>
              </w:rPr>
              <w:t>装载机，</w:t>
            </w:r>
            <w:r>
              <w:rPr>
                <w:rFonts w:hint="default" w:ascii="Times New Roman" w:hAnsi="Times New Roman" w:eastAsia="仿宋" w:cs="Times New Roman"/>
                <w:color w:val="auto"/>
                <w:spacing w:val="3"/>
              </w:rPr>
              <w:t>由挖掘机装载至自卸汽车将砂卵石</w:t>
            </w:r>
            <w:r>
              <w:rPr>
                <w:rFonts w:hint="default" w:ascii="Times New Roman" w:hAnsi="Times New Roman" w:eastAsia="仿宋" w:cs="Times New Roman"/>
                <w:color w:val="auto"/>
                <w:spacing w:val="3"/>
                <w:lang w:val="en-US" w:eastAsia="zh-CN"/>
              </w:rPr>
              <w:t>装车外运</w:t>
            </w:r>
            <w:r>
              <w:rPr>
                <w:rFonts w:hint="eastAsia" w:ascii="Times New Roman" w:hAnsi="Times New Roman" w:eastAsia="仿宋" w:cs="Times New Roman"/>
                <w:color w:val="auto"/>
                <w:spacing w:val="3"/>
                <w:lang w:val="en-US" w:eastAsia="zh-CN"/>
              </w:rPr>
              <w:t>，根据开发利用方案，矿产品方向为路基填筑料，不进行筛分，利用率100%，不存在废石。</w:t>
            </w:r>
          </w:p>
          <w:p>
            <w:pPr>
              <w:pStyle w:val="8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仿宋" w:cs="Times New Roman"/>
                <w:b/>
                <w:bCs/>
                <w:color w:val="auto"/>
                <w:kern w:val="0"/>
                <w:sz w:val="24"/>
                <w:szCs w:val="24"/>
                <w:highlight w:val="none"/>
                <w:lang w:val="en-US" w:eastAsia="zh-CN" w:bidi="ar-SA"/>
              </w:rPr>
            </w:pPr>
            <w:r>
              <w:rPr>
                <w:rFonts w:hint="default" w:ascii="Times New Roman" w:hAnsi="Times New Roman" w:eastAsia="仿宋" w:cs="Times New Roman"/>
                <w:b/>
                <w:bCs/>
                <w:color w:val="auto"/>
                <w:kern w:val="0"/>
                <w:sz w:val="24"/>
                <w:szCs w:val="24"/>
                <w:highlight w:val="none"/>
                <w:lang w:val="en-US" w:eastAsia="zh-CN" w:bidi="ar-SA"/>
              </w:rPr>
              <w:t>3、施工时序及建设周期</w:t>
            </w:r>
          </w:p>
          <w:p>
            <w:pPr>
              <w:spacing w:line="360" w:lineRule="auto"/>
              <w:ind w:firstLine="482" w:firstLineChars="200"/>
              <w:rPr>
                <w:rFonts w:hint="default" w:ascii="Times New Roman" w:hAnsi="Times New Roman" w:eastAsia="仿宋" w:cs="Times New Roman"/>
                <w:b/>
                <w:bCs w:val="0"/>
                <w:color w:val="auto"/>
                <w:sz w:val="24"/>
                <w:lang w:val="en-US" w:eastAsia="zh-CN"/>
              </w:rPr>
            </w:pPr>
            <w:r>
              <w:rPr>
                <w:rFonts w:hint="default" w:ascii="Times New Roman" w:hAnsi="Times New Roman" w:eastAsia="仿宋" w:cs="Times New Roman"/>
                <w:b/>
                <w:bCs w:val="0"/>
                <w:color w:val="auto"/>
                <w:sz w:val="24"/>
                <w:lang w:val="en-US" w:eastAsia="zh-CN"/>
              </w:rPr>
              <w:t>3.1施工时序</w:t>
            </w:r>
          </w:p>
          <w:p>
            <w:pPr>
              <w:spacing w:line="360" w:lineRule="auto"/>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根据工程特性及自然环境、社会环境特征，合理制定有效项目施工时序，各施工区主要工程时序为：基础施工---主体恢复建设---辅助设施建设。建设单位在施工期间须按照</w:t>
            </w:r>
            <w:r>
              <w:rPr>
                <w:rFonts w:hint="default" w:ascii="Times New Roman" w:hAnsi="Times New Roman" w:eastAsia="仿宋" w:cs="Times New Roman"/>
                <w:bCs/>
                <w:color w:val="auto"/>
                <w:sz w:val="24"/>
                <w:lang w:eastAsia="zh-CN"/>
              </w:rPr>
              <w:t>“</w:t>
            </w:r>
            <w:r>
              <w:rPr>
                <w:rFonts w:hint="default" w:ascii="Times New Roman" w:hAnsi="Times New Roman" w:eastAsia="仿宋" w:cs="Times New Roman"/>
                <w:bCs/>
                <w:color w:val="auto"/>
                <w:sz w:val="24"/>
              </w:rPr>
              <w:t>六必须</w:t>
            </w:r>
            <w:r>
              <w:rPr>
                <w:rFonts w:hint="default" w:ascii="Times New Roman" w:hAnsi="Times New Roman" w:eastAsia="仿宋" w:cs="Times New Roman"/>
                <w:bCs/>
                <w:color w:val="auto"/>
                <w:sz w:val="24"/>
                <w:lang w:eastAsia="zh-CN"/>
              </w:rPr>
              <w:t>”</w:t>
            </w:r>
            <w:r>
              <w:rPr>
                <w:rFonts w:hint="default" w:ascii="Times New Roman" w:hAnsi="Times New Roman" w:eastAsia="仿宋" w:cs="Times New Roman"/>
                <w:bCs/>
                <w:color w:val="auto"/>
                <w:sz w:val="24"/>
              </w:rPr>
              <w:t>、</w:t>
            </w:r>
            <w:r>
              <w:rPr>
                <w:rFonts w:hint="default" w:ascii="Times New Roman" w:hAnsi="Times New Roman" w:eastAsia="仿宋" w:cs="Times New Roman"/>
                <w:bCs/>
                <w:color w:val="auto"/>
                <w:sz w:val="24"/>
                <w:lang w:eastAsia="zh-CN"/>
              </w:rPr>
              <w:t>“</w:t>
            </w:r>
            <w:r>
              <w:rPr>
                <w:rFonts w:hint="default" w:ascii="Times New Roman" w:hAnsi="Times New Roman" w:eastAsia="仿宋" w:cs="Times New Roman"/>
                <w:bCs/>
                <w:color w:val="auto"/>
                <w:sz w:val="24"/>
              </w:rPr>
              <w:t>六不准</w:t>
            </w:r>
            <w:r>
              <w:rPr>
                <w:rFonts w:hint="default" w:ascii="Times New Roman" w:hAnsi="Times New Roman" w:eastAsia="仿宋" w:cs="Times New Roman"/>
                <w:bCs/>
                <w:color w:val="auto"/>
                <w:sz w:val="24"/>
                <w:lang w:eastAsia="zh-CN"/>
              </w:rPr>
              <w:t>”</w:t>
            </w:r>
            <w:r>
              <w:rPr>
                <w:rFonts w:hint="default" w:ascii="Times New Roman" w:hAnsi="Times New Roman" w:eastAsia="仿宋" w:cs="Times New Roman"/>
                <w:bCs/>
                <w:color w:val="auto"/>
                <w:sz w:val="24"/>
              </w:rPr>
              <w:t>要求进行施工，即：必须湿法作业、必须打围作业、必须硬化道路，必须设置冲洗设施、设备，必须配齐保洁人员，必须定时清扫施工现场；不准车辆带泥出门，不准运渣车辆超载，不准高空抛撒建渣，不准现场搅拌混凝土，不准场地积水，不准现场焚烧废弃物。</w:t>
            </w:r>
          </w:p>
          <w:p>
            <w:pPr>
              <w:pStyle w:val="83"/>
              <w:spacing w:line="360" w:lineRule="auto"/>
              <w:rPr>
                <w:rFonts w:hint="default" w:ascii="Times New Roman" w:hAnsi="Times New Roman" w:eastAsia="仿宋" w:cs="Times New Roman"/>
                <w:b/>
                <w:bCs w:val="0"/>
                <w:color w:val="auto"/>
                <w:sz w:val="24"/>
                <w:lang w:val="en-US" w:eastAsia="zh-CN"/>
              </w:rPr>
            </w:pPr>
            <w:r>
              <w:rPr>
                <w:rFonts w:hint="default" w:ascii="Times New Roman" w:hAnsi="Times New Roman" w:eastAsia="仿宋" w:cs="Times New Roman"/>
                <w:b/>
                <w:bCs w:val="0"/>
                <w:color w:val="auto"/>
                <w:sz w:val="24"/>
                <w:lang w:val="en-US" w:eastAsia="zh-CN"/>
              </w:rPr>
              <w:t>3.2建设周期</w:t>
            </w:r>
          </w:p>
          <w:p>
            <w:pPr>
              <w:pStyle w:val="8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b w:val="0"/>
                <w:bCs w:val="0"/>
                <w:color w:val="auto"/>
                <w:kern w:val="0"/>
                <w:sz w:val="24"/>
                <w:szCs w:val="24"/>
                <w:lang w:val="en-US" w:eastAsia="zh-CN" w:bidi="ar-SA"/>
              </w:rPr>
              <w:t>根据计划及结合工程实际情况，本工程初拟施工总工期</w:t>
            </w:r>
            <w:r>
              <w:rPr>
                <w:rFonts w:hint="eastAsia" w:ascii="Times New Roman" w:hAnsi="Times New Roman" w:eastAsia="仿宋" w:cs="Times New Roman"/>
                <w:b w:val="0"/>
                <w:bCs w:val="0"/>
                <w:color w:val="auto"/>
                <w:kern w:val="0"/>
                <w:sz w:val="24"/>
                <w:szCs w:val="24"/>
                <w:lang w:val="en-US" w:eastAsia="zh-CN" w:bidi="ar-SA"/>
              </w:rPr>
              <w:t>3</w:t>
            </w:r>
            <w:r>
              <w:rPr>
                <w:rFonts w:hint="default" w:ascii="Times New Roman" w:hAnsi="Times New Roman" w:eastAsia="仿宋" w:cs="Times New Roman"/>
                <w:b w:val="0"/>
                <w:bCs w:val="0"/>
                <w:color w:val="auto"/>
                <w:kern w:val="0"/>
                <w:sz w:val="24"/>
                <w:szCs w:val="24"/>
                <w:lang w:val="en-US" w:eastAsia="zh-CN" w:bidi="ar-SA"/>
              </w:rPr>
              <w:t>个月（202</w:t>
            </w:r>
            <w:r>
              <w:rPr>
                <w:rFonts w:hint="eastAsia" w:ascii="Times New Roman" w:hAnsi="Times New Roman" w:eastAsia="仿宋" w:cs="Times New Roman"/>
                <w:b w:val="0"/>
                <w:bCs w:val="0"/>
                <w:color w:val="auto"/>
                <w:kern w:val="0"/>
                <w:sz w:val="24"/>
                <w:szCs w:val="24"/>
                <w:lang w:val="en-US" w:eastAsia="zh-CN" w:bidi="ar-SA"/>
              </w:rPr>
              <w:t>4</w:t>
            </w:r>
            <w:r>
              <w:rPr>
                <w:rFonts w:hint="default" w:ascii="Times New Roman" w:hAnsi="Times New Roman" w:eastAsia="仿宋" w:cs="Times New Roman"/>
                <w:b w:val="0"/>
                <w:bCs w:val="0"/>
                <w:color w:val="auto"/>
                <w:kern w:val="0"/>
                <w:sz w:val="24"/>
                <w:szCs w:val="24"/>
                <w:lang w:val="en-US" w:eastAsia="zh-CN" w:bidi="ar-SA"/>
              </w:rPr>
              <w:t>年4-</w:t>
            </w:r>
            <w:r>
              <w:rPr>
                <w:rFonts w:hint="eastAsia" w:ascii="Times New Roman" w:hAnsi="Times New Roman" w:eastAsia="仿宋" w:cs="Times New Roman"/>
                <w:b w:val="0"/>
                <w:bCs w:val="0"/>
                <w:color w:val="auto"/>
                <w:kern w:val="0"/>
                <w:sz w:val="24"/>
                <w:szCs w:val="24"/>
                <w:lang w:val="en-US" w:eastAsia="zh-CN" w:bidi="ar-SA"/>
              </w:rPr>
              <w:t>6</w:t>
            </w:r>
            <w:r>
              <w:rPr>
                <w:rFonts w:hint="default" w:ascii="Times New Roman" w:hAnsi="Times New Roman" w:eastAsia="仿宋" w:cs="Times New Roman"/>
                <w:b w:val="0"/>
                <w:bCs w:val="0"/>
                <w:color w:val="auto"/>
                <w:kern w:val="0"/>
                <w:sz w:val="24"/>
                <w:szCs w:val="24"/>
                <w:lang w:val="en-US" w:eastAsia="zh-CN" w:bidi="ar-S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34"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其他</w:t>
            </w:r>
          </w:p>
        </w:tc>
        <w:tc>
          <w:tcPr>
            <w:tcW w:w="9070" w:type="dxa"/>
            <w:vAlign w:val="center"/>
          </w:tcPr>
          <w:p>
            <w:pPr>
              <w:widowControl/>
              <w:spacing w:line="560" w:lineRule="exact"/>
              <w:ind w:left="0" w:leftChars="0" w:firstLine="0" w:firstLineChars="0"/>
              <w:jc w:val="center"/>
              <w:rPr>
                <w:rFonts w:hint="default" w:ascii="Times New Roman" w:hAnsi="Times New Roman" w:eastAsia="仿宋" w:cs="Times New Roman"/>
                <w:color w:val="auto"/>
                <w:kern w:val="0"/>
                <w:szCs w:val="21"/>
              </w:rPr>
            </w:pPr>
          </w:p>
          <w:p>
            <w:pPr>
              <w:widowControl/>
              <w:spacing w:line="560" w:lineRule="exact"/>
              <w:ind w:left="0" w:leftChars="0" w:firstLine="0" w:firstLineChars="0"/>
              <w:jc w:val="center"/>
              <w:rPr>
                <w:rFonts w:hint="default" w:ascii="Times New Roman" w:hAnsi="Times New Roman" w:eastAsia="仿宋" w:cs="Times New Roman"/>
                <w:color w:val="auto"/>
                <w:kern w:val="0"/>
                <w:szCs w:val="21"/>
              </w:rPr>
            </w:pPr>
          </w:p>
          <w:p>
            <w:pPr>
              <w:widowControl/>
              <w:spacing w:line="560" w:lineRule="exact"/>
              <w:ind w:left="0" w:leftChars="0" w:firstLine="0" w:firstLineChars="0"/>
              <w:jc w:val="center"/>
              <w:rPr>
                <w:rFonts w:hint="default" w:ascii="Times New Roman" w:hAnsi="Times New Roman" w:eastAsia="仿宋" w:cs="Times New Roman"/>
                <w:color w:val="auto"/>
                <w:kern w:val="0"/>
                <w:szCs w:val="21"/>
              </w:rPr>
            </w:pPr>
          </w:p>
          <w:p>
            <w:pPr>
              <w:widowControl/>
              <w:spacing w:line="560" w:lineRule="exact"/>
              <w:ind w:left="0" w:leftChars="0" w:firstLine="0" w:firstLineChars="0"/>
              <w:jc w:val="center"/>
              <w:rPr>
                <w:rFonts w:hint="eastAsia" w:eastAsia="仿宋" w:cs="Times New Roman"/>
                <w:color w:val="auto"/>
                <w:kern w:val="0"/>
                <w:szCs w:val="21"/>
                <w:lang w:val="en-US" w:eastAsia="zh-CN"/>
              </w:rPr>
            </w:pPr>
          </w:p>
          <w:p>
            <w:pPr>
              <w:widowControl/>
              <w:spacing w:line="560" w:lineRule="exact"/>
              <w:ind w:left="0" w:leftChars="0" w:firstLine="0" w:firstLineChars="0"/>
              <w:jc w:val="center"/>
              <w:rPr>
                <w:rFonts w:hint="eastAsia" w:eastAsia="仿宋" w:cs="Times New Roman"/>
                <w:color w:val="auto"/>
                <w:kern w:val="0"/>
                <w:szCs w:val="21"/>
                <w:lang w:val="en-US" w:eastAsia="zh-CN"/>
              </w:rPr>
            </w:pPr>
          </w:p>
          <w:p>
            <w:pPr>
              <w:widowControl/>
              <w:spacing w:line="560" w:lineRule="exact"/>
              <w:ind w:left="0" w:leftChars="0" w:firstLine="0" w:firstLineChars="0"/>
              <w:jc w:val="center"/>
              <w:rPr>
                <w:rFonts w:hint="eastAsia" w:ascii="Times New Roman" w:hAnsi="Times New Roman" w:eastAsia="仿宋" w:cs="Times New Roman"/>
                <w:color w:val="auto"/>
                <w:kern w:val="0"/>
                <w:szCs w:val="21"/>
                <w:lang w:val="en-US" w:eastAsia="zh-CN"/>
              </w:rPr>
            </w:pPr>
            <w:r>
              <w:rPr>
                <w:rFonts w:hint="eastAsia" w:eastAsia="仿宋" w:cs="Times New Roman"/>
                <w:color w:val="auto"/>
                <w:kern w:val="0"/>
                <w:szCs w:val="21"/>
                <w:lang w:val="en-US" w:eastAsia="zh-CN"/>
              </w:rPr>
              <w:t>无</w:t>
            </w:r>
          </w:p>
          <w:p>
            <w:pPr>
              <w:widowControl/>
              <w:spacing w:line="560" w:lineRule="exact"/>
              <w:ind w:left="0" w:leftChars="0" w:firstLine="0" w:firstLineChars="0"/>
              <w:jc w:val="center"/>
              <w:rPr>
                <w:rFonts w:hint="default" w:ascii="Times New Roman" w:hAnsi="Times New Roman" w:eastAsia="仿宋" w:cs="Times New Roman"/>
                <w:color w:val="auto"/>
                <w:kern w:val="0"/>
                <w:szCs w:val="21"/>
              </w:rPr>
            </w:pPr>
          </w:p>
          <w:p>
            <w:pPr>
              <w:pStyle w:val="9"/>
              <w:rPr>
                <w:rFonts w:hint="default" w:ascii="Times New Roman" w:hAnsi="Times New Roman" w:eastAsia="仿宋" w:cs="Times New Roman"/>
                <w:color w:val="auto"/>
                <w:kern w:val="0"/>
                <w:szCs w:val="21"/>
              </w:rPr>
            </w:pPr>
          </w:p>
          <w:p>
            <w:pPr>
              <w:pStyle w:val="10"/>
              <w:rPr>
                <w:rFonts w:hint="default"/>
                <w:color w:val="auto"/>
              </w:rPr>
            </w:pPr>
          </w:p>
          <w:p>
            <w:pPr>
              <w:pStyle w:val="9"/>
              <w:rPr>
                <w:rFonts w:hint="default"/>
                <w:color w:val="auto"/>
              </w:rPr>
            </w:pPr>
          </w:p>
          <w:p>
            <w:pPr>
              <w:ind w:left="0" w:leftChars="0" w:firstLine="0" w:firstLineChars="0"/>
              <w:rPr>
                <w:rFonts w:hint="default" w:ascii="Times New Roman" w:hAnsi="Times New Roman" w:eastAsia="仿宋" w:cs="Times New Roman"/>
                <w:color w:val="auto"/>
                <w:kern w:val="0"/>
                <w:szCs w:val="21"/>
              </w:rPr>
            </w:pPr>
          </w:p>
          <w:p>
            <w:pPr>
              <w:pStyle w:val="9"/>
              <w:rPr>
                <w:rFonts w:hint="default"/>
                <w:color w:val="auto"/>
              </w:rPr>
            </w:pPr>
          </w:p>
          <w:p>
            <w:pPr>
              <w:pStyle w:val="24"/>
              <w:rPr>
                <w:rFonts w:hint="default"/>
                <w:color w:val="auto"/>
              </w:rPr>
            </w:pPr>
          </w:p>
        </w:tc>
      </w:tr>
    </w:tbl>
    <w:p>
      <w:pPr>
        <w:pStyle w:val="20"/>
        <w:spacing w:line="240" w:lineRule="auto"/>
        <w:ind w:firstLine="0" w:firstLineChars="0"/>
        <w:jc w:val="center"/>
        <w:outlineLvl w:val="0"/>
        <w:rPr>
          <w:rFonts w:hint="default" w:ascii="Times New Roman" w:hAnsi="Times New Roman" w:eastAsia="仿宋" w:cs="Times New Roman"/>
          <w:b/>
          <w:bCs/>
          <w:color w:val="auto"/>
        </w:rPr>
        <w:sectPr>
          <w:footerReference r:id="rId10" w:type="default"/>
          <w:pgSz w:w="11906" w:h="16838"/>
          <w:pgMar w:top="1417" w:right="1417" w:bottom="1417" w:left="1417" w:header="851" w:footer="964" w:gutter="0"/>
          <w:pgBorders>
            <w:top w:val="none" w:sz="0" w:space="0"/>
            <w:left w:val="none" w:sz="0" w:space="0"/>
            <w:bottom w:val="none" w:sz="0" w:space="0"/>
            <w:right w:val="none" w:sz="0" w:space="0"/>
          </w:pgBorders>
          <w:pgNumType w:fmt="numberInDash"/>
          <w:cols w:space="0" w:num="1"/>
          <w:docGrid w:linePitch="312" w:charSpace="0"/>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三、生态环境现状、保护目标及评价标准</w:t>
      </w:r>
    </w:p>
    <w:tbl>
      <w:tblPr>
        <w:tblStyle w:val="25"/>
        <w:tblW w:w="92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3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生态环境现状</w:t>
            </w:r>
          </w:p>
        </w:tc>
        <w:tc>
          <w:tcPr>
            <w:tcW w:w="8329" w:type="dxa"/>
            <w:vAlign w:val="center"/>
          </w:tcPr>
          <w:p>
            <w:pPr>
              <w:pStyle w:val="9"/>
              <w:widowControl w:val="0"/>
              <w:adjustRightInd w:val="0"/>
              <w:spacing w:before="0" w:after="0" w:line="360" w:lineRule="auto"/>
              <w:ind w:right="0" w:firstLine="422"/>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1、生态环境现状</w:t>
            </w:r>
            <w:r>
              <w:rPr>
                <w:rFonts w:hint="default" w:ascii="Times New Roman" w:hAnsi="Times New Roman" w:eastAsia="仿宋" w:cs="Times New Roman"/>
                <w:b/>
                <w:bCs/>
                <w:color w:val="auto"/>
                <w:sz w:val="24"/>
                <w:szCs w:val="24"/>
                <w:lang w:val="en-US" w:eastAsia="zh-CN"/>
              </w:rPr>
              <w:t>调查</w:t>
            </w:r>
          </w:p>
          <w:p>
            <w:pPr>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（1）</w:t>
            </w:r>
            <w:r>
              <w:rPr>
                <w:rFonts w:hint="default" w:ascii="Times New Roman" w:hAnsi="Times New Roman" w:eastAsia="仿宋" w:cs="Times New Roman"/>
                <w:color w:val="auto"/>
                <w:sz w:val="24"/>
                <w:szCs w:val="24"/>
              </w:rPr>
              <w:t>《新疆维吾尔自治区主体功能区规划》</w:t>
            </w:r>
          </w:p>
          <w:p>
            <w:pPr>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新疆维吾尔自治区主体功能区规划》中指出，“一些能源和矿产资源富集区域往往同时是生态脆弱或生态重要区域，被划分为限制进行大规模高强度工业化城镇化开发的重点生态功能区或农产品主产区，并不是限制能源和矿产资源的开发，这类区域中能源和矿产资源仍可依法开发，资源开采地点仍可定义为能源或矿产资源的重点开发基地，但应按该区域主体功能定位实行“点上开发、面上保护”，形成资源点状开发、生态面上保护的空间结构。对阿尔泰山、塔里木盆地、准噶尔盆地等矿产资源富集区域的开发要在科学规划的基础上以点状开发方式有序进行，开发强度控制在规划目标内，尽量减少对生态扰动和破坏，同时加强对矿产开发区迹地的生态修复”。</w:t>
            </w:r>
          </w:p>
          <w:p>
            <w:pPr>
              <w:ind w:firstLine="420"/>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color w:val="auto"/>
                <w:sz w:val="24"/>
                <w:szCs w:val="24"/>
                <w:highlight w:val="none"/>
              </w:rPr>
              <w:t>本项目位于</w:t>
            </w:r>
            <w:r>
              <w:rPr>
                <w:rFonts w:hint="eastAsia" w:eastAsia="仿宋" w:cs="Times New Roman"/>
                <w:color w:val="auto"/>
                <w:sz w:val="24"/>
                <w:szCs w:val="24"/>
                <w:highlight w:val="none"/>
                <w:lang w:val="en-US" w:eastAsia="zh-CN"/>
              </w:rPr>
              <w:t>新疆维吾尔自治区吐鲁番地区鄯善县北西280°方位，直线距离约30千米</w:t>
            </w:r>
            <w:r>
              <w:rPr>
                <w:rFonts w:hint="default" w:ascii="Times New Roman" w:hAnsi="Times New Roman" w:eastAsia="仿宋" w:cs="Times New Roman"/>
                <w:color w:val="auto"/>
                <w:sz w:val="24"/>
                <w:szCs w:val="24"/>
                <w:highlight w:val="none"/>
              </w:rPr>
              <w:t>，项目所在区域不属于限制开发区和禁止开发区，属于允许开发区。</w:t>
            </w:r>
          </w:p>
          <w:p>
            <w:pPr>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（2）生态功能区划</w:t>
            </w:r>
          </w:p>
          <w:p>
            <w:pPr>
              <w:adjustRightInd w:val="0"/>
              <w:snapToGrid w:val="0"/>
              <w:ind w:firstLine="42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本项目位于</w:t>
            </w:r>
            <w:r>
              <w:rPr>
                <w:rFonts w:hint="eastAsia" w:eastAsia="仿宋" w:cs="Times New Roman"/>
                <w:color w:val="auto"/>
                <w:sz w:val="24"/>
                <w:szCs w:val="24"/>
                <w:highlight w:val="none"/>
                <w:lang w:val="en-US" w:eastAsia="zh-CN"/>
              </w:rPr>
              <w:t>新疆维吾尔自治区吐鲁番地区鄯善县北西280°方位，直线距离约30千米</w:t>
            </w:r>
            <w:r>
              <w:rPr>
                <w:rFonts w:hint="default" w:ascii="Times New Roman" w:hAnsi="Times New Roman" w:eastAsia="仿宋" w:cs="Times New Roman"/>
                <w:color w:val="auto"/>
                <w:sz w:val="24"/>
                <w:szCs w:val="24"/>
                <w:lang w:val="en-US" w:eastAsia="zh-CN"/>
              </w:rPr>
              <w:t>，根据《新疆生态功能区划》，项目区属于天山南坡吐鲁番—哈密盆地戈壁荒漠、绿洲农业生态亚区，主要生态服务功能为特色农产品生产、人居环境、旅游。项目区的生态功能区划见表3-1</w:t>
            </w:r>
            <w:r>
              <w:rPr>
                <w:rFonts w:hint="eastAsia" w:ascii="Times New Roman" w:hAnsi="Times New Roman" w:eastAsia="仿宋" w:cs="Times New Roman"/>
                <w:color w:val="auto"/>
                <w:sz w:val="24"/>
                <w:szCs w:val="24"/>
                <w:lang w:val="en-US" w:eastAsia="zh-CN"/>
              </w:rPr>
              <w:t>，详见图3-1：项目区生态功能区划图。</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表3-1项目所在区域生态功能区划</w:t>
            </w:r>
          </w:p>
          <w:tbl>
            <w:tblPr>
              <w:tblStyle w:val="86"/>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03"/>
              <w:gridCol w:w="1219"/>
              <w:gridCol w:w="5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742" w:type="pct"/>
                  <w:vMerge w:val="restar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生态功能分区单元</w:t>
                  </w:r>
                </w:p>
              </w:tc>
              <w:tc>
                <w:tcPr>
                  <w:tcW w:w="75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生态区</w:t>
                  </w:r>
                </w:p>
              </w:tc>
              <w:tc>
                <w:tcPr>
                  <w:tcW w:w="3505" w:type="pct"/>
                  <w:tcBorders>
                    <w:right w:val="single" w:color="000000" w:sz="4" w:space="0"/>
                  </w:tcBorders>
                  <w:vAlign w:val="center"/>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Ⅲ天山山地温性草原、森林生态区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742" w:type="pct"/>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p>
              </w:tc>
              <w:tc>
                <w:tcPr>
                  <w:tcW w:w="75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生态亚区</w:t>
                  </w:r>
                </w:p>
              </w:tc>
              <w:tc>
                <w:tcPr>
                  <w:tcW w:w="3505" w:type="pct"/>
                  <w:tcBorders>
                    <w:right w:val="single" w:color="000000" w:sz="4" w:space="0"/>
                  </w:tcBorders>
                  <w:vAlign w:val="center"/>
                </w:tcPr>
                <w:p>
                  <w:pPr>
                    <w:adjustRightInd w:val="0"/>
                    <w:snapToGrid w:val="0"/>
                    <w:spacing w:line="240" w:lineRule="auto"/>
                    <w:ind w:left="0" w:leftChars="0"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Ⅲ4天山南坡吐鲁番—哈密盆地戈壁荒漠、绿洲农业生态亚区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742" w:type="pct"/>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p>
              </w:tc>
              <w:tc>
                <w:tcPr>
                  <w:tcW w:w="75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生态功能区</w:t>
                  </w:r>
                </w:p>
              </w:tc>
              <w:tc>
                <w:tcPr>
                  <w:tcW w:w="3505" w:type="pct"/>
                  <w:tcBorders>
                    <w:right w:val="single" w:color="000000" w:sz="4" w:space="0"/>
                  </w:tcBorders>
                  <w:vAlign w:val="center"/>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50．吐鲁番盆地绿洲特色农业与旅游生态功能区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主要生态服务功能</w:t>
                  </w:r>
                </w:p>
              </w:tc>
              <w:tc>
                <w:tcPr>
                  <w:tcW w:w="3505" w:type="pct"/>
                  <w:tcBorders>
                    <w:right w:val="single" w:color="000000" w:sz="4"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特色农产品生产、旅游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主要生态环境问题</w:t>
                  </w:r>
                </w:p>
              </w:tc>
              <w:tc>
                <w:tcPr>
                  <w:tcW w:w="3505" w:type="pct"/>
                  <w:tcBorders>
                    <w:right w:val="single" w:color="000000" w:sz="4"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水资源短缺、地下水超采、风沙灾害严重、干热风多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主要生态敏感因子、敏感</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程度</w:t>
                  </w:r>
                </w:p>
              </w:tc>
              <w:tc>
                <w:tcPr>
                  <w:tcW w:w="3505" w:type="pct"/>
                  <w:tcBorders>
                    <w:right w:val="single" w:color="000000" w:sz="4"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土壤侵蚀极度敏感，土地沙漠化轻度敏感，土壤盐渍化局部地段高度敏感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主要保护目标</w:t>
                  </w:r>
                </w:p>
              </w:tc>
              <w:tc>
                <w:tcPr>
                  <w:tcW w:w="3505" w:type="pct"/>
                  <w:tcBorders>
                    <w:right w:val="single" w:color="000000" w:sz="4"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保护文物古迹、保护坎儿井、保护农田、保护荒漠植被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center"/>
                </w:tcPr>
                <w:p>
                  <w:pPr>
                    <w:adjustRightInd w:val="0"/>
                    <w:snapToGrid w:val="0"/>
                    <w:spacing w:line="240" w:lineRule="auto"/>
                    <w:ind w:firstLine="420"/>
                    <w:jc w:val="center"/>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主要保护措施</w:t>
                  </w:r>
                </w:p>
              </w:tc>
              <w:tc>
                <w:tcPr>
                  <w:tcW w:w="3505" w:type="pct"/>
                  <w:tcBorders>
                    <w:right w:val="single" w:color="000000" w:sz="4" w:space="0"/>
                  </w:tcBorders>
                  <w:vAlign w:val="center"/>
                </w:tcPr>
                <w:p>
                  <w:pPr>
                    <w:adjustRightInd w:val="0"/>
                    <w:snapToGrid w:val="0"/>
                    <w:spacing w:line="240" w:lineRule="auto"/>
                    <w:ind w:left="0" w:leftChars="0" w:firstLine="0" w:firstLineChars="0"/>
                    <w:jc w:val="center"/>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地表水和地下水调控开发、节水灌溉、建设防护林、加强文物保护</w:t>
                  </w:r>
                </w:p>
              </w:tc>
            </w:tr>
          </w:tbl>
          <w:p>
            <w:pPr>
              <w:adjustRightInd w:val="0"/>
              <w:snapToGrid w:val="0"/>
              <w:ind w:left="0" w:leftChars="0" w:firstLine="480" w:firstLineChars="20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经调查项目所在区域植物群落单一，植被稀疏发育。经现场调查项目区内无珍稀动植物，无国家和地方各级人民政府批准设立的“自然保护区、森林公园、风景名胜区文物古迹、地质遗址”等特殊的环境保护目标，无重点保护野生动植物分布。根据《新疆维吾尔自治区主体功能区规划》，将新疆国土空间划分为重点开发、限制开发和禁止开发三类主体功能区。本项目不属于上述三类功能区，为允许开发区域。</w:t>
            </w:r>
          </w:p>
          <w:p>
            <w:p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（3）土地利用现状调查</w:t>
            </w:r>
          </w:p>
          <w:p>
            <w:pPr>
              <w:adjustRightInd w:val="0"/>
              <w:snapToGrid w:val="0"/>
              <w:ind w:firstLine="420"/>
              <w:rPr>
                <w:rFonts w:hint="default" w:ascii="Times New Roman" w:hAnsi="Times New Roman" w:eastAsia="仿宋" w:cs="Times New Roman"/>
                <w:color w:val="auto"/>
                <w:kern w:val="0"/>
                <w:szCs w:val="21"/>
                <w:highlight w:val="none"/>
              </w:rPr>
            </w:pPr>
            <w:r>
              <w:rPr>
                <w:rFonts w:hint="default" w:ascii="Times New Roman" w:hAnsi="Times New Roman" w:eastAsia="仿宋" w:cs="Times New Roman"/>
                <w:color w:val="auto"/>
                <w:sz w:val="24"/>
                <w:szCs w:val="24"/>
                <w:highlight w:val="none"/>
              </w:rPr>
              <w:t>依据</w:t>
            </w:r>
            <w:r>
              <w:rPr>
                <w:rFonts w:hint="default" w:ascii="Times New Roman" w:hAnsi="Times New Roman" w:eastAsia="仿宋" w:cs="Times New Roman"/>
                <w:color w:val="auto"/>
                <w:sz w:val="24"/>
                <w:szCs w:val="24"/>
                <w:highlight w:val="none"/>
                <w:lang w:eastAsia="zh-CN"/>
              </w:rPr>
              <w:t>鄯善县自然资源局</w:t>
            </w:r>
            <w:r>
              <w:rPr>
                <w:rFonts w:hint="default" w:ascii="Times New Roman" w:hAnsi="Times New Roman" w:eastAsia="仿宋" w:cs="Times New Roman"/>
                <w:color w:val="auto"/>
                <w:sz w:val="24"/>
                <w:szCs w:val="24"/>
                <w:highlight w:val="none"/>
              </w:rPr>
              <w:t>出具的《</w:t>
            </w:r>
            <w:r>
              <w:rPr>
                <w:rFonts w:hint="default" w:ascii="Times New Roman" w:hAnsi="Times New Roman" w:eastAsia="仿宋" w:cs="Times New Roman"/>
                <w:color w:val="auto"/>
                <w:sz w:val="24"/>
                <w:szCs w:val="24"/>
                <w:highlight w:val="none"/>
                <w:lang w:eastAsia="zh-CN"/>
              </w:rPr>
              <w:t>关于鄯善县泰航矿业有限公司</w:t>
            </w:r>
            <w:r>
              <w:rPr>
                <w:rFonts w:hint="eastAsia" w:eastAsia="仿宋" w:cs="Times New Roman"/>
                <w:color w:val="auto"/>
                <w:sz w:val="24"/>
                <w:szCs w:val="24"/>
                <w:highlight w:val="none"/>
                <w:lang w:eastAsia="zh-CN"/>
              </w:rPr>
              <w:t>新疆鄯善县连木沁镇连木沁坎村北砂石料矿</w:t>
            </w:r>
            <w:r>
              <w:rPr>
                <w:rFonts w:hint="default" w:ascii="Times New Roman" w:hAnsi="Times New Roman" w:eastAsia="仿宋" w:cs="Times New Roman"/>
                <w:color w:val="auto"/>
                <w:sz w:val="24"/>
                <w:szCs w:val="24"/>
                <w:highlight w:val="none"/>
                <w:lang w:eastAsia="zh-CN"/>
              </w:rPr>
              <w:t>土地属性的情况说明</w:t>
            </w:r>
            <w:r>
              <w:rPr>
                <w:rFonts w:hint="default" w:ascii="Times New Roman" w:hAnsi="Times New Roman" w:eastAsia="仿宋" w:cs="Times New Roman"/>
                <w:color w:val="auto"/>
                <w:sz w:val="24"/>
                <w:szCs w:val="24"/>
                <w:highlight w:val="none"/>
              </w:rPr>
              <w:t>》（资料来源于第三次全国土地调查数据库），结合《国土空间调查、规划、用途管制用地用海分类指南（试行）》（自然资源部2020年11月），矿区土地类型为</w:t>
            </w:r>
            <w:r>
              <w:rPr>
                <w:rFonts w:hint="default" w:ascii="Times New Roman" w:hAnsi="Times New Roman" w:eastAsia="仿宋" w:cs="Times New Roman"/>
                <w:color w:val="auto"/>
                <w:sz w:val="24"/>
                <w:szCs w:val="24"/>
                <w:highlight w:val="none"/>
                <w:lang w:val="en-US" w:eastAsia="zh-CN"/>
              </w:rPr>
              <w:t>其他土地类</w:t>
            </w:r>
            <w:r>
              <w:rPr>
                <w:rFonts w:hint="default" w:ascii="Times New Roman" w:hAnsi="Times New Roman" w:eastAsia="仿宋" w:cs="Times New Roman"/>
                <w:color w:val="auto"/>
                <w:sz w:val="24"/>
                <w:szCs w:val="24"/>
                <w:highlight w:val="none"/>
              </w:rPr>
              <w:t>的</w:t>
            </w:r>
            <w:r>
              <w:rPr>
                <w:rFonts w:hint="default" w:ascii="Times New Roman" w:hAnsi="Times New Roman" w:eastAsia="仿宋" w:cs="Times New Roman"/>
                <w:color w:val="auto"/>
                <w:sz w:val="24"/>
                <w:szCs w:val="24"/>
                <w:highlight w:val="none"/>
                <w:lang w:val="en-US" w:eastAsia="zh-CN"/>
              </w:rPr>
              <w:t>裸岩石砾地</w:t>
            </w:r>
            <w:r>
              <w:rPr>
                <w:rFonts w:hint="default" w:ascii="Times New Roman" w:hAnsi="Times New Roman" w:eastAsia="仿宋" w:cs="Times New Roman"/>
                <w:color w:val="auto"/>
                <w:sz w:val="24"/>
                <w:szCs w:val="24"/>
                <w:highlight w:val="none"/>
              </w:rPr>
              <w:t>，土地权属为国有土地</w:t>
            </w:r>
            <w:r>
              <w:rPr>
                <w:rFonts w:hint="eastAsia" w:eastAsia="仿宋" w:cs="Times New Roman"/>
                <w:color w:val="auto"/>
                <w:sz w:val="24"/>
                <w:szCs w:val="24"/>
                <w:highlight w:val="none"/>
                <w:lang w:val="en-US" w:eastAsia="zh-CN"/>
              </w:rPr>
              <w:t>，详见图3-2：土地利用现状图。</w:t>
            </w:r>
          </w:p>
          <w:p>
            <w:p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（4）植被现状调查及评价</w:t>
            </w:r>
          </w:p>
          <w:p>
            <w:p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矿区内由于干旱缺水，矿区内几无植被，仅个别沟谷见零星红柳、芦苇、骆驼刺等植物生长，大部分地区砂砾裸露，物理风化较强。群落结构简单，植被覆盖率小于1%</w:t>
            </w:r>
            <w:r>
              <w:rPr>
                <w:rFonts w:hint="eastAsia" w:eastAsia="仿宋" w:cs="Times New Roman"/>
                <w:color w:val="auto"/>
                <w:sz w:val="24"/>
                <w:szCs w:val="24"/>
                <w:highlight w:val="none"/>
                <w:lang w:val="en-US" w:eastAsia="zh-CN"/>
              </w:rPr>
              <w:t>，详见图3-3：植被类型图。</w:t>
            </w:r>
          </w:p>
          <w:p>
            <w:p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根据现场踏勘，矿区范围内未发现国家及自治区重点野生植物，也未发现需要特殊保护的野生植物分布区。</w:t>
            </w:r>
          </w:p>
          <w:p>
            <w:pPr>
              <w:adjustRightInd w:val="0"/>
              <w:snapToGrid w:val="0"/>
              <w:ind w:firstLine="420"/>
              <w:rPr>
                <w:rFonts w:hint="default" w:ascii="Times New Roman" w:hAnsi="Times New Roman" w:eastAsia="宋体" w:cs="Times New Roman"/>
                <w:color w:val="auto"/>
                <w:w w:val="110"/>
                <w:kern w:val="0"/>
                <w:sz w:val="24"/>
                <w:szCs w:val="20"/>
              </w:rPr>
            </w:pPr>
            <w:r>
              <w:rPr>
                <w:rFonts w:hint="default" w:ascii="Times New Roman" w:hAnsi="Times New Roman" w:eastAsia="仿宋" w:cs="Times New Roman"/>
                <w:color w:val="auto"/>
                <w:sz w:val="24"/>
                <w:szCs w:val="24"/>
                <w:highlight w:val="none"/>
                <w:lang w:val="en-US" w:eastAsia="zh-CN"/>
              </w:rPr>
              <w:t>根据实地调查结果统计，评价区内主要物种及分布环境见表</w:t>
            </w:r>
            <w:r>
              <w:rPr>
                <w:rFonts w:hint="eastAsia" w:ascii="Times New Roman" w:hAnsi="Times New Roman" w:eastAsia="仿宋" w:cs="Times New Roman"/>
                <w:color w:val="auto"/>
                <w:sz w:val="24"/>
                <w:szCs w:val="24"/>
                <w:highlight w:val="none"/>
                <w:lang w:val="en-US" w:eastAsia="zh-CN"/>
              </w:rPr>
              <w:t>3-</w:t>
            </w:r>
            <w:r>
              <w:rPr>
                <w:rFonts w:hint="eastAsia"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lang w:val="en-US" w:eastAsia="zh-CN"/>
              </w:rPr>
              <w:t>。</w:t>
            </w:r>
          </w:p>
          <w:p>
            <w:pPr>
              <w:adjustRightInd w:val="0"/>
              <w:snapToGrid w:val="0"/>
              <w:ind w:firstLine="420"/>
              <w:jc w:val="center"/>
              <w:rPr>
                <w:rFonts w:hint="default" w:ascii="Times New Roman" w:hAnsi="Times New Roman" w:eastAsia="仿宋" w:cs="Times New Roman"/>
                <w:b/>
                <w:bCs/>
                <w:color w:val="auto"/>
                <w:sz w:val="21"/>
                <w:szCs w:val="21"/>
                <w:highlight w:val="none"/>
                <w:lang w:val="en-US" w:eastAsia="zh-CN"/>
              </w:rPr>
            </w:pPr>
            <w:r>
              <w:rPr>
                <w:rFonts w:hint="eastAsia" w:ascii="Times New Roman" w:hAnsi="Times New Roman" w:eastAsia="仿宋" w:cs="Times New Roman"/>
                <w:b/>
                <w:bCs/>
                <w:color w:val="auto"/>
                <w:sz w:val="21"/>
                <w:szCs w:val="21"/>
                <w:highlight w:val="none"/>
                <w:lang w:val="en-US" w:eastAsia="zh-CN"/>
              </w:rPr>
              <w:t>表3-</w:t>
            </w:r>
            <w:r>
              <w:rPr>
                <w:rFonts w:hint="eastAsia" w:eastAsia="仿宋" w:cs="Times New Roman"/>
                <w:b/>
                <w:bCs/>
                <w:color w:val="auto"/>
                <w:sz w:val="21"/>
                <w:szCs w:val="21"/>
                <w:highlight w:val="none"/>
                <w:lang w:val="en-US" w:eastAsia="zh-CN"/>
              </w:rPr>
              <w:t>2</w:t>
            </w:r>
            <w:r>
              <w:rPr>
                <w:rFonts w:hint="eastAsia" w:ascii="Times New Roman" w:hAnsi="Times New Roman" w:eastAsia="仿宋" w:cs="Times New Roman"/>
                <w:b/>
                <w:bCs/>
                <w:color w:val="auto"/>
                <w:sz w:val="21"/>
                <w:szCs w:val="21"/>
                <w:highlight w:val="none"/>
                <w:lang w:val="en-US" w:eastAsia="zh-CN"/>
              </w:rPr>
              <w:t xml:space="preserve">   评价区常见高等植物种类</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2"/>
              <w:gridCol w:w="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中文名</w:t>
                  </w:r>
                </w:p>
              </w:tc>
              <w:tc>
                <w:tcPr>
                  <w:tcW w:w="2535" w:type="pct"/>
                </w:tcPr>
                <w:p>
                  <w:pPr>
                    <w:adjustRightInd w:val="0"/>
                    <w:snapToGrid w:val="0"/>
                    <w:spacing w:line="240" w:lineRule="auto"/>
                    <w:ind w:firstLine="420"/>
                    <w:jc w:val="center"/>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学名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梭梭</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Haloxylon ammodendron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盐生假木贼</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Anabasis salsa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展枝假木贼</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Anabasis truncata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高枝假木贼</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Anabais elatior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琵琶柴</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Reaumuria soongorica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柽柳</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Tamarix spp.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骆驼刺</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Karelinia caspia</w:t>
                  </w:r>
                </w:p>
              </w:tc>
            </w:tr>
          </w:tbl>
          <w:p>
            <w:pPr>
              <w:numPr>
                <w:ilvl w:val="0"/>
                <w:numId w:val="5"/>
              </w:num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土壤现状调查及评价</w:t>
            </w:r>
          </w:p>
          <w:p>
            <w:pPr>
              <w:numPr>
                <w:ilvl w:val="0"/>
                <w:numId w:val="0"/>
              </w:numPr>
              <w:adjustRightInd w:val="0"/>
              <w:snapToGrid w:val="0"/>
              <w:ind w:firstLine="480" w:firstLineChars="200"/>
              <w:rPr>
                <w:rFonts w:hint="default" w:ascii="Times New Roman" w:hAnsi="Times New Roman" w:eastAsia="仿宋" w:cs="Times New Roman"/>
                <w:color w:val="auto"/>
                <w:sz w:val="24"/>
                <w:szCs w:val="24"/>
                <w:highlight w:val="yellow"/>
                <w:lang w:val="en-US" w:eastAsia="zh-CN"/>
              </w:rPr>
            </w:pPr>
            <w:r>
              <w:rPr>
                <w:rFonts w:hint="default" w:ascii="Times New Roman" w:hAnsi="Times New Roman" w:eastAsia="仿宋" w:cs="Times New Roman"/>
                <w:color w:val="auto"/>
                <w:sz w:val="24"/>
              </w:rPr>
              <w:t>根据当地土壤资料及现状调查，矿区及周边的土壤类型为</w:t>
            </w:r>
            <w:r>
              <w:rPr>
                <w:rFonts w:hint="default" w:ascii="Times New Roman" w:hAnsi="Times New Roman" w:eastAsia="仿宋" w:cs="Times New Roman"/>
                <w:color w:val="auto"/>
                <w:sz w:val="24"/>
                <w:lang w:val="en-US" w:eastAsia="zh-CN"/>
              </w:rPr>
              <w:t>棕</w:t>
            </w:r>
            <w:r>
              <w:rPr>
                <w:rFonts w:hint="default" w:ascii="Times New Roman" w:hAnsi="Times New Roman" w:eastAsia="仿宋" w:cs="Times New Roman"/>
                <w:color w:val="auto"/>
                <w:sz w:val="24"/>
              </w:rPr>
              <w:t>漠土，</w:t>
            </w:r>
            <w:r>
              <w:rPr>
                <w:rFonts w:hint="default" w:ascii="Times New Roman" w:hAnsi="Times New Roman" w:eastAsia="仿宋" w:cs="Times New Roman"/>
                <w:color w:val="auto"/>
                <w:sz w:val="24"/>
                <w:lang w:eastAsia="zh-CN"/>
              </w:rPr>
              <w:t>矿</w:t>
            </w:r>
            <w:r>
              <w:rPr>
                <w:rFonts w:hint="default" w:ascii="Times New Roman" w:hAnsi="Times New Roman" w:eastAsia="仿宋" w:cs="Times New Roman"/>
                <w:color w:val="auto"/>
                <w:sz w:val="24"/>
                <w:lang w:val="en-US" w:eastAsia="zh-CN"/>
              </w:rPr>
              <w:t>区</w:t>
            </w:r>
            <w:r>
              <w:rPr>
                <w:rFonts w:hint="default" w:ascii="Times New Roman" w:hAnsi="Times New Roman" w:eastAsia="仿宋" w:cs="Times New Roman"/>
                <w:color w:val="auto"/>
                <w:sz w:val="24"/>
              </w:rPr>
              <w:t>内砂土层主要由灰褐色砾石、粗砂、细砂、砂土组成，地表平坦，为一套灰色砾石、砂石等混杂堆积，松散无胶结，自然状态下微潮、分布均匀。根据土壤检测报告，区内土壤有机质含量低，根据委托新疆中合地矿测试研究有限公司提供的土壤化验检测结果，土壤有机质为</w:t>
            </w:r>
            <w:r>
              <w:rPr>
                <w:rFonts w:hint="default" w:ascii="Times New Roman" w:hAnsi="Times New Roman" w:eastAsia="仿宋" w:cs="Times New Roman"/>
                <w:color w:val="auto"/>
                <w:sz w:val="24"/>
                <w:lang w:val="en-US" w:eastAsia="zh-CN"/>
              </w:rPr>
              <w:t>6.24</w:t>
            </w:r>
            <w:r>
              <w:rPr>
                <w:rFonts w:hint="default" w:ascii="Times New Roman" w:hAnsi="Times New Roman" w:eastAsia="仿宋" w:cs="Times New Roman"/>
                <w:color w:val="auto"/>
                <w:sz w:val="24"/>
              </w:rPr>
              <w:t>，</w:t>
            </w:r>
            <w:r>
              <w:rPr>
                <w:rFonts w:hint="eastAsia" w:eastAsia="仿宋" w:cs="Times New Roman"/>
                <w:color w:val="auto"/>
                <w:sz w:val="24"/>
                <w:lang w:eastAsia="zh-CN"/>
              </w:rPr>
              <w:t>pH酸碱度</w:t>
            </w:r>
            <w:r>
              <w:rPr>
                <w:rFonts w:hint="default" w:ascii="Times New Roman" w:hAnsi="Times New Roman" w:eastAsia="仿宋" w:cs="Times New Roman"/>
                <w:color w:val="auto"/>
                <w:sz w:val="24"/>
              </w:rPr>
              <w:t>为</w:t>
            </w:r>
            <w:r>
              <w:rPr>
                <w:rFonts w:hint="default" w:ascii="Times New Roman" w:hAnsi="Times New Roman" w:eastAsia="仿宋" w:cs="Times New Roman"/>
                <w:color w:val="auto"/>
                <w:sz w:val="24"/>
                <w:lang w:val="en-US" w:eastAsia="zh-CN"/>
              </w:rPr>
              <w:t>6.83</w:t>
            </w:r>
            <w:r>
              <w:rPr>
                <w:rFonts w:hint="default" w:ascii="Times New Roman" w:hAnsi="Times New Roman" w:eastAsia="仿宋" w:cs="Times New Roman"/>
                <w:color w:val="auto"/>
                <w:sz w:val="24"/>
              </w:rPr>
              <w:t>，土壤肥力低等特点</w:t>
            </w:r>
            <w:r>
              <w:rPr>
                <w:rFonts w:hint="default" w:ascii="Times New Roman" w:hAnsi="Times New Roman" w:eastAsia="仿宋" w:cs="Times New Roman"/>
                <w:color w:val="auto"/>
                <w:sz w:val="24"/>
                <w:szCs w:val="24"/>
                <w:lang w:val="en-US" w:eastAsia="zh-CN"/>
              </w:rPr>
              <w:t>。</w:t>
            </w:r>
          </w:p>
          <w:p>
            <w:pPr>
              <w:keepNext w:val="0"/>
              <w:keepLines w:val="0"/>
              <w:pageBreakBefore w:val="0"/>
              <w:widowControl w:val="0"/>
              <w:numPr>
                <w:ilvl w:val="0"/>
                <w:numId w:val="5"/>
              </w:numPr>
              <w:kinsoku/>
              <w:wordWrap/>
              <w:overflowPunct/>
              <w:topLinePunct w:val="0"/>
              <w:bidi w:val="0"/>
              <w:adjustRightInd/>
              <w:snapToGrid/>
              <w:spacing w:line="360" w:lineRule="auto"/>
              <w:ind w:firstLine="42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野生动物现状调查及评价</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color w:val="auto"/>
                <w:sz w:val="24"/>
                <w:szCs w:val="24"/>
                <w:highlight w:val="none"/>
                <w:lang w:val="en-US" w:eastAsia="zh-CN"/>
              </w:rPr>
              <w:t>根据现场踏勘，</w:t>
            </w:r>
            <w:r>
              <w:rPr>
                <w:rFonts w:hint="default" w:ascii="Times New Roman" w:hAnsi="Times New Roman" w:eastAsia="仿宋" w:cs="Times New Roman"/>
                <w:b w:val="0"/>
                <w:bCs w:val="0"/>
                <w:color w:val="auto"/>
                <w:sz w:val="24"/>
                <w:szCs w:val="24"/>
                <w:highlight w:val="none"/>
                <w:lang w:val="en-US" w:eastAsia="zh-CN"/>
              </w:rPr>
              <w:t>本项目所在地不涉及国家保护动物，项目区主要分布动物有少量爬行类、鸟类及兽类等小型野生动物，如灰仓鼠、麻蜥等。</w:t>
            </w:r>
          </w:p>
          <w:p>
            <w:pPr>
              <w:keepNext w:val="0"/>
              <w:keepLines w:val="0"/>
              <w:pageBreakBefore w:val="0"/>
              <w:widowControl w:val="0"/>
              <w:kinsoku/>
              <w:wordWrap/>
              <w:overflowPunct/>
              <w:topLinePunct w:val="0"/>
              <w:bidi w:val="0"/>
              <w:adjustRightInd/>
              <w:snapToGrid/>
              <w:spacing w:line="360" w:lineRule="auto"/>
              <w:ind w:firstLine="420"/>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lang w:val="zh-CN" w:eastAsia="zh-CN" w:bidi="ar-SA"/>
              </w:rPr>
              <w:t>各种野生脊椎动物分布状况见表</w:t>
            </w:r>
            <w:r>
              <w:rPr>
                <w:rFonts w:hint="eastAsia" w:ascii="Times New Roman" w:hAnsi="Times New Roman" w:eastAsia="仿宋" w:cs="Times New Roman"/>
                <w:color w:val="auto"/>
                <w:kern w:val="0"/>
                <w:sz w:val="24"/>
                <w:szCs w:val="24"/>
                <w:highlight w:val="none"/>
                <w:lang w:val="en-US" w:eastAsia="zh-CN" w:bidi="ar-SA"/>
              </w:rPr>
              <w:t>3-</w:t>
            </w:r>
            <w:r>
              <w:rPr>
                <w:rFonts w:hint="eastAsia" w:eastAsia="仿宋" w:cs="Times New Roman"/>
                <w:color w:val="auto"/>
                <w:kern w:val="0"/>
                <w:sz w:val="24"/>
                <w:szCs w:val="24"/>
                <w:highlight w:val="none"/>
                <w:lang w:val="en-US" w:eastAsia="zh-CN" w:bidi="ar-SA"/>
              </w:rPr>
              <w:t>3</w:t>
            </w:r>
            <w:r>
              <w:rPr>
                <w:rFonts w:hint="eastAsia" w:ascii="Times New Roman" w:hAnsi="Times New Roman" w:eastAsia="仿宋" w:cs="Times New Roman"/>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default" w:ascii="Times New Roman" w:hAnsi="Times New Roman" w:eastAsia="仿宋" w:cs="Times New Roman"/>
                <w:b/>
                <w:bCs/>
                <w:color w:val="auto"/>
                <w:kern w:val="0"/>
                <w:sz w:val="21"/>
                <w:szCs w:val="21"/>
                <w:highlight w:val="none"/>
                <w:lang w:val="en-US" w:eastAsia="zh-CN" w:bidi="ar-SA"/>
              </w:rPr>
            </w:pPr>
            <w:r>
              <w:rPr>
                <w:rFonts w:hint="eastAsia" w:ascii="Times New Roman" w:hAnsi="Times New Roman" w:eastAsia="仿宋" w:cs="Times New Roman"/>
                <w:b/>
                <w:bCs/>
                <w:color w:val="auto"/>
                <w:kern w:val="0"/>
                <w:sz w:val="21"/>
                <w:szCs w:val="21"/>
                <w:highlight w:val="none"/>
                <w:lang w:val="en-US" w:eastAsia="zh-CN" w:bidi="ar-SA"/>
              </w:rPr>
              <w:t>表3-</w:t>
            </w:r>
            <w:r>
              <w:rPr>
                <w:rFonts w:hint="eastAsia" w:eastAsia="仿宋" w:cs="Times New Roman"/>
                <w:b/>
                <w:bCs/>
                <w:color w:val="auto"/>
                <w:kern w:val="0"/>
                <w:sz w:val="21"/>
                <w:szCs w:val="21"/>
                <w:highlight w:val="none"/>
                <w:lang w:val="en-US" w:eastAsia="zh-CN" w:bidi="ar-SA"/>
              </w:rPr>
              <w:t>3</w:t>
            </w:r>
            <w:r>
              <w:rPr>
                <w:rFonts w:hint="eastAsia" w:ascii="Times New Roman" w:hAnsi="Times New Roman" w:eastAsia="仿宋" w:cs="Times New Roman"/>
                <w:b/>
                <w:bCs/>
                <w:color w:val="auto"/>
                <w:kern w:val="0"/>
                <w:sz w:val="21"/>
                <w:szCs w:val="21"/>
                <w:highlight w:val="none"/>
                <w:lang w:val="en-US" w:eastAsia="zh-CN" w:bidi="ar-SA"/>
              </w:rPr>
              <w:t xml:space="preserve">   评价区主要动物名录</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2118"/>
              <w:gridCol w:w="4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序号</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中名</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学名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1</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快步麻蜥</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Eremias velox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2</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黄脊游蛇</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Coluber spinalis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3</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旱地沙蜥 </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Phrynocephalus helioseopus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4</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毛脚燕</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Delichon urbica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5</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云 雀 </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Alauda arvensis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6</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小五趾跳鼠 </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Allactage elater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7</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子午沙鼠</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Meriones meridianus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8</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大沙鼠 </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Rhombomys opimus  </w:t>
                  </w: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仿宋" w:cs="Times New Roman"/>
                <w:color w:val="auto"/>
                <w:kern w:val="0"/>
                <w:sz w:val="24"/>
                <w:szCs w:val="24"/>
                <w:highlight w:val="none"/>
                <w:lang w:val="zh-CN" w:eastAsia="zh-CN" w:bidi="ar-SA"/>
              </w:rPr>
            </w:pPr>
            <w:r>
              <w:rPr>
                <w:rFonts w:hint="default" w:ascii="Times New Roman" w:hAnsi="Times New Roman" w:eastAsia="仿宋" w:cs="Times New Roman"/>
                <w:color w:val="auto"/>
                <w:kern w:val="0"/>
                <w:sz w:val="24"/>
                <w:szCs w:val="24"/>
                <w:highlight w:val="none"/>
                <w:lang w:val="zh-CN" w:eastAsia="zh-CN" w:bidi="ar-SA"/>
              </w:rPr>
              <w:t>由于</w:t>
            </w:r>
            <w:r>
              <w:rPr>
                <w:rFonts w:hint="eastAsia" w:ascii="Times New Roman" w:hAnsi="Times New Roman" w:eastAsia="仿宋" w:cs="Times New Roman"/>
                <w:color w:val="auto"/>
                <w:kern w:val="0"/>
                <w:sz w:val="24"/>
                <w:szCs w:val="24"/>
                <w:highlight w:val="none"/>
                <w:lang w:val="en-US" w:eastAsia="zh-CN" w:bidi="ar-SA"/>
              </w:rPr>
              <w:t>项目区</w:t>
            </w:r>
            <w:r>
              <w:rPr>
                <w:rFonts w:hint="default" w:ascii="Times New Roman" w:hAnsi="Times New Roman" w:eastAsia="仿宋" w:cs="Times New Roman"/>
                <w:color w:val="auto"/>
                <w:kern w:val="0"/>
                <w:sz w:val="24"/>
                <w:szCs w:val="24"/>
                <w:highlight w:val="none"/>
                <w:lang w:val="zh-CN" w:eastAsia="zh-CN" w:bidi="ar-SA"/>
              </w:rPr>
              <w:t>地</w:t>
            </w:r>
            <w:r>
              <w:rPr>
                <w:rFonts w:hint="eastAsia" w:ascii="Times New Roman" w:hAnsi="Times New Roman" w:eastAsia="仿宋" w:cs="Times New Roman"/>
                <w:color w:val="auto"/>
                <w:kern w:val="0"/>
                <w:sz w:val="24"/>
                <w:szCs w:val="24"/>
                <w:highlight w:val="none"/>
                <w:lang w:val="en-US" w:eastAsia="zh-CN" w:bidi="ar-SA"/>
              </w:rPr>
              <w:t>处</w:t>
            </w:r>
            <w:r>
              <w:rPr>
                <w:rFonts w:hint="default" w:ascii="Times New Roman" w:hAnsi="Times New Roman" w:eastAsia="仿宋" w:cs="Times New Roman"/>
                <w:color w:val="auto"/>
                <w:kern w:val="0"/>
                <w:sz w:val="24"/>
                <w:szCs w:val="24"/>
                <w:highlight w:val="none"/>
                <w:lang w:val="zh-CN" w:eastAsia="zh-CN" w:bidi="ar-SA"/>
              </w:rPr>
              <w:t>严酷的气候条件，野生动物分布种类少，没有区域特有种，也无保护动物。</w:t>
            </w:r>
          </w:p>
          <w:p>
            <w:pPr>
              <w:pStyle w:val="9"/>
              <w:keepNext w:val="0"/>
              <w:keepLines w:val="0"/>
              <w:pageBreakBefore w:val="0"/>
              <w:widowControl w:val="0"/>
              <w:numPr>
                <w:ilvl w:val="0"/>
                <w:numId w:val="5"/>
              </w:numPr>
              <w:kinsoku/>
              <w:wordWrap/>
              <w:overflowPunct/>
              <w:topLinePunct w:val="0"/>
              <w:autoSpaceDE/>
              <w:autoSpaceDN/>
              <w:bidi w:val="0"/>
              <w:adjustRightInd w:val="0"/>
              <w:spacing w:before="0" w:after="0" w:line="360" w:lineRule="auto"/>
              <w:ind w:left="0" w:leftChars="0" w:right="0" w:firstLine="480" w:firstLineChars="200"/>
              <w:textAlignment w:val="auto"/>
              <w:rPr>
                <w:rFonts w:hint="eastAsia" w:eastAsia="仿宋" w:cs="Times New Roman"/>
                <w:b w:val="0"/>
                <w:bCs w:val="0"/>
                <w:color w:val="auto"/>
                <w:sz w:val="24"/>
                <w:szCs w:val="24"/>
                <w:lang w:val="en-US" w:eastAsia="zh-CN"/>
              </w:rPr>
            </w:pPr>
            <w:r>
              <w:rPr>
                <w:rFonts w:hint="eastAsia" w:eastAsia="仿宋" w:cs="Times New Roman"/>
                <w:b w:val="0"/>
                <w:bCs w:val="0"/>
                <w:color w:val="auto"/>
                <w:sz w:val="24"/>
                <w:szCs w:val="24"/>
                <w:lang w:val="en-US" w:eastAsia="zh-CN"/>
              </w:rPr>
              <w:t>水文</w:t>
            </w:r>
          </w:p>
          <w:p>
            <w:pPr>
              <w:pStyle w:val="9"/>
              <w:keepNext w:val="0"/>
              <w:keepLines w:val="0"/>
              <w:pageBreakBefore w:val="0"/>
              <w:widowControl w:val="0"/>
              <w:kinsoku/>
              <w:wordWrap/>
              <w:overflowPunct/>
              <w:topLinePunct w:val="0"/>
              <w:autoSpaceDE/>
              <w:autoSpaceDN/>
              <w:bidi w:val="0"/>
              <w:adjustRightInd w:val="0"/>
              <w:spacing w:before="0" w:after="0" w:line="360" w:lineRule="auto"/>
              <w:ind w:left="0" w:right="0" w:firstLine="480" w:firstLineChars="200"/>
              <w:textAlignment w:val="auto"/>
              <w:rPr>
                <w:rFonts w:hint="eastAsia" w:eastAsia="仿宋" w:cs="Times New Roman"/>
                <w:b w:val="0"/>
                <w:bCs w:val="0"/>
                <w:color w:val="auto"/>
                <w:sz w:val="24"/>
                <w:szCs w:val="24"/>
                <w:lang w:val="en-US" w:eastAsia="zh-CN"/>
              </w:rPr>
            </w:pPr>
            <w:r>
              <w:rPr>
                <w:rFonts w:hint="eastAsia" w:eastAsia="仿宋" w:cs="Times New Roman"/>
                <w:b w:val="0"/>
                <w:bCs w:val="0"/>
                <w:color w:val="auto"/>
                <w:sz w:val="24"/>
                <w:szCs w:val="24"/>
                <w:lang w:val="en-US" w:eastAsia="zh-CN"/>
              </w:rPr>
              <w:t>矿区内地表水系不发育，未有常年性地表径流，根据矿区施工浅井，结合收集的区域水文资料，该区域内地下水较为贫乏。矿区地势总体北东高南西低，区内无地表水系。</w:t>
            </w:r>
          </w:p>
          <w:p>
            <w:pPr>
              <w:pStyle w:val="9"/>
              <w:keepNext w:val="0"/>
              <w:keepLines w:val="0"/>
              <w:pageBreakBefore w:val="0"/>
              <w:widowControl w:val="0"/>
              <w:kinsoku/>
              <w:wordWrap/>
              <w:overflowPunct/>
              <w:topLinePunct w:val="0"/>
              <w:autoSpaceDE/>
              <w:autoSpaceDN/>
              <w:bidi w:val="0"/>
              <w:adjustRightInd w:val="0"/>
              <w:spacing w:before="0" w:after="0" w:line="360" w:lineRule="auto"/>
              <w:ind w:left="0" w:right="0" w:firstLine="482" w:firstLineChars="200"/>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rPr>
              <w:t>2、环境空气现状</w:t>
            </w:r>
            <w:r>
              <w:rPr>
                <w:rFonts w:hint="default" w:ascii="Times New Roman" w:hAnsi="Times New Roman" w:eastAsia="仿宋" w:cs="Times New Roman"/>
                <w:b/>
                <w:bCs/>
                <w:color w:val="auto"/>
                <w:sz w:val="24"/>
                <w:szCs w:val="24"/>
                <w:lang w:val="en-US" w:eastAsia="zh-CN"/>
              </w:rPr>
              <w:t>调查</w:t>
            </w:r>
          </w:p>
          <w:p>
            <w:pPr>
              <w:pStyle w:val="85"/>
              <w:keepNext w:val="0"/>
              <w:keepLines w:val="0"/>
              <w:pageBreakBefore w:val="0"/>
              <w:widowControl w:val="0"/>
              <w:kinsoku/>
              <w:wordWrap/>
              <w:overflowPunct/>
              <w:topLinePunct w:val="0"/>
              <w:autoSpaceDE/>
              <w:autoSpaceDN/>
              <w:bidi w:val="0"/>
              <w:spacing w:line="360" w:lineRule="auto"/>
              <w:ind w:left="0" w:right="0" w:firstLine="482" w:firstLineChars="200"/>
              <w:textAlignment w:val="auto"/>
              <w:rPr>
                <w:rFonts w:hint="default" w:ascii="Times New Roman" w:hAnsi="Times New Roman" w:eastAsia="仿宋" w:cs="Times New Roman"/>
                <w:b/>
                <w:bCs/>
                <w:color w:val="auto"/>
                <w:kern w:val="0"/>
                <w:sz w:val="24"/>
                <w:szCs w:val="24"/>
                <w:highlight w:val="none"/>
                <w:lang w:val="en-US" w:eastAsia="zh-CN" w:bidi="ar-SA"/>
              </w:rPr>
            </w:pPr>
            <w:r>
              <w:rPr>
                <w:rFonts w:hint="default" w:ascii="Times New Roman" w:hAnsi="Times New Roman" w:eastAsia="仿宋" w:cs="Times New Roman"/>
                <w:b/>
                <w:bCs/>
                <w:color w:val="auto"/>
                <w:kern w:val="0"/>
                <w:sz w:val="24"/>
                <w:szCs w:val="24"/>
                <w:highlight w:val="none"/>
                <w:lang w:val="en-US" w:eastAsia="zh-CN" w:bidi="ar-SA"/>
              </w:rPr>
              <w:t>2.1基本污染物环境质量现状评价</w:t>
            </w:r>
          </w:p>
          <w:p>
            <w:pPr>
              <w:pStyle w:val="85"/>
              <w:keepNext w:val="0"/>
              <w:keepLines w:val="0"/>
              <w:pageBreakBefore w:val="0"/>
              <w:widowControl w:val="0"/>
              <w:kinsoku/>
              <w:wordWrap/>
              <w:overflowPunct/>
              <w:topLinePunct w:val="0"/>
              <w:autoSpaceDE/>
              <w:autoSpaceDN/>
              <w:bidi w:val="0"/>
              <w:spacing w:line="360" w:lineRule="auto"/>
              <w:ind w:left="0" w:right="0" w:firstLine="468" w:firstLineChars="200"/>
              <w:textAlignment w:val="auto"/>
              <w:rPr>
                <w:rFonts w:hint="default" w:ascii="Times New Roman" w:hAnsi="Times New Roman" w:eastAsia="仿宋" w:cs="Times New Roman"/>
                <w:b w:val="0"/>
                <w:bCs w:val="0"/>
                <w:color w:val="auto"/>
              </w:rPr>
            </w:pPr>
            <w:r>
              <w:rPr>
                <w:rFonts w:hint="eastAsia" w:ascii="Times New Roman" w:hAnsi="Times New Roman" w:eastAsia="仿宋" w:cs="Times New Roman"/>
                <w:b w:val="0"/>
                <w:bCs w:val="0"/>
                <w:color w:val="auto"/>
                <w:spacing w:val="-3"/>
                <w:lang w:val="en-US" w:eastAsia="zh-CN"/>
              </w:rPr>
              <w:t>（1）</w:t>
            </w:r>
            <w:r>
              <w:rPr>
                <w:rFonts w:hint="default" w:ascii="Times New Roman" w:hAnsi="Times New Roman" w:eastAsia="仿宋" w:cs="Times New Roman"/>
                <w:b w:val="0"/>
                <w:bCs w:val="0"/>
                <w:color w:val="auto"/>
                <w:spacing w:val="-3"/>
              </w:rPr>
              <w:t>数据来源</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项目所在区域执行空气质量二类功能区标准，大气基本污染物环境质量现状达标判定采用环境空气质量模型技术支持服务系统（</w:t>
            </w:r>
            <w:r>
              <w:rPr>
                <w:rFonts w:hint="default" w:ascii="Times New Roman" w:hAnsi="Times New Roman" w:eastAsia="仿宋" w:cs="Times New Roman"/>
                <w:color w:val="auto"/>
                <w:sz w:val="24"/>
                <w:szCs w:val="24"/>
                <w:lang w:val="zh-CN" w:eastAsia="zh-CN"/>
              </w:rPr>
              <w:fldChar w:fldCharType="begin"/>
            </w:r>
            <w:r>
              <w:rPr>
                <w:rFonts w:hint="default" w:ascii="Times New Roman" w:hAnsi="Times New Roman" w:eastAsia="仿宋" w:cs="Times New Roman"/>
                <w:color w:val="auto"/>
                <w:sz w:val="24"/>
                <w:szCs w:val="24"/>
                <w:lang w:val="zh-CN" w:eastAsia="zh-CN"/>
              </w:rPr>
              <w:instrText xml:space="preserve"> HYPERLINK "http://data.lem.org.cn/eamds/apply/tostepone.html" </w:instrText>
            </w:r>
            <w:r>
              <w:rPr>
                <w:rFonts w:hint="default" w:ascii="Times New Roman" w:hAnsi="Times New Roman" w:eastAsia="仿宋" w:cs="Times New Roman"/>
                <w:color w:val="auto"/>
                <w:sz w:val="24"/>
                <w:szCs w:val="24"/>
                <w:lang w:val="zh-CN" w:eastAsia="zh-CN"/>
              </w:rPr>
              <w:fldChar w:fldCharType="separate"/>
            </w:r>
            <w:r>
              <w:rPr>
                <w:rFonts w:hint="default" w:ascii="Times New Roman" w:hAnsi="Times New Roman" w:eastAsia="仿宋" w:cs="Times New Roman"/>
                <w:color w:val="auto"/>
                <w:sz w:val="24"/>
                <w:szCs w:val="24"/>
                <w:lang w:val="zh-CN" w:eastAsia="zh-CN"/>
              </w:rPr>
              <w:t>http://data.lem.org.cn/eamds/apply/tostepone.html</w:t>
            </w:r>
            <w:r>
              <w:rPr>
                <w:rFonts w:hint="default" w:ascii="Times New Roman" w:hAnsi="Times New Roman" w:eastAsia="仿宋" w:cs="Times New Roman"/>
                <w:color w:val="auto"/>
                <w:sz w:val="24"/>
                <w:szCs w:val="24"/>
                <w:lang w:val="zh-CN" w:eastAsia="zh-CN"/>
              </w:rPr>
              <w:fldChar w:fldCharType="end"/>
            </w:r>
            <w:r>
              <w:rPr>
                <w:rFonts w:hint="default" w:ascii="Times New Roman" w:hAnsi="Times New Roman" w:eastAsia="仿宋" w:cs="Times New Roman"/>
                <w:color w:val="auto"/>
                <w:sz w:val="24"/>
                <w:szCs w:val="24"/>
                <w:lang w:val="zh-CN" w:eastAsia="zh-CN"/>
              </w:rPr>
              <w:t>）提供的吐鲁番市生态环境局站点2022年监测数据。</w:t>
            </w:r>
          </w:p>
          <w:p>
            <w:pPr>
              <w:pStyle w:val="85"/>
              <w:keepNext w:val="0"/>
              <w:keepLines w:val="0"/>
              <w:pageBreakBefore w:val="0"/>
              <w:widowControl w:val="0"/>
              <w:kinsoku/>
              <w:wordWrap/>
              <w:overflowPunct/>
              <w:topLinePunct w:val="0"/>
              <w:autoSpaceDE/>
              <w:autoSpaceDN/>
              <w:bidi w:val="0"/>
              <w:spacing w:line="360" w:lineRule="auto"/>
              <w:ind w:left="0" w:right="0" w:firstLine="468" w:firstLineChars="200"/>
              <w:textAlignment w:val="auto"/>
              <w:rPr>
                <w:rFonts w:hint="default" w:ascii="Times New Roman" w:hAnsi="Times New Roman" w:eastAsia="仿宋" w:cs="Times New Roman"/>
                <w:b w:val="0"/>
                <w:bCs w:val="0"/>
                <w:color w:val="auto"/>
              </w:rPr>
            </w:pPr>
            <w:r>
              <w:rPr>
                <w:rFonts w:hint="eastAsia" w:ascii="Times New Roman" w:hAnsi="Times New Roman" w:eastAsia="仿宋" w:cs="Times New Roman"/>
                <w:b w:val="0"/>
                <w:bCs w:val="0"/>
                <w:color w:val="auto"/>
                <w:spacing w:val="-3"/>
                <w:lang w:val="en-US" w:eastAsia="zh-CN"/>
              </w:rPr>
              <w:t>（2）</w:t>
            </w:r>
            <w:r>
              <w:rPr>
                <w:rFonts w:hint="default" w:ascii="Times New Roman" w:hAnsi="Times New Roman" w:eastAsia="仿宋" w:cs="Times New Roman"/>
                <w:b w:val="0"/>
                <w:bCs w:val="0"/>
                <w:color w:val="auto"/>
                <w:spacing w:val="-3"/>
              </w:rPr>
              <w:t>评价内容</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城市环境空气质量达标情况评价指标为SO</w:t>
            </w:r>
            <w:r>
              <w:rPr>
                <w:rFonts w:hint="default" w:ascii="Times New Roman" w:hAnsi="Times New Roman" w:eastAsia="仿宋" w:cs="Times New Roman"/>
                <w:color w:val="auto"/>
                <w:sz w:val="24"/>
                <w:szCs w:val="24"/>
                <w:vertAlign w:val="subscript"/>
                <w:lang w:val="zh-CN" w:eastAsia="zh-CN"/>
              </w:rPr>
              <w:t>2</w:t>
            </w:r>
            <w:r>
              <w:rPr>
                <w:rFonts w:hint="default" w:ascii="Times New Roman" w:hAnsi="Times New Roman" w:eastAsia="仿宋" w:cs="Times New Roman"/>
                <w:color w:val="auto"/>
                <w:sz w:val="24"/>
                <w:szCs w:val="24"/>
                <w:lang w:val="zh-CN" w:eastAsia="zh-CN"/>
              </w:rPr>
              <w:t>、NO</w:t>
            </w:r>
            <w:r>
              <w:rPr>
                <w:rFonts w:hint="default" w:ascii="Times New Roman" w:hAnsi="Times New Roman" w:eastAsia="仿宋" w:cs="Times New Roman"/>
                <w:color w:val="auto"/>
                <w:sz w:val="24"/>
                <w:szCs w:val="24"/>
                <w:vertAlign w:val="subscript"/>
                <w:lang w:val="zh-CN" w:eastAsia="zh-CN"/>
              </w:rPr>
              <w:t>2</w:t>
            </w:r>
            <w:r>
              <w:rPr>
                <w:rFonts w:hint="default" w:ascii="Times New Roman" w:hAnsi="Times New Roman" w:eastAsia="仿宋" w:cs="Times New Roman"/>
                <w:color w:val="auto"/>
                <w:sz w:val="24"/>
                <w:szCs w:val="24"/>
                <w:lang w:val="zh-CN" w:eastAsia="zh-CN"/>
              </w:rPr>
              <w:t>、PM</w:t>
            </w:r>
            <w:r>
              <w:rPr>
                <w:rFonts w:hint="default" w:ascii="Times New Roman" w:hAnsi="Times New Roman" w:eastAsia="仿宋" w:cs="Times New Roman"/>
                <w:color w:val="auto"/>
                <w:sz w:val="24"/>
                <w:szCs w:val="24"/>
                <w:vertAlign w:val="subscript"/>
                <w:lang w:val="zh-CN" w:eastAsia="zh-CN"/>
              </w:rPr>
              <w:t>10</w:t>
            </w:r>
            <w:r>
              <w:rPr>
                <w:rFonts w:hint="default" w:ascii="Times New Roman" w:hAnsi="Times New Roman" w:eastAsia="仿宋" w:cs="Times New Roman"/>
                <w:color w:val="auto"/>
                <w:sz w:val="24"/>
                <w:szCs w:val="24"/>
                <w:lang w:val="zh-CN" w:eastAsia="zh-CN"/>
              </w:rPr>
              <w:t>、PM</w:t>
            </w:r>
            <w:r>
              <w:rPr>
                <w:rFonts w:hint="default" w:ascii="Times New Roman" w:hAnsi="Times New Roman" w:eastAsia="仿宋" w:cs="Times New Roman"/>
                <w:color w:val="auto"/>
                <w:sz w:val="24"/>
                <w:szCs w:val="24"/>
                <w:vertAlign w:val="subscript"/>
                <w:lang w:val="zh-CN" w:eastAsia="zh-CN"/>
              </w:rPr>
              <w:t>2.5</w:t>
            </w:r>
            <w:r>
              <w:rPr>
                <w:rFonts w:hint="default" w:ascii="Times New Roman" w:hAnsi="Times New Roman" w:eastAsia="仿宋" w:cs="Times New Roman"/>
                <w:color w:val="auto"/>
                <w:sz w:val="24"/>
                <w:szCs w:val="24"/>
                <w:lang w:val="zh-CN" w:eastAsia="zh-CN"/>
              </w:rPr>
              <w:t>、CO、O</w:t>
            </w:r>
            <w:r>
              <w:rPr>
                <w:rFonts w:hint="default" w:ascii="Times New Roman" w:hAnsi="Times New Roman" w:eastAsia="仿宋" w:cs="Times New Roman"/>
                <w:color w:val="auto"/>
                <w:sz w:val="24"/>
                <w:szCs w:val="24"/>
                <w:vertAlign w:val="subscript"/>
                <w:lang w:val="zh-CN" w:eastAsia="zh-CN"/>
              </w:rPr>
              <w:t>3</w:t>
            </w:r>
            <w:r>
              <w:rPr>
                <w:rFonts w:hint="default" w:ascii="Times New Roman" w:hAnsi="Times New Roman" w:eastAsia="仿宋" w:cs="Times New Roman"/>
                <w:color w:val="auto"/>
                <w:sz w:val="24"/>
                <w:szCs w:val="24"/>
                <w:lang w:val="zh-CN" w:eastAsia="zh-CN"/>
              </w:rPr>
              <w:t>，六项污染物全部达标即为城市环境空气质量达标。</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仿宋" w:cs="Times New Roman"/>
                <w:b w:val="0"/>
                <w:bCs w:val="0"/>
                <w:color w:val="auto"/>
                <w:sz w:val="24"/>
                <w:szCs w:val="24"/>
                <w:lang w:val="zh-CN" w:eastAsia="zh-CN"/>
              </w:rPr>
            </w:pPr>
            <w:r>
              <w:rPr>
                <w:rFonts w:hint="eastAsia" w:eastAsia="仿宋" w:cs="Times New Roman"/>
                <w:b w:val="0"/>
                <w:bCs w:val="0"/>
                <w:color w:val="auto"/>
                <w:sz w:val="24"/>
                <w:szCs w:val="24"/>
                <w:lang w:val="en-US" w:eastAsia="zh-CN"/>
              </w:rPr>
              <w:t>（3）</w:t>
            </w:r>
            <w:r>
              <w:rPr>
                <w:rFonts w:hint="default" w:ascii="Times New Roman" w:hAnsi="Times New Roman" w:eastAsia="仿宋" w:cs="Times New Roman"/>
                <w:b w:val="0"/>
                <w:bCs w:val="0"/>
                <w:color w:val="auto"/>
                <w:sz w:val="24"/>
                <w:szCs w:val="24"/>
                <w:lang w:val="zh-CN" w:eastAsia="zh-CN"/>
              </w:rPr>
              <w:t>监测结果及现状评价</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本项目所在区域环境空气质量现状评价结果见下表：</w:t>
            </w:r>
          </w:p>
          <w:p>
            <w:pPr>
              <w:pStyle w:val="85"/>
              <w:keepNext w:val="0"/>
              <w:keepLines w:val="0"/>
              <w:pageBreakBefore w:val="0"/>
              <w:widowControl w:val="0"/>
              <w:kinsoku/>
              <w:wordWrap/>
              <w:overflowPunct/>
              <w:topLinePunct w:val="0"/>
              <w:autoSpaceDE/>
              <w:autoSpaceDN/>
              <w:bidi w:val="0"/>
              <w:spacing w:line="360" w:lineRule="auto"/>
              <w:ind w:left="0" w:right="0" w:firstLine="422" w:firstLineChars="200"/>
              <w:jc w:val="center"/>
              <w:textAlignment w:val="auto"/>
              <w:rPr>
                <w:rFonts w:hint="default" w:ascii="Times New Roman" w:hAnsi="Times New Roman" w:eastAsia="仿宋" w:cs="Times New Roman"/>
                <w:b/>
                <w:color w:val="auto"/>
                <w:kern w:val="0"/>
                <w:sz w:val="21"/>
                <w:szCs w:val="21"/>
                <w:lang w:val="en-US" w:eastAsia="zh-CN" w:bidi="ar-SA"/>
              </w:rPr>
            </w:pPr>
            <w:r>
              <w:rPr>
                <w:rFonts w:hint="default" w:ascii="Times New Roman" w:hAnsi="Times New Roman" w:eastAsia="仿宋" w:cs="Times New Roman"/>
                <w:b/>
                <w:color w:val="auto"/>
                <w:kern w:val="0"/>
                <w:sz w:val="21"/>
                <w:szCs w:val="21"/>
                <w:lang w:val="en-US" w:eastAsia="zh-CN" w:bidi="ar-SA"/>
              </w:rPr>
              <w:t>表3-</w:t>
            </w:r>
            <w:r>
              <w:rPr>
                <w:rFonts w:hint="eastAsia" w:ascii="Times New Roman" w:hAnsi="Times New Roman" w:eastAsia="仿宋" w:cs="Times New Roman"/>
                <w:b/>
                <w:color w:val="auto"/>
                <w:kern w:val="0"/>
                <w:sz w:val="21"/>
                <w:szCs w:val="21"/>
                <w:lang w:val="en-US" w:eastAsia="zh-CN" w:bidi="ar-SA"/>
              </w:rPr>
              <w:t>4</w:t>
            </w:r>
            <w:r>
              <w:rPr>
                <w:rFonts w:hint="default" w:ascii="Times New Roman" w:hAnsi="Times New Roman" w:eastAsia="仿宋" w:cs="Times New Roman"/>
                <w:b/>
                <w:color w:val="auto"/>
                <w:kern w:val="0"/>
                <w:sz w:val="21"/>
                <w:szCs w:val="21"/>
                <w:lang w:val="en-US" w:eastAsia="zh-CN" w:bidi="ar-SA"/>
              </w:rPr>
              <w:t>区域空气质量现状评价表</w:t>
            </w:r>
          </w:p>
          <w:p>
            <w:pPr>
              <w:spacing w:line="43" w:lineRule="exact"/>
              <w:rPr>
                <w:rFonts w:hint="default" w:ascii="Times New Roman" w:hAnsi="Times New Roman" w:eastAsia="仿宋" w:cs="Times New Roman"/>
                <w:color w:val="auto"/>
              </w:rPr>
            </w:pPr>
          </w:p>
          <w:tbl>
            <w:tblPr>
              <w:tblStyle w:val="86"/>
              <w:tblW w:w="499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55"/>
              <w:gridCol w:w="1916"/>
              <w:gridCol w:w="1145"/>
              <w:gridCol w:w="1485"/>
              <w:gridCol w:w="1404"/>
              <w:gridCol w:w="1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评价因子</w:t>
                  </w:r>
                </w:p>
              </w:tc>
              <w:tc>
                <w:tcPr>
                  <w:tcW w:w="118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平均时段</w:t>
                  </w:r>
                </w:p>
              </w:tc>
              <w:tc>
                <w:tcPr>
                  <w:tcW w:w="706"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评价标准（μg/m</w:t>
                  </w:r>
                  <w:r>
                    <w:rPr>
                      <w:rFonts w:hint="default" w:ascii="Times New Roman" w:hAnsi="Times New Roman" w:eastAsia="仿宋" w:cs="Times New Roman"/>
                      <w:color w:val="auto"/>
                      <w:kern w:val="2"/>
                      <w:sz w:val="21"/>
                      <w:szCs w:val="21"/>
                      <w:vertAlign w:val="superscript"/>
                      <w:lang w:val="en-US" w:eastAsia="zh-CN" w:bidi="ar-SA"/>
                    </w:rPr>
                    <w:t>3</w:t>
                  </w:r>
                  <w:r>
                    <w:rPr>
                      <w:rFonts w:hint="default" w:ascii="Times New Roman" w:hAnsi="Times New Roman" w:eastAsia="仿宋" w:cs="Times New Roman"/>
                      <w:color w:val="auto"/>
                      <w:kern w:val="2"/>
                      <w:sz w:val="21"/>
                      <w:szCs w:val="21"/>
                      <w:lang w:val="en-US" w:eastAsia="zh-CN" w:bidi="ar-SA"/>
                    </w:rPr>
                    <w:t>）</w:t>
                  </w:r>
                </w:p>
              </w:tc>
              <w:tc>
                <w:tcPr>
                  <w:tcW w:w="916"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现状浓度（μg/m</w:t>
                  </w:r>
                  <w:r>
                    <w:rPr>
                      <w:rFonts w:hint="default" w:ascii="Times New Roman" w:hAnsi="Times New Roman" w:eastAsia="仿宋" w:cs="Times New Roman"/>
                      <w:color w:val="auto"/>
                      <w:kern w:val="2"/>
                      <w:sz w:val="21"/>
                      <w:szCs w:val="21"/>
                      <w:vertAlign w:val="superscript"/>
                      <w:lang w:val="en-US" w:eastAsia="zh-CN" w:bidi="ar-SA"/>
                    </w:rPr>
                    <w:t>3</w:t>
                  </w:r>
                  <w:r>
                    <w:rPr>
                      <w:rFonts w:hint="default" w:ascii="Times New Roman" w:hAnsi="Times New Roman" w:eastAsia="仿宋" w:cs="Times New Roman"/>
                      <w:color w:val="auto"/>
                      <w:kern w:val="2"/>
                      <w:sz w:val="21"/>
                      <w:szCs w:val="21"/>
                      <w:lang w:val="en-US" w:eastAsia="zh-CN" w:bidi="ar-SA"/>
                    </w:rPr>
                    <w:t>）</w:t>
                  </w:r>
                </w:p>
              </w:tc>
              <w:tc>
                <w:tcPr>
                  <w:tcW w:w="866"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占标率（%）</w:t>
                  </w:r>
                </w:p>
              </w:tc>
              <w:tc>
                <w:tcPr>
                  <w:tcW w:w="675"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达标</w:t>
                  </w:r>
                </w:p>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z w:val="20"/>
                      <w:szCs w:val="20"/>
                    </w:rPr>
                    <w:t>SO</w:t>
                  </w:r>
                  <w:r>
                    <w:rPr>
                      <w:rFonts w:hint="default" w:ascii="Times New Roman" w:hAnsi="Times New Roman" w:eastAsia="仿宋" w:cs="Times New Roman"/>
                      <w:color w:val="auto"/>
                      <w:spacing w:val="3"/>
                      <w:position w:val="-1"/>
                      <w:sz w:val="13"/>
                      <w:szCs w:val="13"/>
                    </w:rPr>
                    <w:t>2</w:t>
                  </w:r>
                </w:p>
              </w:tc>
              <w:tc>
                <w:tcPr>
                  <w:tcW w:w="118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7"/>
                      <w:sz w:val="20"/>
                      <w:szCs w:val="20"/>
                    </w:rPr>
                    <w:t>年平均浓度</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60</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7</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2"/>
                      <w:sz w:val="20"/>
                      <w:szCs w:val="20"/>
                    </w:rPr>
                    <w:t>11.67</w:t>
                  </w:r>
                </w:p>
              </w:tc>
              <w:tc>
                <w:tcPr>
                  <w:tcW w:w="675"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pacing w:val="6"/>
                      <w:sz w:val="20"/>
                      <w:szCs w:val="20"/>
                    </w:rPr>
                    <w:t>NO</w:t>
                  </w:r>
                  <w:r>
                    <w:rPr>
                      <w:rFonts w:hint="default" w:ascii="Times New Roman" w:hAnsi="Times New Roman" w:eastAsia="仿宋" w:cs="Times New Roman"/>
                      <w:color w:val="auto"/>
                      <w:spacing w:val="6"/>
                      <w:position w:val="-1"/>
                      <w:sz w:val="13"/>
                      <w:szCs w:val="13"/>
                    </w:rPr>
                    <w:t>2</w:t>
                  </w:r>
                </w:p>
              </w:tc>
              <w:tc>
                <w:tcPr>
                  <w:tcW w:w="118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7"/>
                      <w:sz w:val="20"/>
                      <w:szCs w:val="20"/>
                    </w:rPr>
                    <w:t>年平均浓度</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40</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2"/>
                      <w:sz w:val="20"/>
                      <w:szCs w:val="20"/>
                    </w:rPr>
                    <w:t>29</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72.50</w:t>
                  </w:r>
                </w:p>
              </w:tc>
              <w:tc>
                <w:tcPr>
                  <w:tcW w:w="675"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z w:val="20"/>
                      <w:szCs w:val="20"/>
                    </w:rPr>
                    <w:t>PM</w:t>
                  </w:r>
                  <w:r>
                    <w:rPr>
                      <w:rFonts w:hint="default" w:ascii="Times New Roman" w:hAnsi="Times New Roman" w:eastAsia="仿宋" w:cs="Times New Roman"/>
                      <w:color w:val="auto"/>
                      <w:spacing w:val="10"/>
                      <w:position w:val="-1"/>
                      <w:sz w:val="13"/>
                      <w:szCs w:val="13"/>
                    </w:rPr>
                    <w:t>10</w:t>
                  </w:r>
                </w:p>
              </w:tc>
              <w:tc>
                <w:tcPr>
                  <w:tcW w:w="118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7"/>
                      <w:sz w:val="20"/>
                      <w:szCs w:val="20"/>
                    </w:rPr>
                    <w:t>年平均浓度</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1"/>
                      <w:sz w:val="20"/>
                      <w:szCs w:val="20"/>
                    </w:rPr>
                    <w:t>70</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101</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144.29</w:t>
                  </w:r>
                </w:p>
              </w:tc>
              <w:tc>
                <w:tcPr>
                  <w:tcW w:w="675"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不达标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z w:val="20"/>
                      <w:szCs w:val="20"/>
                    </w:rPr>
                    <w:t>PM</w:t>
                  </w:r>
                  <w:r>
                    <w:rPr>
                      <w:rFonts w:hint="default" w:ascii="Times New Roman" w:hAnsi="Times New Roman" w:eastAsia="仿宋" w:cs="Times New Roman"/>
                      <w:color w:val="auto"/>
                      <w:spacing w:val="6"/>
                      <w:position w:val="-1"/>
                      <w:sz w:val="13"/>
                      <w:szCs w:val="13"/>
                    </w:rPr>
                    <w:t>2.5</w:t>
                  </w:r>
                </w:p>
              </w:tc>
              <w:tc>
                <w:tcPr>
                  <w:tcW w:w="118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7"/>
                      <w:sz w:val="20"/>
                      <w:szCs w:val="20"/>
                    </w:rPr>
                    <w:t>年平均浓度</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35</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41</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1"/>
                      <w:sz w:val="20"/>
                      <w:szCs w:val="20"/>
                    </w:rPr>
                    <w:t>117.14</w:t>
                  </w:r>
                </w:p>
              </w:tc>
              <w:tc>
                <w:tcPr>
                  <w:tcW w:w="675"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不达标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2"/>
                      <w:sz w:val="20"/>
                      <w:szCs w:val="20"/>
                    </w:rPr>
                    <w:t>CO</w:t>
                  </w:r>
                </w:p>
              </w:tc>
              <w:tc>
                <w:tcPr>
                  <w:tcW w:w="118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24h平均浓度第95百分位数</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pacing w:val="7"/>
                      <w:sz w:val="20"/>
                      <w:szCs w:val="20"/>
                    </w:rPr>
                    <w:t>4</w:t>
                  </w:r>
                  <w:r>
                    <w:rPr>
                      <w:rFonts w:hint="default" w:ascii="Times New Roman" w:hAnsi="Times New Roman" w:eastAsia="仿宋" w:cs="Times New Roman"/>
                      <w:color w:val="auto"/>
                      <w:sz w:val="20"/>
                      <w:szCs w:val="20"/>
                    </w:rPr>
                    <w:t>mg</w:t>
                  </w:r>
                  <w:r>
                    <w:rPr>
                      <w:rFonts w:hint="default" w:ascii="Times New Roman" w:hAnsi="Times New Roman" w:eastAsia="仿宋" w:cs="Times New Roman"/>
                      <w:color w:val="auto"/>
                      <w:spacing w:val="7"/>
                      <w:sz w:val="20"/>
                      <w:szCs w:val="20"/>
                    </w:rPr>
                    <w:t>/m</w:t>
                  </w:r>
                  <w:r>
                    <w:rPr>
                      <w:rFonts w:hint="default" w:ascii="Times New Roman" w:hAnsi="Times New Roman" w:eastAsia="仿宋" w:cs="Times New Roman"/>
                      <w:color w:val="auto"/>
                      <w:spacing w:val="7"/>
                      <w:position w:val="6"/>
                      <w:sz w:val="13"/>
                      <w:szCs w:val="13"/>
                    </w:rPr>
                    <w:t>3</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pacing w:val="5"/>
                      <w:sz w:val="20"/>
                      <w:szCs w:val="20"/>
                    </w:rPr>
                    <w:t>2.7</w:t>
                  </w:r>
                  <w:r>
                    <w:rPr>
                      <w:rFonts w:hint="default" w:ascii="Times New Roman" w:hAnsi="Times New Roman" w:eastAsia="仿宋" w:cs="Times New Roman"/>
                      <w:color w:val="auto"/>
                      <w:sz w:val="20"/>
                      <w:szCs w:val="20"/>
                    </w:rPr>
                    <w:t>mg</w:t>
                  </w:r>
                  <w:r>
                    <w:rPr>
                      <w:rFonts w:hint="default" w:ascii="Times New Roman" w:hAnsi="Times New Roman" w:eastAsia="仿宋" w:cs="Times New Roman"/>
                      <w:color w:val="auto"/>
                      <w:spacing w:val="5"/>
                      <w:sz w:val="20"/>
                      <w:szCs w:val="20"/>
                    </w:rPr>
                    <w:t>/m</w:t>
                  </w:r>
                  <w:r>
                    <w:rPr>
                      <w:rFonts w:hint="default" w:ascii="Times New Roman" w:hAnsi="Times New Roman" w:eastAsia="仿宋" w:cs="Times New Roman"/>
                      <w:color w:val="auto"/>
                      <w:spacing w:val="5"/>
                      <w:position w:val="6"/>
                      <w:sz w:val="13"/>
                      <w:szCs w:val="13"/>
                    </w:rPr>
                    <w:t>3</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6</w:t>
                  </w:r>
                  <w:r>
                    <w:rPr>
                      <w:rFonts w:hint="eastAsia" w:eastAsia="仿宋" w:cs="Times New Roman"/>
                      <w:color w:val="auto"/>
                      <w:spacing w:val="3"/>
                      <w:sz w:val="20"/>
                      <w:szCs w:val="20"/>
                      <w:lang w:eastAsia="zh-CN"/>
                    </w:rPr>
                    <w:t>37.5</w:t>
                  </w:r>
                  <w:r>
                    <w:rPr>
                      <w:rFonts w:hint="default" w:ascii="Times New Roman" w:hAnsi="Times New Roman" w:eastAsia="仿宋" w:cs="Times New Roman"/>
                      <w:color w:val="auto"/>
                      <w:spacing w:val="3"/>
                      <w:sz w:val="20"/>
                      <w:szCs w:val="20"/>
                    </w:rPr>
                    <w:t>0</w:t>
                  </w:r>
                </w:p>
              </w:tc>
              <w:tc>
                <w:tcPr>
                  <w:tcW w:w="675"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pacing w:val="1"/>
                      <w:sz w:val="20"/>
                      <w:szCs w:val="20"/>
                    </w:rPr>
                    <w:t>O</w:t>
                  </w:r>
                  <w:r>
                    <w:rPr>
                      <w:rFonts w:hint="default" w:ascii="Times New Roman" w:hAnsi="Times New Roman" w:eastAsia="仿宋" w:cs="Times New Roman"/>
                      <w:color w:val="auto"/>
                      <w:spacing w:val="1"/>
                      <w:position w:val="-1"/>
                      <w:sz w:val="13"/>
                      <w:szCs w:val="13"/>
                    </w:rPr>
                    <w:t>3</w:t>
                  </w:r>
                </w:p>
              </w:tc>
              <w:tc>
                <w:tcPr>
                  <w:tcW w:w="118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日最大8h滑动平均</w:t>
                  </w:r>
                  <w:r>
                    <w:rPr>
                      <w:rFonts w:hint="default" w:ascii="Times New Roman" w:hAnsi="Times New Roman" w:eastAsia="仿宋" w:cs="Times New Roman"/>
                      <w:color w:val="auto"/>
                      <w:spacing w:val="4"/>
                      <w:sz w:val="20"/>
                      <w:szCs w:val="20"/>
                    </w:rPr>
                    <w:t>值的第90百分位数</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160</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134</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2"/>
                      <w:sz w:val="20"/>
                      <w:szCs w:val="20"/>
                    </w:rPr>
                    <w:t>83.75</w:t>
                  </w:r>
                </w:p>
              </w:tc>
              <w:tc>
                <w:tcPr>
                  <w:tcW w:w="675"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达标</w:t>
                  </w:r>
                </w:p>
              </w:tc>
            </w:tr>
          </w:tbl>
          <w:p>
            <w:pPr>
              <w:pStyle w:val="85"/>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仿宋" w:cs="Times New Roman"/>
                <w:color w:val="auto"/>
                <w:spacing w:val="-1"/>
              </w:rPr>
            </w:pPr>
            <w:r>
              <w:rPr>
                <w:rFonts w:hint="default" w:ascii="Times New Roman" w:hAnsi="Times New Roman" w:eastAsia="仿宋" w:cs="Times New Roman"/>
                <w:color w:val="auto"/>
              </w:rPr>
              <w:t>由上表可知，本项目所在区域SO</w:t>
            </w:r>
            <w:r>
              <w:rPr>
                <w:rFonts w:hint="default" w:ascii="Times New Roman" w:hAnsi="Times New Roman" w:eastAsia="仿宋" w:cs="Times New Roman"/>
                <w:color w:val="auto"/>
                <w:position w:val="-1"/>
                <w:sz w:val="15"/>
                <w:szCs w:val="15"/>
              </w:rPr>
              <w:t>2</w:t>
            </w:r>
            <w:r>
              <w:rPr>
                <w:rFonts w:hint="default" w:ascii="Times New Roman" w:hAnsi="Times New Roman" w:eastAsia="仿宋" w:cs="Times New Roman"/>
                <w:color w:val="auto"/>
              </w:rPr>
              <w:t>、NO</w:t>
            </w:r>
            <w:r>
              <w:rPr>
                <w:rFonts w:hint="default" w:ascii="Times New Roman" w:hAnsi="Times New Roman" w:eastAsia="仿宋" w:cs="Times New Roman"/>
                <w:color w:val="auto"/>
                <w:position w:val="-1"/>
                <w:sz w:val="15"/>
                <w:szCs w:val="15"/>
              </w:rPr>
              <w:t>2</w:t>
            </w:r>
            <w:r>
              <w:rPr>
                <w:rFonts w:hint="default" w:ascii="Times New Roman" w:hAnsi="Times New Roman" w:eastAsia="仿宋" w:cs="Times New Roman"/>
                <w:color w:val="auto"/>
              </w:rPr>
              <w:t>、PM</w:t>
            </w:r>
            <w:r>
              <w:rPr>
                <w:rFonts w:hint="default" w:ascii="Times New Roman" w:hAnsi="Times New Roman" w:eastAsia="仿宋" w:cs="Times New Roman"/>
                <w:color w:val="auto"/>
                <w:position w:val="-1"/>
                <w:sz w:val="15"/>
                <w:szCs w:val="15"/>
              </w:rPr>
              <w:t>10</w:t>
            </w:r>
            <w:r>
              <w:rPr>
                <w:rFonts w:hint="default" w:ascii="Times New Roman" w:hAnsi="Times New Roman" w:eastAsia="仿宋" w:cs="Times New Roman"/>
                <w:color w:val="auto"/>
              </w:rPr>
              <w:t>、PM</w:t>
            </w:r>
            <w:r>
              <w:rPr>
                <w:rFonts w:hint="default" w:ascii="Times New Roman" w:hAnsi="Times New Roman" w:eastAsia="仿宋" w:cs="Times New Roman"/>
                <w:color w:val="auto"/>
                <w:position w:val="-1"/>
                <w:sz w:val="15"/>
                <w:szCs w:val="15"/>
              </w:rPr>
              <w:t>2.5</w:t>
            </w:r>
            <w:r>
              <w:rPr>
                <w:rFonts w:hint="default" w:ascii="Times New Roman" w:hAnsi="Times New Roman" w:eastAsia="仿宋" w:cs="Times New Roman"/>
                <w:color w:val="auto"/>
              </w:rPr>
              <w:t>年均浓度分别为</w:t>
            </w:r>
            <w:r>
              <w:rPr>
                <w:rFonts w:hint="default" w:ascii="Times New Roman" w:hAnsi="Times New Roman" w:eastAsia="仿宋" w:cs="Times New Roman"/>
                <w:color w:val="auto"/>
                <w:spacing w:val="6"/>
              </w:rPr>
              <w:t>7</w:t>
            </w:r>
            <w:r>
              <w:rPr>
                <w:rFonts w:hint="default" w:ascii="Times New Roman" w:hAnsi="Times New Roman" w:eastAsia="仿宋" w:cs="Times New Roman"/>
                <w:color w:val="auto"/>
              </w:rPr>
              <w:t>ug</w:t>
            </w:r>
            <w:r>
              <w:rPr>
                <w:rFonts w:hint="default" w:ascii="Times New Roman" w:hAnsi="Times New Roman" w:eastAsia="仿宋" w:cs="Times New Roman"/>
                <w:color w:val="auto"/>
                <w:spacing w:val="6"/>
              </w:rPr>
              <w:t>/m</w:t>
            </w:r>
            <w:r>
              <w:rPr>
                <w:rFonts w:hint="default" w:ascii="Times New Roman" w:hAnsi="Times New Roman" w:eastAsia="仿宋" w:cs="Times New Roman"/>
                <w:color w:val="auto"/>
                <w:spacing w:val="6"/>
                <w:position w:val="7"/>
                <w:sz w:val="15"/>
                <w:szCs w:val="15"/>
              </w:rPr>
              <w:t>3</w:t>
            </w:r>
            <w:r>
              <w:rPr>
                <w:rFonts w:hint="default" w:ascii="Times New Roman" w:hAnsi="Times New Roman" w:eastAsia="仿宋" w:cs="Times New Roman"/>
                <w:color w:val="auto"/>
                <w:spacing w:val="6"/>
              </w:rPr>
              <w:t>、29</w:t>
            </w:r>
            <w:r>
              <w:rPr>
                <w:rFonts w:hint="default" w:ascii="Times New Roman" w:hAnsi="Times New Roman" w:eastAsia="仿宋" w:cs="Times New Roman"/>
                <w:color w:val="auto"/>
              </w:rPr>
              <w:t>ug</w:t>
            </w:r>
            <w:r>
              <w:rPr>
                <w:rFonts w:hint="default" w:ascii="Times New Roman" w:hAnsi="Times New Roman" w:eastAsia="仿宋" w:cs="Times New Roman"/>
                <w:color w:val="auto"/>
                <w:spacing w:val="6"/>
              </w:rPr>
              <w:t>/m</w:t>
            </w:r>
            <w:r>
              <w:rPr>
                <w:rFonts w:hint="default" w:ascii="Times New Roman" w:hAnsi="Times New Roman" w:eastAsia="仿宋" w:cs="Times New Roman"/>
                <w:color w:val="auto"/>
                <w:spacing w:val="6"/>
                <w:position w:val="7"/>
                <w:sz w:val="15"/>
                <w:szCs w:val="15"/>
              </w:rPr>
              <w:t>3</w:t>
            </w:r>
            <w:r>
              <w:rPr>
                <w:rFonts w:hint="default" w:ascii="Times New Roman" w:hAnsi="Times New Roman" w:eastAsia="仿宋" w:cs="Times New Roman"/>
                <w:color w:val="auto"/>
                <w:spacing w:val="6"/>
              </w:rPr>
              <w:t>、101</w:t>
            </w:r>
            <w:r>
              <w:rPr>
                <w:rFonts w:hint="default" w:ascii="Times New Roman" w:hAnsi="Times New Roman" w:eastAsia="仿宋" w:cs="Times New Roman"/>
                <w:color w:val="auto"/>
              </w:rPr>
              <w:t>ug</w:t>
            </w:r>
            <w:r>
              <w:rPr>
                <w:rFonts w:hint="default" w:ascii="Times New Roman" w:hAnsi="Times New Roman" w:eastAsia="仿宋" w:cs="Times New Roman"/>
                <w:color w:val="auto"/>
                <w:spacing w:val="6"/>
              </w:rPr>
              <w:t>/m</w:t>
            </w:r>
            <w:r>
              <w:rPr>
                <w:rFonts w:hint="default" w:ascii="Times New Roman" w:hAnsi="Times New Roman" w:eastAsia="仿宋" w:cs="Times New Roman"/>
                <w:color w:val="auto"/>
                <w:spacing w:val="6"/>
                <w:position w:val="7"/>
                <w:sz w:val="15"/>
                <w:szCs w:val="15"/>
              </w:rPr>
              <w:t>3</w:t>
            </w:r>
            <w:r>
              <w:rPr>
                <w:rFonts w:hint="default" w:ascii="Times New Roman" w:hAnsi="Times New Roman" w:eastAsia="仿宋" w:cs="Times New Roman"/>
                <w:color w:val="auto"/>
                <w:spacing w:val="6"/>
              </w:rPr>
              <w:t>、41</w:t>
            </w:r>
            <w:r>
              <w:rPr>
                <w:rFonts w:hint="default" w:ascii="Times New Roman" w:hAnsi="Times New Roman" w:eastAsia="仿宋" w:cs="Times New Roman"/>
                <w:color w:val="auto"/>
              </w:rPr>
              <w:t>ug</w:t>
            </w:r>
            <w:r>
              <w:rPr>
                <w:rFonts w:hint="default" w:ascii="Times New Roman" w:hAnsi="Times New Roman" w:eastAsia="仿宋" w:cs="Times New Roman"/>
                <w:color w:val="auto"/>
                <w:spacing w:val="6"/>
              </w:rPr>
              <w:t>/m</w:t>
            </w:r>
            <w:r>
              <w:rPr>
                <w:rFonts w:hint="default" w:ascii="Times New Roman" w:hAnsi="Times New Roman" w:eastAsia="仿宋" w:cs="Times New Roman"/>
                <w:color w:val="auto"/>
                <w:spacing w:val="6"/>
                <w:position w:val="7"/>
                <w:sz w:val="15"/>
                <w:szCs w:val="15"/>
              </w:rPr>
              <w:t>3</w:t>
            </w:r>
            <w:r>
              <w:rPr>
                <w:rFonts w:hint="default" w:ascii="Times New Roman" w:hAnsi="Times New Roman" w:eastAsia="仿宋" w:cs="Times New Roman"/>
                <w:color w:val="auto"/>
                <w:spacing w:val="6"/>
              </w:rPr>
              <w:t>；</w:t>
            </w:r>
            <w:r>
              <w:rPr>
                <w:rFonts w:hint="default" w:ascii="Times New Roman" w:hAnsi="Times New Roman" w:eastAsia="仿宋" w:cs="Times New Roman"/>
                <w:color w:val="auto"/>
              </w:rPr>
              <w:t>CO</w:t>
            </w:r>
            <w:r>
              <w:rPr>
                <w:rFonts w:hint="default" w:ascii="Times New Roman" w:hAnsi="Times New Roman" w:eastAsia="仿宋" w:cs="Times New Roman"/>
                <w:color w:val="auto"/>
                <w:spacing w:val="6"/>
              </w:rPr>
              <w:t>24小时平</w:t>
            </w:r>
            <w:r>
              <w:rPr>
                <w:rFonts w:hint="default" w:ascii="Times New Roman" w:hAnsi="Times New Roman" w:eastAsia="仿宋" w:cs="Times New Roman"/>
                <w:color w:val="auto"/>
                <w:spacing w:val="5"/>
              </w:rPr>
              <w:t>均第95百分位数为</w:t>
            </w:r>
            <w:r>
              <w:rPr>
                <w:rFonts w:hint="default" w:ascii="Times New Roman" w:hAnsi="Times New Roman" w:eastAsia="仿宋" w:cs="Times New Roman"/>
                <w:color w:val="auto"/>
                <w:spacing w:val="-3"/>
              </w:rPr>
              <w:t>2.7mg/m</w:t>
            </w:r>
            <w:r>
              <w:rPr>
                <w:rFonts w:hint="default" w:ascii="Times New Roman" w:hAnsi="Times New Roman" w:eastAsia="仿宋" w:cs="Times New Roman"/>
                <w:color w:val="auto"/>
                <w:spacing w:val="-3"/>
                <w:position w:val="8"/>
                <w:sz w:val="15"/>
                <w:szCs w:val="15"/>
              </w:rPr>
              <w:t>3</w:t>
            </w:r>
            <w:r>
              <w:rPr>
                <w:rFonts w:hint="default" w:ascii="Times New Roman" w:hAnsi="Times New Roman" w:eastAsia="仿宋" w:cs="Times New Roman"/>
                <w:color w:val="auto"/>
                <w:spacing w:val="-3"/>
              </w:rPr>
              <w:t>，O</w:t>
            </w:r>
            <w:r>
              <w:rPr>
                <w:rFonts w:hint="default" w:ascii="Times New Roman" w:hAnsi="Times New Roman" w:eastAsia="仿宋" w:cs="Times New Roman"/>
                <w:color w:val="auto"/>
                <w:spacing w:val="-3"/>
                <w:position w:val="-1"/>
                <w:sz w:val="15"/>
                <w:szCs w:val="15"/>
              </w:rPr>
              <w:t>3</w:t>
            </w:r>
            <w:r>
              <w:rPr>
                <w:rFonts w:hint="default" w:ascii="Times New Roman" w:hAnsi="Times New Roman" w:eastAsia="仿宋" w:cs="Times New Roman"/>
                <w:color w:val="auto"/>
                <w:spacing w:val="-3"/>
              </w:rPr>
              <w:t>日最大8小时平均第90百分位数为134ug/m</w:t>
            </w:r>
            <w:r>
              <w:rPr>
                <w:rFonts w:hint="default" w:ascii="Times New Roman" w:hAnsi="Times New Roman" w:eastAsia="仿宋" w:cs="Times New Roman"/>
                <w:color w:val="auto"/>
                <w:spacing w:val="-3"/>
                <w:position w:val="8"/>
                <w:sz w:val="15"/>
                <w:szCs w:val="15"/>
              </w:rPr>
              <w:t>3</w:t>
            </w:r>
            <w:r>
              <w:rPr>
                <w:rFonts w:hint="default" w:ascii="Times New Roman" w:hAnsi="Times New Roman" w:eastAsia="仿宋" w:cs="Times New Roman"/>
                <w:color w:val="auto"/>
                <w:spacing w:val="-3"/>
              </w:rPr>
              <w:t>；超过《环境空气质</w:t>
            </w:r>
            <w:r>
              <w:rPr>
                <w:rFonts w:hint="default" w:ascii="Times New Roman" w:hAnsi="Times New Roman" w:eastAsia="仿宋" w:cs="Times New Roman"/>
                <w:color w:val="auto"/>
              </w:rPr>
              <w:t>量标准》（GB3095-2012）中二级标</w:t>
            </w:r>
            <w:r>
              <w:rPr>
                <w:rFonts w:hint="default" w:ascii="Times New Roman" w:hAnsi="Times New Roman" w:eastAsia="仿宋" w:cs="Times New Roman"/>
                <w:color w:val="auto"/>
                <w:spacing w:val="-1"/>
              </w:rPr>
              <w:t>准限值的污染物为PM</w:t>
            </w:r>
            <w:r>
              <w:rPr>
                <w:rFonts w:hint="default" w:ascii="Times New Roman" w:hAnsi="Times New Roman" w:eastAsia="仿宋" w:cs="Times New Roman"/>
                <w:color w:val="auto"/>
                <w:spacing w:val="-1"/>
                <w:position w:val="-1"/>
                <w:sz w:val="15"/>
                <w:szCs w:val="15"/>
              </w:rPr>
              <w:t>10</w:t>
            </w:r>
            <w:r>
              <w:rPr>
                <w:rFonts w:hint="default" w:ascii="Times New Roman" w:hAnsi="Times New Roman" w:eastAsia="仿宋" w:cs="Times New Roman"/>
                <w:color w:val="auto"/>
                <w:spacing w:val="-1"/>
              </w:rPr>
              <w:t>、PM</w:t>
            </w:r>
            <w:r>
              <w:rPr>
                <w:rFonts w:hint="default" w:ascii="Times New Roman" w:hAnsi="Times New Roman" w:eastAsia="仿宋" w:cs="Times New Roman"/>
                <w:color w:val="auto"/>
                <w:spacing w:val="-1"/>
                <w:position w:val="-1"/>
                <w:sz w:val="15"/>
                <w:szCs w:val="15"/>
              </w:rPr>
              <w:t>2.5</w:t>
            </w:r>
            <w:r>
              <w:rPr>
                <w:rFonts w:hint="default" w:ascii="Times New Roman" w:hAnsi="Times New Roman" w:eastAsia="仿宋" w:cs="Times New Roman"/>
                <w:color w:val="auto"/>
                <w:spacing w:val="-1"/>
              </w:rPr>
              <w:t>。因此本项目所在区域为非达标区域</w:t>
            </w:r>
            <w:r>
              <w:rPr>
                <w:rFonts w:hint="eastAsia" w:ascii="Times New Roman" w:hAnsi="Times New Roman" w:eastAsia="仿宋" w:cs="Times New Roman"/>
                <w:color w:val="auto"/>
                <w:spacing w:val="-1"/>
                <w:lang w:eastAsia="zh-CN"/>
              </w:rPr>
              <w:t>，</w:t>
            </w:r>
            <w:r>
              <w:rPr>
                <w:rFonts w:hint="default" w:ascii="Times New Roman" w:hAnsi="Times New Roman" w:eastAsia="仿宋" w:cs="Times New Roman"/>
                <w:color w:val="auto"/>
                <w:spacing w:val="-1"/>
              </w:rPr>
              <w:t>超标原因为：主要与风沙季节有一定关系</w:t>
            </w:r>
            <w:r>
              <w:rPr>
                <w:rFonts w:hint="eastAsia" w:ascii="Times New Roman" w:hAnsi="Times New Roman" w:eastAsia="仿宋" w:cs="Times New Roman"/>
                <w:color w:val="auto"/>
                <w:spacing w:val="-1"/>
                <w:lang w:eastAsia="zh-CN"/>
              </w:rPr>
              <w:t>，</w:t>
            </w:r>
            <w:r>
              <w:rPr>
                <w:rFonts w:hint="default" w:ascii="Times New Roman" w:hAnsi="Times New Roman" w:eastAsia="仿宋" w:cs="Times New Roman"/>
                <w:color w:val="auto"/>
              </w:rPr>
              <w:t>按照《关于将巴音郭楞蒙古自治州吐鲁番市哈密市纳入执行&lt;环境影响评价技术导则大气环境（HJ2.2-2018）&gt;差别化政策范围的复函》</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rPr>
              <w:t>环办环评函〔2020〕341号</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rPr>
              <w:t>，本项目可不提供区域颗粒物削减方案</w:t>
            </w:r>
            <w:r>
              <w:rPr>
                <w:rFonts w:hint="default" w:ascii="Times New Roman" w:hAnsi="Times New Roman" w:eastAsia="仿宋" w:cs="Times New Roman"/>
                <w:color w:val="auto"/>
                <w:spacing w:val="-1"/>
              </w:rPr>
              <w:t>。</w:t>
            </w:r>
          </w:p>
          <w:p>
            <w:pPr>
              <w:keepNext/>
              <w:keepLines/>
              <w:numPr>
                <w:ilvl w:val="0"/>
                <w:numId w:val="0"/>
              </w:numPr>
              <w:suppressLineNumbers w:val="0"/>
              <w:spacing w:before="0" w:beforeAutospacing="0" w:after="0" w:afterAutospacing="0" w:line="360" w:lineRule="auto"/>
              <w:ind w:left="0" w:right="0" w:rightChars="0" w:firstLine="482" w:firstLineChars="200"/>
              <w:outlineLvl w:val="2"/>
              <w:rPr>
                <w:rFonts w:hint="default" w:ascii="Times New Roman" w:hAnsi="Times New Roman" w:eastAsia="仿宋" w:cs="Times New Roman"/>
                <w:b/>
                <w:bCs/>
                <w:color w:val="auto"/>
                <w:kern w:val="2"/>
                <w:sz w:val="24"/>
                <w:szCs w:val="24"/>
                <w:lang w:val="en-US" w:eastAsia="en-US" w:bidi="ar-SA"/>
              </w:rPr>
            </w:pPr>
            <w:r>
              <w:rPr>
                <w:rFonts w:hint="default" w:ascii="Times New Roman" w:hAnsi="Times New Roman" w:eastAsia="仿宋" w:cs="Times New Roman"/>
                <w:b/>
                <w:bCs/>
                <w:color w:val="auto"/>
                <w:kern w:val="2"/>
                <w:sz w:val="24"/>
                <w:szCs w:val="24"/>
                <w:lang w:val="en-US" w:eastAsia="zh-CN" w:bidi="ar-SA"/>
              </w:rPr>
              <w:t>2.2其他污染物环境质量现状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为了解项目所在地区环境空气中特征因子现状，本次</w:t>
            </w:r>
            <w:r>
              <w:rPr>
                <w:rFonts w:hint="eastAsia" w:eastAsia="仿宋" w:cs="Times New Roman"/>
                <w:color w:val="auto"/>
                <w:kern w:val="2"/>
                <w:sz w:val="24"/>
                <w:szCs w:val="24"/>
                <w:lang w:val="en-US" w:eastAsia="zh-CN" w:bidi="ar-SA"/>
              </w:rPr>
              <w:t>引用</w:t>
            </w:r>
            <w:r>
              <w:rPr>
                <w:rFonts w:hint="default" w:ascii="Times New Roman" w:hAnsi="Times New Roman" w:eastAsia="仿宋" w:cs="Times New Roman"/>
                <w:color w:val="auto"/>
                <w:kern w:val="2"/>
                <w:sz w:val="24"/>
                <w:szCs w:val="24"/>
                <w:lang w:val="en-US" w:eastAsia="zh-CN" w:bidi="ar-SA"/>
              </w:rPr>
              <w:t>新疆国科检测有限公司对</w:t>
            </w:r>
            <w:r>
              <w:rPr>
                <w:rFonts w:hint="eastAsia" w:eastAsia="仿宋" w:cs="Times New Roman"/>
                <w:color w:val="auto"/>
                <w:kern w:val="2"/>
                <w:sz w:val="24"/>
                <w:szCs w:val="24"/>
                <w:lang w:val="en-US" w:eastAsia="zh-CN" w:bidi="ar-SA"/>
              </w:rPr>
              <w:t>《新疆鄯善县苏巴什村北砂石料矿》</w:t>
            </w:r>
            <w:r>
              <w:rPr>
                <w:rFonts w:hint="eastAsia" w:eastAsia="仿宋" w:cs="Times New Roman"/>
                <w:color w:val="auto"/>
                <w:kern w:val="2"/>
                <w:sz w:val="24"/>
                <w:szCs w:val="24"/>
                <w:highlight w:val="none"/>
                <w:lang w:val="en-US" w:eastAsia="zh-CN" w:bidi="ar-SA"/>
              </w:rPr>
              <w:t>项目区西侧</w:t>
            </w:r>
            <w:r>
              <w:rPr>
                <w:rFonts w:hint="default" w:ascii="Times New Roman" w:hAnsi="Times New Roman" w:eastAsia="仿宋" w:cs="Times New Roman"/>
                <w:color w:val="auto"/>
                <w:kern w:val="2"/>
                <w:sz w:val="24"/>
                <w:szCs w:val="24"/>
                <w:highlight w:val="none"/>
                <w:lang w:val="en-US" w:eastAsia="zh-CN" w:bidi="ar-SA"/>
              </w:rPr>
              <w:t>约30m处</w:t>
            </w:r>
            <w:r>
              <w:rPr>
                <w:rFonts w:hint="default" w:ascii="Times New Roman" w:hAnsi="Times New Roman" w:eastAsia="仿宋" w:cs="Times New Roman"/>
                <w:color w:val="auto"/>
                <w:kern w:val="2"/>
                <w:sz w:val="24"/>
                <w:szCs w:val="24"/>
                <w:lang w:val="en-US" w:eastAsia="zh-CN" w:bidi="ar-SA"/>
              </w:rPr>
              <w:t>进行</w:t>
            </w:r>
            <w:r>
              <w:rPr>
                <w:rFonts w:hint="eastAsia" w:eastAsia="仿宋" w:cs="Times New Roman"/>
                <w:color w:val="auto"/>
                <w:kern w:val="2"/>
                <w:sz w:val="24"/>
                <w:szCs w:val="24"/>
                <w:lang w:val="en-US" w:eastAsia="zh-CN" w:bidi="ar-SA"/>
              </w:rPr>
              <w:t>的</w:t>
            </w:r>
            <w:r>
              <w:rPr>
                <w:rFonts w:hint="default" w:ascii="Times New Roman" w:hAnsi="Times New Roman" w:eastAsia="仿宋" w:cs="Times New Roman"/>
                <w:color w:val="auto"/>
                <w:kern w:val="2"/>
                <w:sz w:val="24"/>
                <w:szCs w:val="24"/>
                <w:lang w:val="en-US" w:eastAsia="zh-CN" w:bidi="ar-SA"/>
              </w:rPr>
              <w:t>大气监测</w:t>
            </w:r>
            <w:r>
              <w:rPr>
                <w:rFonts w:hint="default" w:ascii="Times New Roman" w:hAnsi="Times New Roman" w:eastAsia="仿宋" w:cs="Times New Roman"/>
                <w:color w:val="auto"/>
                <w:kern w:val="2"/>
                <w:sz w:val="24"/>
                <w:szCs w:val="24"/>
                <w:highlight w:val="none"/>
                <w:lang w:val="en-US" w:eastAsia="zh-CN" w:bidi="ar-SA"/>
              </w:rPr>
              <w:t>，监测时间为2024年</w:t>
            </w:r>
            <w:r>
              <w:rPr>
                <w:rFonts w:hint="eastAsia" w:eastAsia="仿宋" w:cs="Times New Roman"/>
                <w:color w:val="auto"/>
                <w:kern w:val="2"/>
                <w:sz w:val="24"/>
                <w:szCs w:val="24"/>
                <w:highlight w:val="none"/>
                <w:lang w:val="en-US" w:eastAsia="zh-CN" w:bidi="ar-SA"/>
              </w:rPr>
              <w:t>4</w:t>
            </w:r>
            <w:r>
              <w:rPr>
                <w:rFonts w:hint="default" w:ascii="Times New Roman" w:hAnsi="Times New Roman" w:eastAsia="仿宋" w:cs="Times New Roman"/>
                <w:color w:val="auto"/>
                <w:kern w:val="2"/>
                <w:sz w:val="24"/>
                <w:szCs w:val="24"/>
                <w:highlight w:val="none"/>
                <w:lang w:val="en-US" w:eastAsia="zh-CN" w:bidi="ar-SA"/>
              </w:rPr>
              <w:t>月</w:t>
            </w:r>
            <w:r>
              <w:rPr>
                <w:rFonts w:hint="eastAsia" w:eastAsia="仿宋" w:cs="Times New Roman"/>
                <w:color w:val="auto"/>
                <w:kern w:val="2"/>
                <w:sz w:val="24"/>
                <w:szCs w:val="24"/>
                <w:highlight w:val="none"/>
                <w:lang w:val="en-US" w:eastAsia="zh-CN" w:bidi="ar-SA"/>
              </w:rPr>
              <w:t>11</w:t>
            </w:r>
            <w:r>
              <w:rPr>
                <w:rFonts w:hint="default" w:ascii="Times New Roman" w:hAnsi="Times New Roman" w:eastAsia="仿宋" w:cs="Times New Roman"/>
                <w:color w:val="auto"/>
                <w:kern w:val="2"/>
                <w:sz w:val="24"/>
                <w:szCs w:val="24"/>
                <w:highlight w:val="none"/>
                <w:lang w:val="en-US" w:eastAsia="zh-CN" w:bidi="ar-SA"/>
              </w:rPr>
              <w:t>-1</w:t>
            </w:r>
            <w:r>
              <w:rPr>
                <w:rFonts w:hint="eastAsia" w:eastAsia="仿宋" w:cs="Times New Roman"/>
                <w:color w:val="auto"/>
                <w:kern w:val="2"/>
                <w:sz w:val="24"/>
                <w:szCs w:val="24"/>
                <w:highlight w:val="none"/>
                <w:lang w:val="en-US" w:eastAsia="zh-CN" w:bidi="ar-SA"/>
              </w:rPr>
              <w:t>4</w:t>
            </w:r>
            <w:r>
              <w:rPr>
                <w:rFonts w:hint="default" w:ascii="Times New Roman" w:hAnsi="Times New Roman" w:eastAsia="仿宋" w:cs="Times New Roman"/>
                <w:color w:val="auto"/>
                <w:kern w:val="2"/>
                <w:sz w:val="24"/>
                <w:szCs w:val="24"/>
                <w:highlight w:val="none"/>
                <w:lang w:val="en-US" w:eastAsia="zh-CN" w:bidi="ar-SA"/>
              </w:rPr>
              <w:t>日，监测点位于</w:t>
            </w:r>
            <w:r>
              <w:rPr>
                <w:rFonts w:hint="eastAsia" w:eastAsia="仿宋" w:cs="Times New Roman"/>
                <w:color w:val="auto"/>
                <w:kern w:val="2"/>
                <w:sz w:val="24"/>
                <w:szCs w:val="24"/>
                <w:highlight w:val="none"/>
                <w:lang w:val="en-US" w:eastAsia="zh-CN" w:bidi="ar-SA"/>
              </w:rPr>
              <w:t>本项目西侧，监测时间、距离均在有限范围内</w:t>
            </w:r>
            <w:r>
              <w:rPr>
                <w:rFonts w:hint="default" w:ascii="Times New Roman" w:hAnsi="Times New Roman" w:eastAsia="仿宋" w:cs="Times New Roman"/>
                <w:color w:val="auto"/>
                <w:kern w:val="2"/>
                <w:sz w:val="24"/>
                <w:szCs w:val="24"/>
                <w:highlight w:val="none"/>
                <w:lang w:val="en-US" w:eastAsia="zh-CN" w:bidi="ar-SA"/>
              </w:rPr>
              <w:t>，</w:t>
            </w:r>
            <w:r>
              <w:rPr>
                <w:rFonts w:hint="default" w:ascii="Times New Roman" w:hAnsi="Times New Roman" w:eastAsia="仿宋" w:cs="Times New Roman"/>
                <w:color w:val="auto"/>
                <w:kern w:val="2"/>
                <w:sz w:val="24"/>
                <w:szCs w:val="24"/>
                <w:lang w:val="en-US" w:eastAsia="zh-CN" w:bidi="ar-SA"/>
              </w:rPr>
              <w:t>监测统计结果见下表。</w:t>
            </w:r>
          </w:p>
          <w:p>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仿宋" w:cs="Times New Roman"/>
                <w:b/>
                <w:color w:val="auto"/>
                <w:kern w:val="2"/>
                <w:sz w:val="21"/>
                <w:szCs w:val="21"/>
                <w:lang w:val="en-US" w:eastAsia="zh-CN" w:bidi="ar-SA"/>
              </w:rPr>
            </w:pPr>
            <w:r>
              <w:rPr>
                <w:rFonts w:hint="default" w:ascii="Times New Roman" w:hAnsi="Times New Roman" w:eastAsia="仿宋" w:cs="Times New Roman"/>
                <w:b/>
                <w:color w:val="auto"/>
                <w:kern w:val="2"/>
                <w:sz w:val="21"/>
                <w:szCs w:val="21"/>
                <w:lang w:val="en-US" w:eastAsia="zh-CN" w:bidi="ar-SA"/>
              </w:rPr>
              <w:t>表3-</w:t>
            </w:r>
            <w:r>
              <w:rPr>
                <w:rFonts w:hint="eastAsia" w:eastAsia="仿宋" w:cs="Times New Roman"/>
                <w:b/>
                <w:color w:val="auto"/>
                <w:kern w:val="2"/>
                <w:sz w:val="21"/>
                <w:szCs w:val="21"/>
                <w:lang w:val="en-US" w:eastAsia="zh-CN" w:bidi="ar-SA"/>
              </w:rPr>
              <w:t>5</w:t>
            </w:r>
            <w:r>
              <w:rPr>
                <w:rFonts w:hint="default" w:ascii="Times New Roman" w:hAnsi="Times New Roman" w:eastAsia="仿宋" w:cs="Times New Roman"/>
                <w:b/>
                <w:color w:val="auto"/>
                <w:kern w:val="2"/>
                <w:sz w:val="21"/>
                <w:szCs w:val="21"/>
                <w:lang w:val="en-US" w:eastAsia="zh-CN" w:bidi="ar-SA"/>
              </w:rPr>
              <w:t>环境空气监测数据</w:t>
            </w:r>
          </w:p>
          <w:tbl>
            <w:tblPr>
              <w:tblStyle w:val="26"/>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2664"/>
              <w:gridCol w:w="1467"/>
              <w:gridCol w:w="1023"/>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采样点位</w:t>
                  </w:r>
                </w:p>
              </w:tc>
              <w:tc>
                <w:tcPr>
                  <w:tcW w:w="16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采样日期</w:t>
                  </w:r>
                </w:p>
              </w:tc>
              <w:tc>
                <w:tcPr>
                  <w:tcW w:w="90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检测项目</w:t>
                  </w:r>
                </w:p>
              </w:tc>
              <w:tc>
                <w:tcPr>
                  <w:tcW w:w="6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单位</w:t>
                  </w:r>
                </w:p>
              </w:tc>
              <w:tc>
                <w:tcPr>
                  <w:tcW w:w="9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5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下</w:t>
                  </w:r>
                  <w:r>
                    <w:rPr>
                      <w:rFonts w:hint="default" w:ascii="Times New Roman" w:hAnsi="Times New Roman" w:eastAsia="仿宋" w:cs="Times New Roman"/>
                      <w:b w:val="0"/>
                      <w:color w:val="auto"/>
                      <w:kern w:val="0"/>
                      <w:sz w:val="21"/>
                      <w:szCs w:val="21"/>
                      <w:highlight w:val="none"/>
                      <w:lang w:val="zh-TW" w:eastAsia="zh-TW" w:bidi="ar-SA"/>
                    </w:rPr>
                    <w:t>风向</w:t>
                  </w:r>
                  <w:r>
                    <w:rPr>
                      <w:rFonts w:hint="default" w:ascii="Times New Roman" w:hAnsi="Times New Roman" w:eastAsia="仿宋" w:cs="Times New Roman"/>
                      <w:b w:val="0"/>
                      <w:color w:val="auto"/>
                      <w:kern w:val="0"/>
                      <w:sz w:val="21"/>
                      <w:szCs w:val="21"/>
                      <w:highlight w:val="none"/>
                      <w:lang w:val="en-US" w:eastAsia="zh-CN" w:bidi="ar-SA"/>
                    </w:rPr>
                    <w:t>1#</w:t>
                  </w:r>
                </w:p>
              </w:tc>
              <w:tc>
                <w:tcPr>
                  <w:tcW w:w="16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en-US" w:bidi="ar-SA"/>
                    </w:rPr>
                    <w:t>2024.0</w:t>
                  </w:r>
                  <w:r>
                    <w:rPr>
                      <w:rFonts w:hint="eastAsia"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eastAsia" w:eastAsia="仿宋" w:cs="Times New Roman"/>
                      <w:b w:val="0"/>
                      <w:color w:val="auto"/>
                      <w:kern w:val="0"/>
                      <w:sz w:val="21"/>
                      <w:szCs w:val="21"/>
                      <w:highlight w:val="none"/>
                      <w:lang w:val="en-US" w:eastAsia="zh-CN" w:bidi="ar-SA"/>
                    </w:rPr>
                    <w:t>1</w:t>
                  </w:r>
                  <w:r>
                    <w:rPr>
                      <w:rFonts w:hint="default" w:ascii="Times New Roman" w:hAnsi="Times New Roman" w:eastAsia="仿宋" w:cs="Times New Roman"/>
                      <w:b w:val="0"/>
                      <w:color w:val="auto"/>
                      <w:kern w:val="0"/>
                      <w:sz w:val="21"/>
                      <w:szCs w:val="21"/>
                      <w:highlight w:val="none"/>
                      <w:lang w:val="en-US" w:eastAsia="en-US" w:bidi="ar-SA"/>
                    </w:rPr>
                    <w:t>-2024.0</w:t>
                  </w:r>
                  <w:r>
                    <w:rPr>
                      <w:rFonts w:hint="eastAsia"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eastAsia" w:eastAsia="仿宋" w:cs="Times New Roman"/>
                      <w:b w:val="0"/>
                      <w:color w:val="auto"/>
                      <w:kern w:val="0"/>
                      <w:sz w:val="21"/>
                      <w:szCs w:val="21"/>
                      <w:highlight w:val="none"/>
                      <w:lang w:val="en-US" w:eastAsia="zh-CN" w:bidi="ar-SA"/>
                    </w:rPr>
                    <w:t>2</w:t>
                  </w:r>
                </w:p>
              </w:tc>
              <w:tc>
                <w:tcPr>
                  <w:tcW w:w="90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TSP</w:t>
                  </w:r>
                </w:p>
              </w:tc>
              <w:tc>
                <w:tcPr>
                  <w:tcW w:w="631"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mg/m</w:t>
                  </w:r>
                  <w:r>
                    <w:rPr>
                      <w:rFonts w:hint="default" w:ascii="Times New Roman" w:hAnsi="Times New Roman" w:eastAsia="仿宋" w:cs="Times New Roman"/>
                      <w:b w:val="0"/>
                      <w:color w:val="auto"/>
                      <w:kern w:val="0"/>
                      <w:sz w:val="21"/>
                      <w:szCs w:val="21"/>
                      <w:highlight w:val="none"/>
                      <w:vertAlign w:val="superscript"/>
                      <w:lang w:val="en-US" w:eastAsia="zh-CN" w:bidi="ar-SA"/>
                    </w:rPr>
                    <w:t>3</w:t>
                  </w:r>
                </w:p>
              </w:tc>
              <w:tc>
                <w:tcPr>
                  <w:tcW w:w="9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0.2</w:t>
                  </w:r>
                  <w:r>
                    <w:rPr>
                      <w:rFonts w:hint="eastAsia" w:eastAsia="仿宋" w:cs="Times New Roman"/>
                      <w:b w:val="0"/>
                      <w:color w:val="auto"/>
                      <w:kern w:val="0"/>
                      <w:sz w:val="21"/>
                      <w:szCs w:val="21"/>
                      <w:highlight w:val="none"/>
                      <w:lang w:val="en-US" w:eastAsia="zh-CN" w:bidi="ar-SA"/>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5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16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en-US" w:bidi="ar-SA"/>
                    </w:rPr>
                    <w:t>2024.0</w:t>
                  </w:r>
                  <w:r>
                    <w:rPr>
                      <w:rFonts w:hint="eastAsia"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eastAsia" w:eastAsia="仿宋" w:cs="Times New Roman"/>
                      <w:b w:val="0"/>
                      <w:color w:val="auto"/>
                      <w:kern w:val="0"/>
                      <w:sz w:val="21"/>
                      <w:szCs w:val="21"/>
                      <w:highlight w:val="none"/>
                      <w:lang w:val="en-US" w:eastAsia="zh-CN" w:bidi="ar-SA"/>
                    </w:rPr>
                    <w:t>2</w:t>
                  </w:r>
                  <w:r>
                    <w:rPr>
                      <w:rFonts w:hint="default" w:ascii="Times New Roman" w:hAnsi="Times New Roman" w:eastAsia="仿宋" w:cs="Times New Roman"/>
                      <w:b w:val="0"/>
                      <w:color w:val="auto"/>
                      <w:kern w:val="0"/>
                      <w:sz w:val="21"/>
                      <w:szCs w:val="21"/>
                      <w:highlight w:val="none"/>
                      <w:lang w:val="en-US" w:eastAsia="en-US" w:bidi="ar-SA"/>
                    </w:rPr>
                    <w:t>-2024.0</w:t>
                  </w:r>
                  <w:r>
                    <w:rPr>
                      <w:rFonts w:hint="eastAsia"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eastAsia" w:eastAsia="仿宋" w:cs="Times New Roman"/>
                      <w:b w:val="0"/>
                      <w:color w:val="auto"/>
                      <w:kern w:val="0"/>
                      <w:sz w:val="21"/>
                      <w:szCs w:val="21"/>
                      <w:highlight w:val="none"/>
                      <w:lang w:val="en-US" w:eastAsia="zh-CN" w:bidi="ar-SA"/>
                    </w:rPr>
                    <w:t>3</w:t>
                  </w:r>
                </w:p>
              </w:tc>
              <w:tc>
                <w:tcPr>
                  <w:tcW w:w="90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63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9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0.2</w:t>
                  </w:r>
                  <w:r>
                    <w:rPr>
                      <w:rFonts w:hint="eastAsia" w:eastAsia="仿宋" w:cs="Times New Roman"/>
                      <w:b w:val="0"/>
                      <w:color w:val="auto"/>
                      <w:kern w:val="0"/>
                      <w:sz w:val="21"/>
                      <w:szCs w:val="21"/>
                      <w:highlight w:val="none"/>
                      <w:lang w:val="en-US" w:eastAsia="zh-CN" w:bidi="ar-SA"/>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5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16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en-US" w:bidi="ar-SA"/>
                    </w:rPr>
                    <w:t>2024.0</w:t>
                  </w:r>
                  <w:r>
                    <w:rPr>
                      <w:rFonts w:hint="eastAsia"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eastAsia" w:eastAsia="仿宋" w:cs="Times New Roman"/>
                      <w:b w:val="0"/>
                      <w:color w:val="auto"/>
                      <w:kern w:val="0"/>
                      <w:sz w:val="21"/>
                      <w:szCs w:val="21"/>
                      <w:highlight w:val="none"/>
                      <w:lang w:val="en-US" w:eastAsia="zh-CN" w:bidi="ar-SA"/>
                    </w:rPr>
                    <w:t>3</w:t>
                  </w:r>
                  <w:r>
                    <w:rPr>
                      <w:rFonts w:hint="default" w:ascii="Times New Roman" w:hAnsi="Times New Roman" w:eastAsia="仿宋" w:cs="Times New Roman"/>
                      <w:b w:val="0"/>
                      <w:color w:val="auto"/>
                      <w:kern w:val="0"/>
                      <w:sz w:val="21"/>
                      <w:szCs w:val="21"/>
                      <w:highlight w:val="none"/>
                      <w:lang w:val="en-US" w:eastAsia="en-US" w:bidi="ar-SA"/>
                    </w:rPr>
                    <w:t>-2024.0</w:t>
                  </w:r>
                  <w:r>
                    <w:rPr>
                      <w:rFonts w:hint="eastAsia"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eastAsia" w:eastAsia="仿宋" w:cs="Times New Roman"/>
                      <w:b w:val="0"/>
                      <w:color w:val="auto"/>
                      <w:kern w:val="0"/>
                      <w:sz w:val="21"/>
                      <w:szCs w:val="21"/>
                      <w:highlight w:val="none"/>
                      <w:lang w:val="en-US" w:eastAsia="zh-CN" w:bidi="ar-SA"/>
                    </w:rPr>
                    <w:t>4</w:t>
                  </w:r>
                </w:p>
              </w:tc>
              <w:tc>
                <w:tcPr>
                  <w:tcW w:w="90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63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9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0.2</w:t>
                  </w:r>
                  <w:r>
                    <w:rPr>
                      <w:rFonts w:hint="eastAsia" w:eastAsia="仿宋" w:cs="Times New Roman"/>
                      <w:b w:val="0"/>
                      <w:color w:val="auto"/>
                      <w:kern w:val="0"/>
                      <w:sz w:val="21"/>
                      <w:szCs w:val="21"/>
                      <w:highlight w:val="none"/>
                      <w:lang w:val="en-US" w:eastAsia="zh-CN" w:bidi="ar-SA"/>
                    </w:rPr>
                    <w:t>93</w:t>
                  </w:r>
                </w:p>
              </w:tc>
            </w:tr>
          </w:tbl>
          <w:p>
            <w:pPr>
              <w:overflowPunct w:val="0"/>
              <w:ind w:firstLine="422"/>
              <w:jc w:val="left"/>
              <w:rPr>
                <w:rFonts w:hint="default" w:ascii="Times New Roman" w:hAnsi="Times New Roman" w:eastAsia="仿宋" w:cs="Times New Roman"/>
                <w:b w:val="0"/>
                <w:bCs/>
                <w:color w:val="auto"/>
                <w:sz w:val="24"/>
                <w:szCs w:val="24"/>
                <w:lang w:val="en-US" w:eastAsia="zh-CN"/>
              </w:rPr>
            </w:pPr>
            <w:r>
              <w:rPr>
                <w:rFonts w:hint="default" w:ascii="Times New Roman" w:hAnsi="Times New Roman" w:eastAsia="仿宋" w:cs="Times New Roman"/>
                <w:b w:val="0"/>
                <w:bCs/>
                <w:color w:val="auto"/>
                <w:sz w:val="24"/>
                <w:szCs w:val="24"/>
              </w:rPr>
              <w:t>由上述监测结果可知，项目区域现状</w:t>
            </w:r>
            <w:r>
              <w:rPr>
                <w:rFonts w:hint="default" w:ascii="Times New Roman" w:hAnsi="Times New Roman" w:eastAsia="仿宋" w:cs="Times New Roman"/>
                <w:b w:val="0"/>
                <w:bCs/>
                <w:color w:val="auto"/>
                <w:sz w:val="24"/>
                <w:szCs w:val="24"/>
                <w:lang w:val="en-US" w:eastAsia="zh-CN"/>
              </w:rPr>
              <w:t>大气各污染物浓度</w:t>
            </w:r>
            <w:r>
              <w:rPr>
                <w:rFonts w:hint="default" w:ascii="Times New Roman" w:hAnsi="Times New Roman" w:eastAsia="仿宋" w:cs="Times New Roman"/>
                <w:b w:val="0"/>
                <w:bCs/>
                <w:color w:val="auto"/>
                <w:sz w:val="24"/>
                <w:szCs w:val="24"/>
              </w:rPr>
              <w:t>可以满足《</w:t>
            </w:r>
            <w:r>
              <w:rPr>
                <w:rFonts w:hint="default" w:ascii="Times New Roman" w:hAnsi="Times New Roman" w:eastAsia="仿宋" w:cs="Times New Roman"/>
                <w:b w:val="0"/>
                <w:bCs/>
                <w:color w:val="auto"/>
                <w:sz w:val="24"/>
                <w:szCs w:val="24"/>
                <w:lang w:val="en-US" w:eastAsia="zh-CN"/>
              </w:rPr>
              <w:t>环境空气质量标准</w:t>
            </w:r>
            <w:r>
              <w:rPr>
                <w:rFonts w:hint="default" w:ascii="Times New Roman" w:hAnsi="Times New Roman" w:eastAsia="仿宋" w:cs="Times New Roman"/>
                <w:b w:val="0"/>
                <w:bCs/>
                <w:color w:val="auto"/>
                <w:sz w:val="24"/>
                <w:szCs w:val="24"/>
              </w:rPr>
              <w:t>》</w:t>
            </w:r>
            <w:r>
              <w:rPr>
                <w:rFonts w:hint="default" w:ascii="Times New Roman" w:hAnsi="Times New Roman" w:eastAsia="仿宋" w:cs="Times New Roman"/>
                <w:b w:val="0"/>
                <w:bCs/>
                <w:color w:val="auto"/>
                <w:sz w:val="24"/>
                <w:szCs w:val="24"/>
                <w:lang w:eastAsia="zh-CN"/>
              </w:rPr>
              <w:t>（</w:t>
            </w:r>
            <w:r>
              <w:rPr>
                <w:rFonts w:hint="default" w:ascii="Times New Roman" w:hAnsi="Times New Roman" w:eastAsia="仿宋" w:cs="Times New Roman"/>
                <w:b w:val="0"/>
                <w:bCs/>
                <w:color w:val="auto"/>
                <w:sz w:val="24"/>
                <w:szCs w:val="24"/>
                <w:lang w:val="en-US" w:eastAsia="zh-CN"/>
              </w:rPr>
              <w:t>GB3095-2012</w:t>
            </w:r>
            <w:r>
              <w:rPr>
                <w:rFonts w:hint="default" w:ascii="Times New Roman" w:hAnsi="Times New Roman" w:eastAsia="仿宋" w:cs="Times New Roman"/>
                <w:b w:val="0"/>
                <w:bCs/>
                <w:color w:val="auto"/>
                <w:sz w:val="24"/>
                <w:szCs w:val="24"/>
                <w:lang w:eastAsia="zh-CN"/>
              </w:rPr>
              <w:t>）</w:t>
            </w:r>
            <w:r>
              <w:rPr>
                <w:rFonts w:hint="default" w:ascii="Times New Roman" w:hAnsi="Times New Roman" w:eastAsia="仿宋" w:cs="Times New Roman"/>
                <w:b w:val="0"/>
                <w:bCs/>
                <w:color w:val="auto"/>
                <w:sz w:val="24"/>
                <w:szCs w:val="24"/>
                <w:lang w:val="en-US" w:eastAsia="zh-CN"/>
              </w:rPr>
              <w:t>的二级标准。</w:t>
            </w:r>
          </w:p>
          <w:p>
            <w:pPr>
              <w:overflowPunct w:val="0"/>
              <w:ind w:firstLine="422"/>
              <w:jc w:val="left"/>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3、地表水环境质量现状</w:t>
            </w:r>
            <w:r>
              <w:rPr>
                <w:rFonts w:hint="default" w:ascii="Times New Roman" w:hAnsi="Times New Roman" w:eastAsia="仿宋" w:cs="Times New Roman"/>
                <w:b/>
                <w:color w:val="auto"/>
                <w:sz w:val="24"/>
                <w:szCs w:val="24"/>
                <w:lang w:val="en-US" w:eastAsia="zh-CN"/>
              </w:rPr>
              <w:t>调查</w:t>
            </w:r>
          </w:p>
          <w:p>
            <w:pPr>
              <w:overflowPunct w:val="0"/>
              <w:ind w:firstLine="422"/>
              <w:jc w:val="left"/>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本项目无废水外排，厂址1km范围内没有天然地表水体分布，工程不向天然地表水体排水，项目地表水按三级B评价，三级评价项目可不进行地表水环境影响评价，因此未开展地表水现状调查及评价。</w:t>
            </w:r>
          </w:p>
          <w:p>
            <w:pPr>
              <w:keepNext w:val="0"/>
              <w:keepLines w:val="0"/>
              <w:pageBreakBefore w:val="0"/>
              <w:widowControl w:val="0"/>
              <w:kinsoku/>
              <w:wordWrap/>
              <w:overflowPunct w:val="0"/>
              <w:topLinePunct w:val="0"/>
              <w:autoSpaceDE/>
              <w:autoSpaceDN/>
              <w:bidi w:val="0"/>
              <w:adjustRightInd/>
              <w:snapToGrid/>
              <w:spacing w:line="358" w:lineRule="auto"/>
              <w:ind w:firstLine="422"/>
              <w:jc w:val="left"/>
              <w:textAlignment w:val="auto"/>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4、</w:t>
            </w:r>
            <w:r>
              <w:rPr>
                <w:rFonts w:hint="default" w:ascii="Times New Roman" w:hAnsi="Times New Roman" w:eastAsia="仿宋" w:cs="Times New Roman"/>
                <w:b/>
                <w:color w:val="auto"/>
                <w:sz w:val="24"/>
                <w:szCs w:val="24"/>
              </w:rPr>
              <w:t>地下水环境质量现状</w:t>
            </w:r>
            <w:r>
              <w:rPr>
                <w:rFonts w:hint="default" w:ascii="Times New Roman" w:hAnsi="Times New Roman" w:eastAsia="仿宋" w:cs="Times New Roman"/>
                <w:b/>
                <w:color w:val="auto"/>
                <w:sz w:val="24"/>
                <w:szCs w:val="24"/>
                <w:lang w:val="en-US" w:eastAsia="zh-CN"/>
              </w:rPr>
              <w:t>调查</w:t>
            </w:r>
          </w:p>
          <w:p>
            <w:pPr>
              <w:keepNext w:val="0"/>
              <w:keepLines w:val="0"/>
              <w:pageBreakBefore w:val="0"/>
              <w:widowControl w:val="0"/>
              <w:kinsoku/>
              <w:wordWrap/>
              <w:overflowPunct w:val="0"/>
              <w:topLinePunct w:val="0"/>
              <w:autoSpaceDE/>
              <w:autoSpaceDN/>
              <w:bidi w:val="0"/>
              <w:adjustRightInd/>
              <w:snapToGrid/>
              <w:spacing w:line="358" w:lineRule="auto"/>
              <w:ind w:firstLine="420"/>
              <w:textAlignment w:val="auto"/>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color w:val="auto"/>
                <w:sz w:val="24"/>
                <w:szCs w:val="24"/>
              </w:rPr>
              <w:t>根据《环境影响评价技术导则地下水环境》（HJ610-2016）中附录A地下水环境影响评价行业分类表，本项目属J非金属矿采选及制品制造-54、土砂石开采-其他，属于Ⅳ类建设项目，Ⅳ类建设项目不开展地下水环境影响评价。</w:t>
            </w:r>
          </w:p>
          <w:p>
            <w:pPr>
              <w:keepNext w:val="0"/>
              <w:keepLines w:val="0"/>
              <w:pageBreakBefore w:val="0"/>
              <w:widowControl w:val="0"/>
              <w:kinsoku/>
              <w:wordWrap/>
              <w:overflowPunct w:val="0"/>
              <w:topLinePunct w:val="0"/>
              <w:autoSpaceDE/>
              <w:autoSpaceDN/>
              <w:bidi w:val="0"/>
              <w:adjustRightInd/>
              <w:snapToGrid/>
              <w:spacing w:line="358" w:lineRule="auto"/>
              <w:ind w:firstLine="422"/>
              <w:textAlignment w:val="auto"/>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5</w:t>
            </w:r>
            <w:r>
              <w:rPr>
                <w:rFonts w:hint="default" w:ascii="Times New Roman" w:hAnsi="Times New Roman" w:eastAsia="仿宋" w:cs="Times New Roman"/>
                <w:b/>
                <w:color w:val="auto"/>
                <w:sz w:val="24"/>
                <w:szCs w:val="24"/>
              </w:rPr>
              <w:t>、声环境质量现状</w:t>
            </w:r>
            <w:r>
              <w:rPr>
                <w:rFonts w:hint="default" w:ascii="Times New Roman" w:hAnsi="Times New Roman" w:eastAsia="仿宋" w:cs="Times New Roman"/>
                <w:b/>
                <w:color w:val="auto"/>
                <w:sz w:val="24"/>
                <w:szCs w:val="24"/>
                <w:lang w:val="en-US" w:eastAsia="zh-CN"/>
              </w:rPr>
              <w:t>调查</w:t>
            </w:r>
          </w:p>
          <w:p>
            <w:pPr>
              <w:keepNext w:val="0"/>
              <w:keepLines w:val="0"/>
              <w:pageBreakBefore w:val="0"/>
              <w:widowControl w:val="0"/>
              <w:kinsoku/>
              <w:wordWrap/>
              <w:overflowPunct/>
              <w:topLinePunct w:val="0"/>
              <w:autoSpaceDE/>
              <w:autoSpaceDN/>
              <w:bidi w:val="0"/>
              <w:adjustRightInd/>
              <w:snapToGrid/>
              <w:spacing w:line="358" w:lineRule="auto"/>
              <w:ind w:left="0" w:leftChars="0" w:right="0" w:rightChars="0" w:firstLine="480" w:firstLineChars="200"/>
              <w:textAlignment w:val="auto"/>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本项目为砂石料建设项目，属于生态影响类项目，根据《建设项目环境影响报告表编制技术指南（生态影响类）（试行）》：“项目涉及的水、大气、声、土壤等其他环境要素，应明确项目所在区域的环境质量现状。”大气、固定声源环境质量现状监测参照《建设项目环境影响报告表编制技术指南（污染影响类）》（试行）相关规定开展补充监测，污染影响类编制指南中要求厂界外周边50米范围内存在声环境保护目标的建设项目，应监测保护目标声环境质量现状并评价达标情况。</w:t>
            </w:r>
          </w:p>
          <w:p>
            <w:pPr>
              <w:keepNext w:val="0"/>
              <w:keepLines w:val="0"/>
              <w:pageBreakBefore w:val="0"/>
              <w:widowControl w:val="0"/>
              <w:kinsoku/>
              <w:wordWrap/>
              <w:overflowPunct/>
              <w:topLinePunct w:val="0"/>
              <w:autoSpaceDE/>
              <w:autoSpaceDN/>
              <w:bidi w:val="0"/>
              <w:adjustRightInd/>
              <w:snapToGrid/>
              <w:spacing w:line="358" w:lineRule="auto"/>
              <w:ind w:left="0" w:leftChars="0" w:right="0" w:rightChars="0" w:firstLine="480" w:firstLineChars="200"/>
              <w:textAlignment w:val="auto"/>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本项目建设地点位于</w:t>
            </w:r>
            <w:r>
              <w:rPr>
                <w:rFonts w:hint="eastAsia" w:eastAsia="仿宋" w:cs="Times New Roman"/>
                <w:color w:val="auto"/>
                <w:sz w:val="24"/>
                <w:szCs w:val="24"/>
                <w:lang w:eastAsia="zh-CN"/>
              </w:rPr>
              <w:t>鄯善县北西280°方位，直线距离约30千米</w:t>
            </w:r>
            <w:r>
              <w:rPr>
                <w:rFonts w:hint="default" w:ascii="Times New Roman" w:hAnsi="Times New Roman" w:eastAsia="仿宋" w:cs="Times New Roman"/>
                <w:color w:val="auto"/>
                <w:spacing w:val="0"/>
                <w:sz w:val="24"/>
                <w:szCs w:val="24"/>
                <w:lang w:val="en-US" w:eastAsia="zh-CN"/>
              </w:rPr>
              <w:t>，项目所在区域声环境质量现状为《声环境质量标准》（GB3096-2008）中2类标准，项目周边50m范围内均为荒漠，无声环境保护目标，因此本项目可不开展声环境现状调查及分析</w:t>
            </w:r>
            <w:r>
              <w:rPr>
                <w:rFonts w:hint="eastAsia" w:eastAsia="仿宋" w:cs="Times New Roman"/>
                <w:color w:val="auto"/>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58" w:lineRule="auto"/>
              <w:ind w:left="0" w:leftChars="0" w:right="0" w:rightChars="0" w:firstLine="482" w:firstLineChars="200"/>
              <w:textAlignment w:val="auto"/>
              <w:rPr>
                <w:rFonts w:hint="default" w:ascii="Times New Roman" w:hAnsi="Times New Roman" w:eastAsia="仿宋" w:cs="Times New Roman"/>
                <w:b/>
                <w:bCs/>
                <w:color w:val="auto"/>
                <w:spacing w:val="0"/>
                <w:sz w:val="24"/>
                <w:szCs w:val="24"/>
                <w:lang w:val="en-US" w:eastAsia="zh-CN"/>
              </w:rPr>
            </w:pPr>
            <w:r>
              <w:rPr>
                <w:rFonts w:hint="default" w:ascii="Times New Roman" w:hAnsi="Times New Roman" w:eastAsia="仿宋" w:cs="Times New Roman"/>
                <w:b/>
                <w:bCs/>
                <w:color w:val="auto"/>
                <w:spacing w:val="0"/>
                <w:sz w:val="24"/>
                <w:szCs w:val="24"/>
                <w:lang w:val="en-US" w:eastAsia="zh-CN"/>
              </w:rPr>
              <w:t>6、土壤环境质量现状调查</w:t>
            </w:r>
          </w:p>
          <w:p>
            <w:pPr>
              <w:keepNext w:val="0"/>
              <w:keepLines w:val="0"/>
              <w:pageBreakBefore w:val="0"/>
              <w:widowControl w:val="0"/>
              <w:kinsoku/>
              <w:wordWrap/>
              <w:overflowPunct/>
              <w:topLinePunct w:val="0"/>
              <w:autoSpaceDE/>
              <w:autoSpaceDN/>
              <w:bidi w:val="0"/>
              <w:adjustRightInd/>
              <w:snapToGrid/>
              <w:spacing w:line="358" w:lineRule="auto"/>
              <w:ind w:left="0" w:leftChars="0" w:right="0" w:rightChars="0" w:firstLine="480" w:firstLineChars="200"/>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pacing w:val="0"/>
                <w:sz w:val="24"/>
                <w:szCs w:val="24"/>
                <w:lang w:val="en-US" w:eastAsia="zh-CN"/>
              </w:rPr>
              <w:t>根据《环境影响评价技术导则土壤环境（试行）》（HJ964-2018）中4.2.2“根据行业特征、工艺特点或规模大小等将建设项目类别分为Ⅰ类、Ⅱ类、Ⅲ类、Ⅳ类，见附件A，其中Ⅳ类建设项目可不开展土壤环境影响评价；自身为敏感目标的建设项目，可根据需要仅对土壤现状进行调查”，本项目属于附录A中的采矿业Ⅲ类项目，</w:t>
            </w:r>
            <w:r>
              <w:rPr>
                <w:rFonts w:hint="default" w:ascii="Times New Roman" w:hAnsi="Times New Roman" w:eastAsia="仿宋" w:cs="Times New Roman"/>
                <w:color w:val="auto"/>
                <w:sz w:val="24"/>
                <w:szCs w:val="24"/>
                <w:lang w:val="en-US" w:eastAsia="zh-CN"/>
              </w:rPr>
              <w:t>根据普查地质报告浅井数据，土壤</w:t>
            </w:r>
            <w:r>
              <w:rPr>
                <w:rFonts w:hint="eastAsia" w:eastAsia="仿宋" w:cs="Times New Roman"/>
                <w:color w:val="auto"/>
                <w:sz w:val="24"/>
                <w:szCs w:val="24"/>
                <w:lang w:val="en-US" w:eastAsia="zh-CN"/>
              </w:rPr>
              <w:t>pH值</w:t>
            </w:r>
            <w:r>
              <w:rPr>
                <w:rFonts w:hint="default" w:ascii="Times New Roman" w:hAnsi="Times New Roman" w:eastAsia="仿宋" w:cs="Times New Roman"/>
                <w:color w:val="auto"/>
                <w:sz w:val="24"/>
                <w:szCs w:val="24"/>
                <w:lang w:val="en-US" w:eastAsia="zh-CN"/>
              </w:rPr>
              <w:t>为</w:t>
            </w:r>
            <w:r>
              <w:rPr>
                <w:rFonts w:hint="eastAsia" w:ascii="Times New Roman" w:hAnsi="Times New Roman" w:eastAsia="仿宋" w:cs="Times New Roman"/>
                <w:color w:val="auto"/>
                <w:sz w:val="24"/>
                <w:szCs w:val="24"/>
                <w:lang w:val="en-US" w:eastAsia="zh-CN"/>
              </w:rPr>
              <w:t>6.83</w:t>
            </w:r>
            <w:r>
              <w:rPr>
                <w:rFonts w:hint="default" w:ascii="Times New Roman" w:hAnsi="Times New Roman" w:eastAsia="仿宋" w:cs="Times New Roman"/>
                <w:color w:val="auto"/>
                <w:sz w:val="24"/>
                <w:szCs w:val="24"/>
                <w:lang w:val="en-US" w:eastAsia="zh-CN"/>
              </w:rPr>
              <w:t>，</w:t>
            </w:r>
            <w:r>
              <w:rPr>
                <w:rFonts w:hint="eastAsia" w:ascii="Times New Roman" w:hAnsi="Times New Roman" w:eastAsia="仿宋" w:cs="Times New Roman"/>
                <w:color w:val="auto"/>
                <w:sz w:val="24"/>
                <w:szCs w:val="24"/>
                <w:lang w:val="en-US" w:eastAsia="zh-CN"/>
              </w:rPr>
              <w:t>为不敏感。</w:t>
            </w:r>
            <w:r>
              <w:rPr>
                <w:rFonts w:hint="default" w:ascii="Times New Roman" w:hAnsi="Times New Roman" w:eastAsia="仿宋" w:cs="Times New Roman"/>
                <w:color w:val="auto"/>
                <w:spacing w:val="0"/>
                <w:sz w:val="24"/>
                <w:szCs w:val="24"/>
                <w:lang w:val="en-US" w:eastAsia="zh-CN"/>
              </w:rPr>
              <w:t>根据《环境影响评价技术导则土壤环境（试行）》（HJ964-2018）中表1生态影响型敏感程度分级表，本项目为不敏感，根据表2生态影响型评价工作等级划分表，本项目可不开展土壤环境影响评价工作，且本项目用地未建设过对土壤环境造成影响的建设项目，土壤环境状况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2"/>
                <w:sz w:val="24"/>
                <w:szCs w:val="24"/>
                <w:lang w:val="en-US" w:eastAsia="zh-CN" w:bidi="ar-SA"/>
              </w:rPr>
              <w:t>与项目有关的原有环境污染和生态问题</w:t>
            </w:r>
          </w:p>
        </w:tc>
        <w:tc>
          <w:tcPr>
            <w:tcW w:w="8329" w:type="dxa"/>
            <w:vAlign w:val="center"/>
          </w:tcPr>
          <w:p>
            <w:pPr>
              <w:pStyle w:val="36"/>
              <w:jc w:val="center"/>
              <w:rPr>
                <w:rFonts w:hint="default" w:ascii="Times New Roman" w:hAnsi="Times New Roman" w:eastAsia="仿宋" w:cs="Times New Roman"/>
                <w:color w:val="auto"/>
              </w:rPr>
            </w:pPr>
            <w:r>
              <w:rPr>
                <w:rFonts w:hint="default" w:ascii="Times New Roman" w:hAnsi="Times New Roman" w:eastAsia="仿宋" w:cs="Times New Roman"/>
                <w:color w:val="auto"/>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959" w:type="dxa"/>
            <w:vAlign w:val="center"/>
          </w:tcPr>
          <w:p>
            <w:pPr>
              <w:adjustRightInd w:val="0"/>
              <w:snapToGrid w:val="0"/>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生态环境保护目标</w:t>
            </w:r>
          </w:p>
        </w:tc>
        <w:tc>
          <w:tcPr>
            <w:tcW w:w="8329" w:type="dxa"/>
            <w:vAlign w:val="center"/>
          </w:tcPr>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1"/>
              </w:rPr>
            </w:pPr>
            <w:r>
              <w:rPr>
                <w:rFonts w:hint="default" w:ascii="Times New Roman" w:hAnsi="Times New Roman" w:eastAsia="仿宋" w:cs="Times New Roman"/>
                <w:color w:val="auto"/>
                <w:spacing w:val="-1"/>
              </w:rPr>
              <w:t>根据对项目区周边现场踏勘、资料收集</w:t>
            </w:r>
            <w:r>
              <w:rPr>
                <w:rFonts w:hint="default" w:ascii="Times New Roman" w:hAnsi="Times New Roman" w:eastAsia="仿宋" w:cs="Times New Roman"/>
                <w:color w:val="auto"/>
                <w:spacing w:val="-1"/>
                <w:lang w:eastAsia="zh-CN"/>
              </w:rPr>
              <w:t>，</w:t>
            </w:r>
            <w:r>
              <w:rPr>
                <w:rFonts w:hint="default" w:ascii="Times New Roman" w:hAnsi="Times New Roman" w:eastAsia="仿宋" w:cs="Times New Roman"/>
                <w:color w:val="auto"/>
                <w:spacing w:val="-1"/>
              </w:rPr>
              <w:t>项目区不涉及自然保护区、风景名胜区、居住区、文化和农村地区中人群集中的区域等保护目标；项目区</w:t>
            </w:r>
            <w:r>
              <w:rPr>
                <w:rFonts w:hint="default" w:ascii="Times New Roman" w:hAnsi="Times New Roman" w:eastAsia="仿宋" w:cs="Times New Roman"/>
                <w:color w:val="auto"/>
                <w:spacing w:val="-2"/>
              </w:rPr>
              <w:t>厂界外50米范围内无声环境保护目标；本项目不涉及地质公园、重要湿地、</w:t>
            </w:r>
            <w:r>
              <w:rPr>
                <w:rFonts w:hint="default" w:ascii="Times New Roman" w:hAnsi="Times New Roman" w:eastAsia="仿宋" w:cs="Times New Roman"/>
                <w:color w:val="auto"/>
                <w:spacing w:val="-1"/>
              </w:rPr>
              <w:t>饮用水水源保护区等，无地表水保护目标。</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依据《环境影响评价技术导则生态影响》（HJ19—2022）的规定，结合项目厂址、周边生态环境现状及工程特点，工程影响范围</w:t>
            </w:r>
            <w:r>
              <w:rPr>
                <w:rFonts w:hint="default" w:ascii="Times New Roman" w:hAnsi="Times New Roman" w:eastAsia="仿宋" w:cs="Times New Roman"/>
                <w:color w:val="auto"/>
                <w:spacing w:val="3"/>
                <w:lang w:eastAsia="zh-CN"/>
              </w:rPr>
              <w:t>（</w:t>
            </w:r>
            <w:r>
              <w:rPr>
                <w:rFonts w:hint="eastAsia" w:ascii="Times New Roman" w:hAnsi="Times New Roman" w:eastAsia="仿宋" w:cs="Times New Roman"/>
                <w:color w:val="auto"/>
                <w:spacing w:val="3"/>
                <w:lang w:val="en-US" w:eastAsia="zh-CN"/>
              </w:rPr>
              <w:t>0.1269</w:t>
            </w:r>
            <w:r>
              <w:rPr>
                <w:rFonts w:hint="default" w:ascii="Times New Roman" w:hAnsi="Times New Roman" w:eastAsia="仿宋" w:cs="Times New Roman"/>
                <w:color w:val="auto"/>
                <w:spacing w:val="3"/>
              </w:rPr>
              <w:t>km</w:t>
            </w:r>
            <w:r>
              <w:rPr>
                <w:rFonts w:hint="default" w:ascii="Times New Roman" w:hAnsi="Times New Roman" w:eastAsia="仿宋" w:cs="Times New Roman"/>
                <w:color w:val="auto"/>
                <w:spacing w:val="3"/>
                <w:vertAlign w:val="superscript"/>
              </w:rPr>
              <w:t>2</w:t>
            </w:r>
            <w:r>
              <w:rPr>
                <w:rFonts w:hint="default" w:ascii="Times New Roman" w:hAnsi="Times New Roman" w:eastAsia="仿宋" w:cs="Times New Roman"/>
                <w:color w:val="auto"/>
                <w:spacing w:val="3"/>
                <w:lang w:eastAsia="zh-CN"/>
              </w:rPr>
              <w:t>）</w:t>
            </w:r>
            <w:r>
              <w:rPr>
                <w:rFonts w:hint="default" w:ascii="Times New Roman" w:hAnsi="Times New Roman" w:eastAsia="仿宋" w:cs="Times New Roman"/>
                <w:color w:val="auto"/>
                <w:spacing w:val="3"/>
              </w:rPr>
              <w:t>＜2km</w:t>
            </w:r>
            <w:r>
              <w:rPr>
                <w:rFonts w:hint="default" w:ascii="Times New Roman" w:hAnsi="Times New Roman" w:eastAsia="仿宋" w:cs="Times New Roman"/>
                <w:color w:val="auto"/>
                <w:spacing w:val="3"/>
                <w:vertAlign w:val="superscript"/>
              </w:rPr>
              <w:t>2</w:t>
            </w:r>
            <w:r>
              <w:rPr>
                <w:rFonts w:hint="default" w:ascii="Times New Roman" w:hAnsi="Times New Roman" w:eastAsia="仿宋" w:cs="Times New Roman"/>
                <w:color w:val="auto"/>
                <w:spacing w:val="3"/>
              </w:rPr>
              <w:t>，占地区域没有珍稀野生动植物，无生态敏感保护目标，确定工程生态环境评价工作等级为三级。区域生态环境敏感性：一般区域，根据生态影响评价工作等级的划分原则，项目生态影响评价等级为三级。评价范围为厂址及附近影响区域。</w:t>
            </w:r>
          </w:p>
          <w:p>
            <w:pPr>
              <w:pStyle w:val="85"/>
              <w:keepNext w:val="0"/>
              <w:keepLines w:val="0"/>
              <w:pageBreakBefore w:val="0"/>
              <w:widowControl w:val="0"/>
              <w:kinsoku/>
              <w:wordWrap/>
              <w:overflowPunct/>
              <w:topLinePunct w:val="0"/>
              <w:autoSpaceDE/>
              <w:autoSpaceDN/>
              <w:bidi w:val="0"/>
              <w:adjustRightInd/>
              <w:snapToGrid/>
              <w:spacing w:line="360" w:lineRule="auto"/>
              <w:ind w:left="0" w:leftChars="0" w:right="0" w:firstLine="492" w:firstLineChars="20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根据项目特点，环境保护对象及其保护要求见表3-</w:t>
            </w:r>
            <w:r>
              <w:rPr>
                <w:rFonts w:hint="eastAsia" w:ascii="Times New Roman" w:hAnsi="Times New Roman" w:eastAsia="仿宋" w:cs="Times New Roman"/>
                <w:color w:val="auto"/>
                <w:spacing w:val="3"/>
                <w:lang w:val="en-US" w:eastAsia="zh-CN"/>
              </w:rPr>
              <w:t>6</w:t>
            </w:r>
            <w:r>
              <w:rPr>
                <w:rFonts w:hint="default" w:ascii="Times New Roman" w:hAnsi="Times New Roman" w:eastAsia="仿宋" w:cs="Times New Roman"/>
                <w:color w:val="auto"/>
                <w:spacing w:val="3"/>
              </w:rPr>
              <w:t>。</w:t>
            </w:r>
          </w:p>
          <w:p>
            <w:pPr>
              <w:pStyle w:val="85"/>
              <w:spacing w:before="36" w:line="359" w:lineRule="auto"/>
              <w:ind w:right="22"/>
              <w:jc w:val="center"/>
              <w:rPr>
                <w:rFonts w:hint="default" w:ascii="Times New Roman" w:hAnsi="Times New Roman" w:eastAsia="仿宋" w:cs="Times New Roman"/>
                <w:b/>
                <w:bCs/>
                <w:color w:val="auto"/>
                <w:spacing w:val="-1"/>
                <w:sz w:val="21"/>
                <w:szCs w:val="21"/>
                <w:highlight w:val="none"/>
                <w:lang w:val="en-US" w:eastAsia="zh-CN"/>
              </w:rPr>
            </w:pPr>
            <w:r>
              <w:rPr>
                <w:rFonts w:hint="default" w:ascii="Times New Roman" w:hAnsi="Times New Roman" w:eastAsia="仿宋" w:cs="Times New Roman"/>
                <w:b/>
                <w:bCs/>
                <w:color w:val="auto"/>
                <w:spacing w:val="-1"/>
                <w:sz w:val="21"/>
                <w:szCs w:val="21"/>
                <w:highlight w:val="none"/>
                <w:lang w:val="en-US" w:eastAsia="zh-CN"/>
              </w:rPr>
              <w:t>表3-</w:t>
            </w:r>
            <w:r>
              <w:rPr>
                <w:rFonts w:hint="eastAsia" w:ascii="Times New Roman" w:hAnsi="Times New Roman" w:eastAsia="仿宋" w:cs="Times New Roman"/>
                <w:b/>
                <w:bCs/>
                <w:color w:val="auto"/>
                <w:spacing w:val="-1"/>
                <w:sz w:val="21"/>
                <w:szCs w:val="21"/>
                <w:highlight w:val="none"/>
                <w:lang w:val="en-US" w:eastAsia="zh-CN"/>
              </w:rPr>
              <w:t>6</w:t>
            </w:r>
            <w:r>
              <w:rPr>
                <w:rFonts w:hint="default" w:ascii="Times New Roman" w:hAnsi="Times New Roman" w:eastAsia="仿宋" w:cs="Times New Roman"/>
                <w:b/>
                <w:bCs/>
                <w:color w:val="auto"/>
                <w:spacing w:val="-1"/>
                <w:sz w:val="21"/>
                <w:szCs w:val="21"/>
                <w:highlight w:val="none"/>
                <w:lang w:val="en-US" w:eastAsia="zh-CN"/>
              </w:rPr>
              <w:t>环境保护目标一览表</w:t>
            </w:r>
          </w:p>
          <w:tbl>
            <w:tblPr>
              <w:tblStyle w:val="86"/>
              <w:tblW w:w="79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8"/>
              <w:gridCol w:w="1282"/>
              <w:gridCol w:w="1329"/>
              <w:gridCol w:w="684"/>
              <w:gridCol w:w="589"/>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658" w:type="dxa"/>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序号</w:t>
                  </w:r>
                </w:p>
              </w:tc>
              <w:tc>
                <w:tcPr>
                  <w:tcW w:w="1282" w:type="dxa"/>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环境要素</w:t>
                  </w:r>
                </w:p>
              </w:tc>
              <w:tc>
                <w:tcPr>
                  <w:tcW w:w="1329" w:type="dxa"/>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保护对象</w:t>
                  </w:r>
                </w:p>
              </w:tc>
              <w:tc>
                <w:tcPr>
                  <w:tcW w:w="684" w:type="dxa"/>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方位</w:t>
                  </w:r>
                </w:p>
              </w:tc>
              <w:tc>
                <w:tcPr>
                  <w:tcW w:w="589" w:type="dxa"/>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距离</w:t>
                  </w:r>
                </w:p>
              </w:tc>
              <w:tc>
                <w:tcPr>
                  <w:tcW w:w="3367" w:type="dxa"/>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功能区域标准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1</w:t>
                  </w:r>
                </w:p>
              </w:tc>
              <w:tc>
                <w:tcPr>
                  <w:tcW w:w="1282" w:type="dxa"/>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大气</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w:t>
                  </w: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w:t>
                  </w:r>
                </w:p>
              </w:tc>
              <w:tc>
                <w:tcPr>
                  <w:tcW w:w="3367" w:type="dxa"/>
                  <w:vAlign w:val="center"/>
                </w:tcPr>
                <w:p>
                  <w:pPr>
                    <w:pStyle w:val="85"/>
                    <w:keepNext w:val="0"/>
                    <w:keepLines w:val="0"/>
                    <w:pageBreakBefore w:val="0"/>
                    <w:widowControl w:val="0"/>
                    <w:kinsoku/>
                    <w:wordWrap/>
                    <w:overflowPunct/>
                    <w:topLinePunct w:val="0"/>
                    <w:autoSpaceDE/>
                    <w:autoSpaceDN/>
                    <w:bidi w:val="0"/>
                    <w:adjustRightInd/>
                    <w:snapToGrid/>
                    <w:spacing w:before="30" w:line="240" w:lineRule="auto"/>
                    <w:ind w:left="459"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《环境空气质量标准》</w:t>
                  </w:r>
                </w:p>
                <w:p>
                  <w:pPr>
                    <w:pStyle w:val="85"/>
                    <w:keepNext w:val="0"/>
                    <w:keepLines w:val="0"/>
                    <w:pageBreakBefore w:val="0"/>
                    <w:widowControl w:val="0"/>
                    <w:kinsoku/>
                    <w:wordWrap/>
                    <w:overflowPunct/>
                    <w:topLinePunct w:val="0"/>
                    <w:autoSpaceDE/>
                    <w:autoSpaceDN/>
                    <w:bidi w:val="0"/>
                    <w:adjustRightInd/>
                    <w:snapToGrid/>
                    <w:spacing w:before="23" w:line="240" w:lineRule="auto"/>
                    <w:ind w:left="91"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（GB3095-2012）中的二级标准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2</w:t>
                  </w:r>
                </w:p>
              </w:tc>
              <w:tc>
                <w:tcPr>
                  <w:tcW w:w="1282" w:type="dxa"/>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声环境</w:t>
                  </w:r>
                </w:p>
              </w:tc>
              <w:tc>
                <w:tcPr>
                  <w:tcW w:w="2602" w:type="dxa"/>
                  <w:gridSpan w:val="3"/>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567"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厂界外</w:t>
                  </w:r>
                  <w:r>
                    <w:rPr>
                      <w:rFonts w:hint="eastAsia" w:ascii="Times New Roman" w:hAnsi="Times New Roman" w:eastAsia="仿宋" w:cs="Times New Roman"/>
                      <w:color w:val="auto"/>
                      <w:spacing w:val="7"/>
                      <w:kern w:val="2"/>
                      <w:sz w:val="21"/>
                      <w:szCs w:val="21"/>
                      <w:lang w:val="en-US" w:eastAsia="zh-CN" w:bidi="ar-SA"/>
                    </w:rPr>
                    <w:t>50</w:t>
                  </w:r>
                  <w:r>
                    <w:rPr>
                      <w:rFonts w:hint="default" w:ascii="Times New Roman" w:hAnsi="Times New Roman" w:eastAsia="仿宋" w:cs="Times New Roman"/>
                      <w:color w:val="auto"/>
                      <w:spacing w:val="7"/>
                      <w:kern w:val="2"/>
                      <w:sz w:val="21"/>
                      <w:szCs w:val="21"/>
                      <w:lang w:val="en-US" w:eastAsia="en-US" w:bidi="ar-SA"/>
                    </w:rPr>
                    <w:t>m范围内</w:t>
                  </w:r>
                </w:p>
              </w:tc>
              <w:tc>
                <w:tcPr>
                  <w:tcW w:w="3367" w:type="dxa"/>
                  <w:vAlign w:val="center"/>
                </w:tcPr>
                <w:p>
                  <w:pPr>
                    <w:pStyle w:val="85"/>
                    <w:keepNext w:val="0"/>
                    <w:keepLines w:val="0"/>
                    <w:pageBreakBefore w:val="0"/>
                    <w:widowControl w:val="0"/>
                    <w:kinsoku/>
                    <w:wordWrap/>
                    <w:overflowPunct/>
                    <w:topLinePunct w:val="0"/>
                    <w:autoSpaceDE/>
                    <w:autoSpaceDN/>
                    <w:bidi w:val="0"/>
                    <w:adjustRightInd/>
                    <w:snapToGrid/>
                    <w:spacing w:before="33" w:line="240" w:lineRule="auto"/>
                    <w:ind w:left="0" w:leftChars="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《声环境质量标准》</w:t>
                  </w:r>
                </w:p>
                <w:p>
                  <w:pPr>
                    <w:pStyle w:val="85"/>
                    <w:keepNext w:val="0"/>
                    <w:keepLines w:val="0"/>
                    <w:pageBreakBefore w:val="0"/>
                    <w:widowControl w:val="0"/>
                    <w:kinsoku/>
                    <w:wordWrap/>
                    <w:overflowPunct/>
                    <w:topLinePunct w:val="0"/>
                    <w:autoSpaceDE/>
                    <w:autoSpaceDN/>
                    <w:bidi w:val="0"/>
                    <w:adjustRightInd/>
                    <w:snapToGrid/>
                    <w:spacing w:before="25" w:line="240" w:lineRule="auto"/>
                    <w:ind w:left="91"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（GB3096-2008）的2类标准要求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3</w:t>
                  </w:r>
                </w:p>
              </w:tc>
              <w:tc>
                <w:tcPr>
                  <w:tcW w:w="1282" w:type="dxa"/>
                  <w:vAlign w:val="center"/>
                </w:tcPr>
                <w:p>
                  <w:pPr>
                    <w:pStyle w:val="85"/>
                    <w:keepNext w:val="0"/>
                    <w:keepLines w:val="0"/>
                    <w:pageBreakBefore w:val="0"/>
                    <w:widowControl w:val="0"/>
                    <w:kinsoku/>
                    <w:wordWrap/>
                    <w:overflowPunct/>
                    <w:topLinePunct w:val="0"/>
                    <w:autoSpaceDE/>
                    <w:autoSpaceDN/>
                    <w:bidi w:val="0"/>
                    <w:adjustRightInd/>
                    <w:snapToGrid/>
                    <w:spacing w:before="37" w:line="240" w:lineRule="auto"/>
                    <w:ind w:left="117"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地下水环境</w:t>
                  </w:r>
                </w:p>
              </w:tc>
              <w:tc>
                <w:tcPr>
                  <w:tcW w:w="2602" w:type="dxa"/>
                  <w:gridSpan w:val="3"/>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项目区范围内</w:t>
                  </w:r>
                </w:p>
              </w:tc>
              <w:tc>
                <w:tcPr>
                  <w:tcW w:w="3367" w:type="dxa"/>
                  <w:vAlign w:val="center"/>
                </w:tcPr>
                <w:p>
                  <w:pPr>
                    <w:pStyle w:val="85"/>
                    <w:keepNext w:val="0"/>
                    <w:keepLines w:val="0"/>
                    <w:pageBreakBefore w:val="0"/>
                    <w:widowControl w:val="0"/>
                    <w:kinsoku/>
                    <w:wordWrap/>
                    <w:overflowPunct/>
                    <w:topLinePunct w:val="0"/>
                    <w:autoSpaceDE/>
                    <w:autoSpaceDN/>
                    <w:bidi w:val="0"/>
                    <w:adjustRightInd/>
                    <w:snapToGrid/>
                    <w:spacing w:before="37" w:line="240" w:lineRule="auto"/>
                    <w:ind w:left="0" w:leftChars="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地下水保护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4</w:t>
                  </w:r>
                </w:p>
              </w:tc>
              <w:tc>
                <w:tcPr>
                  <w:tcW w:w="1282" w:type="dxa"/>
                  <w:vAlign w:val="center"/>
                </w:tcPr>
                <w:p>
                  <w:pPr>
                    <w:pStyle w:val="85"/>
                    <w:keepNext w:val="0"/>
                    <w:keepLines w:val="0"/>
                    <w:pageBreakBefore w:val="0"/>
                    <w:widowControl w:val="0"/>
                    <w:kinsoku/>
                    <w:wordWrap/>
                    <w:overflowPunct/>
                    <w:topLinePunct w:val="0"/>
                    <w:autoSpaceDE/>
                    <w:autoSpaceDN/>
                    <w:bidi w:val="0"/>
                    <w:adjustRightInd/>
                    <w:snapToGrid/>
                    <w:spacing w:before="35" w:line="240" w:lineRule="auto"/>
                    <w:ind w:left="222" w:right="0" w:firstLine="0" w:firstLineChars="0"/>
                    <w:jc w:val="both"/>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生态环境</w:t>
                  </w:r>
                </w:p>
              </w:tc>
              <w:tc>
                <w:tcPr>
                  <w:tcW w:w="2602" w:type="dxa"/>
                  <w:gridSpan w:val="3"/>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评价区内植被、土壤、野生动物</w:t>
                  </w:r>
                </w:p>
              </w:tc>
              <w:tc>
                <w:tcPr>
                  <w:tcW w:w="3367" w:type="dxa"/>
                  <w:vAlign w:val="center"/>
                </w:tcPr>
                <w:p>
                  <w:pPr>
                    <w:pStyle w:val="85"/>
                    <w:keepNext w:val="0"/>
                    <w:keepLines w:val="0"/>
                    <w:pageBreakBefore w:val="0"/>
                    <w:widowControl w:val="0"/>
                    <w:tabs>
                      <w:tab w:val="left" w:pos="1250"/>
                      <w:tab w:val="center" w:pos="2176"/>
                    </w:tabs>
                    <w:kinsoku/>
                    <w:wordWrap/>
                    <w:overflowPunct/>
                    <w:topLinePunct w:val="0"/>
                    <w:autoSpaceDE/>
                    <w:autoSpaceDN/>
                    <w:bidi w:val="0"/>
                    <w:adjustRightInd/>
                    <w:snapToGrid/>
                    <w:spacing w:before="35" w:line="240" w:lineRule="auto"/>
                    <w:ind w:left="0" w:leftChars="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合理布局，加强管理，尽量减少项目占地，控制和减轻由工程建设和运行过程中可能造成的滑坡、坍塌或水土流失现象，保护工程区域的景观生态体系及其生物资源，维护工程地区的生态完整性与稳定性，使因工程建设造成的自然景观和植被破坏得以尽快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仿宋" w:cs="Times New Roman"/>
                      <w:color w:val="auto"/>
                      <w:spacing w:val="7"/>
                      <w:kern w:val="2"/>
                      <w:sz w:val="21"/>
                      <w:szCs w:val="21"/>
                      <w:lang w:val="en-US" w:eastAsia="zh-CN" w:bidi="ar-SA"/>
                    </w:rPr>
                  </w:pPr>
                  <w:r>
                    <w:rPr>
                      <w:rFonts w:hint="eastAsia" w:eastAsia="仿宋" w:cs="Times New Roman"/>
                      <w:color w:val="auto"/>
                      <w:spacing w:val="7"/>
                      <w:kern w:val="2"/>
                      <w:sz w:val="21"/>
                      <w:szCs w:val="21"/>
                      <w:lang w:val="en-US" w:eastAsia="zh-CN" w:bidi="ar-SA"/>
                    </w:rPr>
                    <w:t>5</w:t>
                  </w:r>
                </w:p>
              </w:tc>
              <w:tc>
                <w:tcPr>
                  <w:tcW w:w="1282" w:type="dxa"/>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zh-CN" w:bidi="ar-SA"/>
                    </w:rPr>
                  </w:pPr>
                  <w:r>
                    <w:rPr>
                      <w:rFonts w:hint="eastAsia" w:ascii="Times New Roman" w:hAnsi="Times New Roman" w:eastAsia="仿宋" w:cs="Times New Roman"/>
                      <w:color w:val="auto"/>
                      <w:spacing w:val="7"/>
                      <w:kern w:val="2"/>
                      <w:sz w:val="21"/>
                      <w:szCs w:val="21"/>
                      <w:lang w:val="en-US" w:eastAsia="zh-CN" w:bidi="ar-SA"/>
                    </w:rPr>
                    <w:t>土壤环境</w:t>
                  </w:r>
                </w:p>
              </w:tc>
              <w:tc>
                <w:tcPr>
                  <w:tcW w:w="2602" w:type="dxa"/>
                  <w:gridSpan w:val="3"/>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项目区范围内</w:t>
                  </w:r>
                </w:p>
              </w:tc>
              <w:tc>
                <w:tcPr>
                  <w:tcW w:w="3367" w:type="dxa"/>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eastAsia" w:ascii="Times New Roman" w:hAnsi="Times New Roman" w:eastAsia="仿宋" w:cs="Times New Roman"/>
                      <w:color w:val="auto"/>
                      <w:spacing w:val="7"/>
                      <w:kern w:val="2"/>
                      <w:sz w:val="21"/>
                      <w:szCs w:val="21"/>
                      <w:lang w:val="en-US" w:eastAsia="zh-CN" w:bidi="ar-SA"/>
                    </w:rPr>
                    <w:t>土壤</w:t>
                  </w:r>
                  <w:r>
                    <w:rPr>
                      <w:rFonts w:hint="default" w:ascii="Times New Roman" w:hAnsi="Times New Roman" w:eastAsia="仿宋" w:cs="Times New Roman"/>
                      <w:color w:val="auto"/>
                      <w:spacing w:val="7"/>
                      <w:kern w:val="2"/>
                      <w:sz w:val="21"/>
                      <w:szCs w:val="21"/>
                      <w:lang w:val="en-US" w:eastAsia="en-US" w:bidi="ar-SA"/>
                    </w:rPr>
                    <w:t>保护</w:t>
                  </w:r>
                </w:p>
              </w:tc>
            </w:tr>
          </w:tbl>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确定本项目的污染控制目标为：</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（1）环境空气质量符合《环境空气质量标准》（GB 3095-2012）修改单</w:t>
            </w:r>
            <w:r>
              <w:rPr>
                <w:rFonts w:hint="eastAsia" w:ascii="Times New Roman" w:hAnsi="Times New Roman" w:eastAsia="仿宋" w:cs="Times New Roman"/>
                <w:color w:val="auto"/>
                <w:spacing w:val="3"/>
                <w:lang w:val="en-US" w:eastAsia="zh-CN"/>
              </w:rPr>
              <w:t>中</w:t>
            </w:r>
            <w:r>
              <w:rPr>
                <w:rFonts w:hint="default" w:ascii="Times New Roman" w:hAnsi="Times New Roman" w:eastAsia="仿宋" w:cs="Times New Roman"/>
                <w:color w:val="auto"/>
                <w:spacing w:val="3"/>
              </w:rPr>
              <w:t>二级标准，控制废气排放对周围环境的影响。</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w:t>
            </w:r>
            <w:r>
              <w:rPr>
                <w:rFonts w:hint="eastAsia" w:ascii="Times New Roman" w:hAnsi="Times New Roman" w:eastAsia="仿宋" w:cs="Times New Roman"/>
                <w:color w:val="auto"/>
                <w:spacing w:val="3"/>
                <w:lang w:val="en-US" w:eastAsia="zh-CN"/>
              </w:rPr>
              <w:t>2</w:t>
            </w:r>
            <w:r>
              <w:rPr>
                <w:rFonts w:hint="default" w:ascii="Times New Roman" w:hAnsi="Times New Roman" w:eastAsia="仿宋" w:cs="Times New Roman"/>
                <w:color w:val="auto"/>
                <w:spacing w:val="3"/>
              </w:rPr>
              <w:t>）控制</w:t>
            </w:r>
            <w:r>
              <w:rPr>
                <w:rFonts w:hint="default" w:ascii="Times New Roman" w:hAnsi="Times New Roman" w:eastAsia="仿宋" w:cs="Times New Roman"/>
                <w:color w:val="auto"/>
                <w:spacing w:val="3"/>
                <w:lang w:eastAsia="zh-CN"/>
              </w:rPr>
              <w:t>厂</w:t>
            </w:r>
            <w:r>
              <w:rPr>
                <w:rFonts w:hint="default" w:ascii="Times New Roman" w:hAnsi="Times New Roman" w:eastAsia="仿宋" w:cs="Times New Roman"/>
                <w:color w:val="auto"/>
                <w:spacing w:val="3"/>
              </w:rPr>
              <w:t>界噪声满足《工业企业厂界环境噪声排放标准》（GB12348-2008）中2类标准，避免对场址区域造成噪声污染。保护本项目建成后区域声环境依旧满足《声环境质量标准》（GB3096-2008）中的2类要求。</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w:t>
            </w:r>
            <w:r>
              <w:rPr>
                <w:rFonts w:hint="eastAsia" w:ascii="Times New Roman" w:hAnsi="Times New Roman" w:eastAsia="仿宋" w:cs="Times New Roman"/>
                <w:color w:val="auto"/>
                <w:spacing w:val="3"/>
                <w:lang w:val="en-US" w:eastAsia="zh-CN"/>
              </w:rPr>
              <w:t>3</w:t>
            </w:r>
            <w:r>
              <w:rPr>
                <w:rFonts w:hint="default" w:ascii="Times New Roman" w:hAnsi="Times New Roman" w:eastAsia="仿宋" w:cs="Times New Roman"/>
                <w:color w:val="auto"/>
                <w:spacing w:val="3"/>
              </w:rPr>
              <w:t>）妥善处理生活垃圾，统一收集，定期运送至生活垃圾填埋场处理。一般工业固体废弃物处理和处置按照</w:t>
            </w:r>
            <w:r>
              <w:rPr>
                <w:rFonts w:hint="default" w:ascii="Times New Roman" w:hAnsi="Times New Roman" w:eastAsia="仿宋" w:cs="Times New Roman"/>
                <w:color w:val="auto"/>
                <w:spacing w:val="0"/>
                <w:sz w:val="24"/>
                <w:szCs w:val="24"/>
                <w:lang w:val="en-US" w:eastAsia="zh-CN"/>
              </w:rPr>
              <w:t>《一般工业固体废物贮存和填埋污染控制标准》（GB18599-2020）</w:t>
            </w:r>
            <w:r>
              <w:rPr>
                <w:rFonts w:hint="default" w:ascii="Times New Roman" w:hAnsi="Times New Roman" w:eastAsia="仿宋" w:cs="Times New Roman"/>
                <w:color w:val="auto"/>
                <w:spacing w:val="3"/>
              </w:rPr>
              <w:t>。</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w:t>
            </w:r>
            <w:r>
              <w:rPr>
                <w:rFonts w:hint="eastAsia" w:ascii="Times New Roman" w:hAnsi="Times New Roman" w:eastAsia="仿宋" w:cs="Times New Roman"/>
                <w:color w:val="auto"/>
                <w:spacing w:val="3"/>
                <w:lang w:val="en-US" w:eastAsia="zh-CN"/>
              </w:rPr>
              <w:t>4</w:t>
            </w:r>
            <w:r>
              <w:rPr>
                <w:rFonts w:hint="default" w:ascii="Times New Roman" w:hAnsi="Times New Roman" w:eastAsia="仿宋" w:cs="Times New Roman"/>
                <w:color w:val="auto"/>
                <w:spacing w:val="3"/>
              </w:rPr>
              <w:t>）矿区及外围生态环境功能不因矿山开发及运行受到显著影响，尽量减少项目占地破坏，最大限度减少地形地貌破坏，保护动物、植物、土壤等生态因子，保持生态系统的完整性与稳定性，尽量减少工程诱发的水土流失，并采取措施加以控制。</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Align w:val="center"/>
          </w:tcPr>
          <w:p>
            <w:pPr>
              <w:adjustRightInd w:val="0"/>
              <w:snapToGrid w:val="0"/>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评价</w:t>
            </w:r>
          </w:p>
          <w:p>
            <w:pPr>
              <w:adjustRightInd w:val="0"/>
              <w:snapToGrid w:val="0"/>
              <w:ind w:firstLine="0" w:firstLineChars="0"/>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Cs w:val="21"/>
              </w:rPr>
              <w:t>标准</w:t>
            </w:r>
          </w:p>
        </w:tc>
        <w:tc>
          <w:tcPr>
            <w:tcW w:w="8329" w:type="dxa"/>
            <w:vAlign w:val="center"/>
          </w:tcPr>
          <w:p>
            <w:pPr>
              <w:pStyle w:val="4"/>
              <w:keepNext/>
              <w:keepLines/>
              <w:pageBreakBefore w:val="0"/>
              <w:widowControl w:val="0"/>
              <w:kinsoku/>
              <w:wordWrap/>
              <w:overflowPunct/>
              <w:topLinePunct w:val="0"/>
              <w:autoSpaceDE/>
              <w:autoSpaceDN/>
              <w:bidi w:val="0"/>
              <w:adjustRightInd/>
              <w:snapToGrid/>
              <w:spacing w:before="157" w:beforeLines="50" w:line="440" w:lineRule="exact"/>
              <w:ind w:left="0" w:leftChars="0" w:firstLine="0" w:firstLineChars="0"/>
              <w:textAlignment w:val="auto"/>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1、环境质量</w:t>
            </w:r>
          </w:p>
          <w:p>
            <w:pPr>
              <w:pStyle w:val="62"/>
              <w:pageBreakBefore w:val="0"/>
              <w:widowControl w:val="0"/>
              <w:kinsoku/>
              <w:wordWrap/>
              <w:overflowPunct/>
              <w:topLinePunct w:val="0"/>
              <w:autoSpaceDE/>
              <w:autoSpaceDN/>
              <w:bidi w:val="0"/>
              <w:spacing w:line="440" w:lineRule="exact"/>
              <w:ind w:left="832" w:leftChars="282" w:hanging="240" w:hangingChars="100"/>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（1）《环境空气质量标准》（GB 3095-2012）修改单中的二级标准</w:t>
            </w:r>
            <w:r>
              <w:rPr>
                <w:rFonts w:hint="eastAsia" w:ascii="Times New Roman" w:hAnsi="Times New Roman" w:eastAsia="仿宋" w:cs="Times New Roman"/>
                <w:color w:val="auto"/>
                <w:spacing w:val="0"/>
                <w:sz w:val="24"/>
                <w:szCs w:val="24"/>
                <w:lang w:val="en-US" w:eastAsia="zh-CN"/>
              </w:rPr>
              <w:t>；</w:t>
            </w:r>
          </w:p>
          <w:p>
            <w:pPr>
              <w:pStyle w:val="62"/>
              <w:pageBreakBefore w:val="0"/>
              <w:widowControl w:val="0"/>
              <w:kinsoku/>
              <w:wordWrap/>
              <w:overflowPunct/>
              <w:topLinePunct w:val="0"/>
              <w:autoSpaceDE/>
              <w:autoSpaceDN/>
              <w:bidi w:val="0"/>
              <w:spacing w:line="440" w:lineRule="exact"/>
              <w:ind w:left="832" w:leftChars="282" w:hanging="240" w:hangingChars="100"/>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（2）《声环境质量标准》（GB3096-2008）中2类标准。</w:t>
            </w:r>
          </w:p>
          <w:p>
            <w:pPr>
              <w:pStyle w:val="4"/>
              <w:pageBreakBefore w:val="0"/>
              <w:widowControl w:val="0"/>
              <w:kinsoku/>
              <w:wordWrap/>
              <w:overflowPunct/>
              <w:topLinePunct w:val="0"/>
              <w:autoSpaceDE/>
              <w:autoSpaceDN/>
              <w:bidi w:val="0"/>
              <w:spacing w:line="440" w:lineRule="exact"/>
              <w:ind w:left="0" w:leftChars="0" w:firstLine="0" w:firstLineChars="0"/>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2、污染物排放标准</w:t>
            </w:r>
          </w:p>
          <w:p>
            <w:pPr>
              <w:pStyle w:val="62"/>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（1）废气</w:t>
            </w:r>
          </w:p>
          <w:p>
            <w:pPr>
              <w:pStyle w:val="62"/>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粉尘：排放标准执行《大气污染物综合排放标准》（GB16297-96）表2中无组织排放监控浓度限值，具体标准值见表3-</w:t>
            </w:r>
            <w:r>
              <w:rPr>
                <w:rFonts w:hint="eastAsia" w:eastAsia="仿宋" w:cs="Times New Roman"/>
                <w:color w:val="auto"/>
                <w:spacing w:val="0"/>
                <w:sz w:val="24"/>
                <w:szCs w:val="24"/>
                <w:lang w:val="en-US" w:eastAsia="zh-CN"/>
              </w:rPr>
              <w:t>7</w:t>
            </w:r>
            <w:r>
              <w:rPr>
                <w:rFonts w:hint="default" w:ascii="Times New Roman" w:hAnsi="Times New Roman" w:eastAsia="仿宋" w:cs="Times New Roman"/>
                <w:color w:val="auto"/>
                <w:spacing w:val="0"/>
                <w:sz w:val="24"/>
                <w:szCs w:val="24"/>
                <w:lang w:val="en-US" w:eastAsia="zh-CN"/>
              </w:rPr>
              <w:t>。</w:t>
            </w:r>
          </w:p>
          <w:p>
            <w:pPr>
              <w:pStyle w:val="62"/>
              <w:pageBreakBefore w:val="0"/>
              <w:widowControl w:val="0"/>
              <w:kinsoku/>
              <w:wordWrap/>
              <w:overflowPunct/>
              <w:topLinePunct w:val="0"/>
              <w:autoSpaceDE/>
              <w:autoSpaceDN/>
              <w:bidi w:val="0"/>
              <w:spacing w:line="360" w:lineRule="auto"/>
              <w:jc w:val="center"/>
              <w:rPr>
                <w:rFonts w:hint="default" w:ascii="Times New Roman" w:hAnsi="Times New Roman" w:eastAsia="仿宋" w:cs="Times New Roman"/>
                <w:b/>
                <w:bCs/>
                <w:color w:val="auto"/>
                <w:spacing w:val="0"/>
                <w:sz w:val="21"/>
                <w:szCs w:val="21"/>
                <w:lang w:val="en-US" w:eastAsia="zh-CN"/>
              </w:rPr>
            </w:pPr>
            <w:r>
              <w:rPr>
                <w:rFonts w:hint="default" w:ascii="Times New Roman" w:hAnsi="Times New Roman" w:eastAsia="仿宋" w:cs="Times New Roman"/>
                <w:b/>
                <w:bCs/>
                <w:color w:val="auto"/>
                <w:spacing w:val="0"/>
                <w:sz w:val="21"/>
                <w:szCs w:val="21"/>
                <w:lang w:val="en-US" w:eastAsia="zh-CN"/>
              </w:rPr>
              <w:t>表3-</w:t>
            </w:r>
            <w:r>
              <w:rPr>
                <w:rFonts w:hint="eastAsia" w:eastAsia="仿宋" w:cs="Times New Roman"/>
                <w:b/>
                <w:bCs/>
                <w:color w:val="auto"/>
                <w:spacing w:val="0"/>
                <w:sz w:val="21"/>
                <w:szCs w:val="21"/>
                <w:lang w:val="en-US" w:eastAsia="zh-CN"/>
              </w:rPr>
              <w:t>7</w:t>
            </w:r>
            <w:r>
              <w:rPr>
                <w:rFonts w:hint="default" w:ascii="Times New Roman" w:hAnsi="Times New Roman" w:eastAsia="仿宋" w:cs="Times New Roman"/>
                <w:b/>
                <w:bCs/>
                <w:color w:val="auto"/>
                <w:spacing w:val="0"/>
                <w:sz w:val="21"/>
                <w:szCs w:val="21"/>
                <w:lang w:val="en-US" w:eastAsia="zh-CN"/>
              </w:rPr>
              <w:t>《大气污染物综合排放标准》</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2604"/>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06" w:type="pct"/>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污染物</w:t>
                  </w:r>
                </w:p>
              </w:tc>
              <w:tc>
                <w:tcPr>
                  <w:tcW w:w="3393"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kern w:val="0"/>
                      <w:sz w:val="21"/>
                      <w:szCs w:val="21"/>
                      <w:lang w:val="en-US" w:eastAsia="zh-CN" w:bidi="ar"/>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pct"/>
                  <w:vMerge w:val="restart"/>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颗粒物</w:t>
                  </w:r>
                </w:p>
              </w:tc>
              <w:tc>
                <w:tcPr>
                  <w:tcW w:w="1607" w:type="pct"/>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监控点</w:t>
                  </w:r>
                </w:p>
              </w:tc>
              <w:tc>
                <w:tcPr>
                  <w:tcW w:w="1785" w:type="pct"/>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浓度限值（mg/m</w:t>
                  </w:r>
                  <w:r>
                    <w:rPr>
                      <w:rFonts w:hint="default" w:ascii="Times New Roman" w:hAnsi="Times New Roman" w:eastAsia="仿宋" w:cs="Times New Roman"/>
                      <w:color w:val="auto"/>
                      <w:spacing w:val="0"/>
                      <w:sz w:val="21"/>
                      <w:szCs w:val="21"/>
                      <w:vertAlign w:val="superscript"/>
                      <w:lang w:val="en-US" w:eastAsia="zh-CN"/>
                    </w:rPr>
                    <w:t>3</w:t>
                  </w:r>
                  <w:r>
                    <w:rPr>
                      <w:rFonts w:hint="default" w:ascii="Times New Roman" w:hAnsi="Times New Roman" w:eastAsia="仿宋" w:cs="Times New Roman"/>
                      <w:color w:val="auto"/>
                      <w:spacing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pct"/>
                  <w:vMerge w:val="continue"/>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p>
              </w:tc>
              <w:tc>
                <w:tcPr>
                  <w:tcW w:w="160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kern w:val="0"/>
                      <w:sz w:val="21"/>
                      <w:szCs w:val="21"/>
                      <w:lang w:val="en-US" w:eastAsia="zh-CN" w:bidi="ar"/>
                    </w:rPr>
                    <w:t>周界外浓度最高点</w:t>
                  </w:r>
                </w:p>
              </w:tc>
              <w:tc>
                <w:tcPr>
                  <w:tcW w:w="1785" w:type="pct"/>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1.0</w:t>
                  </w:r>
                </w:p>
              </w:tc>
            </w:tr>
          </w:tbl>
          <w:p>
            <w:pPr>
              <w:pStyle w:val="62"/>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w:t>
            </w:r>
            <w:r>
              <w:rPr>
                <w:rFonts w:hint="eastAsia" w:eastAsia="仿宋" w:cs="Times New Roman"/>
                <w:color w:val="auto"/>
                <w:spacing w:val="0"/>
                <w:sz w:val="24"/>
                <w:szCs w:val="24"/>
                <w:lang w:val="en-US" w:eastAsia="zh-CN"/>
              </w:rPr>
              <w:t>2</w:t>
            </w:r>
            <w:r>
              <w:rPr>
                <w:rFonts w:hint="default" w:ascii="Times New Roman" w:hAnsi="Times New Roman" w:eastAsia="仿宋" w:cs="Times New Roman"/>
                <w:color w:val="auto"/>
                <w:spacing w:val="0"/>
                <w:sz w:val="24"/>
                <w:szCs w:val="24"/>
                <w:lang w:val="en-US" w:eastAsia="zh-CN"/>
              </w:rPr>
              <w:t>）噪声</w:t>
            </w:r>
          </w:p>
          <w:p>
            <w:pPr>
              <w:pStyle w:val="62"/>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施工期噪声执行《建筑施工场界环境噪声排放标准》（GB12523-2011）中各阶段标准，即昼间70dB（A）、夜间55dB（A）；项目运营期噪声执行</w:t>
            </w:r>
            <w:r>
              <w:rPr>
                <w:rFonts w:hint="default" w:ascii="Times New Roman" w:hAnsi="Times New Roman" w:eastAsia="仿宋" w:cs="Times New Roman"/>
                <w:color w:val="auto"/>
              </w:rPr>
              <w:t>《工业企业厂界环境噪声排放标准》（GB12348-2008）中</w:t>
            </w:r>
            <w:r>
              <w:rPr>
                <w:rFonts w:hint="default" w:ascii="Times New Roman" w:hAnsi="Times New Roman" w:eastAsia="仿宋" w:cs="Times New Roman"/>
                <w:color w:val="auto"/>
                <w:lang w:val="en-US" w:eastAsia="zh-CN"/>
              </w:rPr>
              <w:t>2</w:t>
            </w:r>
            <w:r>
              <w:rPr>
                <w:rFonts w:hint="default" w:ascii="Times New Roman" w:hAnsi="Times New Roman" w:eastAsia="仿宋" w:cs="Times New Roman"/>
                <w:color w:val="auto"/>
              </w:rPr>
              <w:t>类标准</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lang w:val="en-US" w:eastAsia="zh-CN"/>
              </w:rPr>
              <w:t>即</w:t>
            </w:r>
            <w:r>
              <w:rPr>
                <w:rFonts w:hint="default" w:ascii="Times New Roman" w:hAnsi="Times New Roman" w:eastAsia="仿宋" w:cs="Times New Roman"/>
                <w:color w:val="auto"/>
                <w:spacing w:val="0"/>
                <w:sz w:val="24"/>
                <w:szCs w:val="24"/>
                <w:lang w:val="en-US" w:eastAsia="zh-CN"/>
              </w:rPr>
              <w:t>昼间60dB（A）、夜间50dB（A）。</w:t>
            </w:r>
          </w:p>
          <w:p>
            <w:pPr>
              <w:pStyle w:val="62"/>
              <w:bidi w:val="0"/>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w:t>
            </w:r>
            <w:r>
              <w:rPr>
                <w:rFonts w:hint="eastAsia" w:eastAsia="仿宋" w:cs="Times New Roman"/>
                <w:color w:val="auto"/>
                <w:spacing w:val="0"/>
                <w:sz w:val="24"/>
                <w:szCs w:val="24"/>
                <w:lang w:val="en-US" w:eastAsia="zh-CN"/>
              </w:rPr>
              <w:t>3</w:t>
            </w:r>
            <w:r>
              <w:rPr>
                <w:rFonts w:hint="default" w:ascii="Times New Roman" w:hAnsi="Times New Roman" w:eastAsia="仿宋" w:cs="Times New Roman"/>
                <w:color w:val="auto"/>
                <w:spacing w:val="0"/>
                <w:sz w:val="24"/>
                <w:szCs w:val="24"/>
                <w:lang w:val="en-US" w:eastAsia="zh-CN"/>
              </w:rPr>
              <w:t>）固废</w:t>
            </w:r>
          </w:p>
          <w:p>
            <w:pPr>
              <w:pStyle w:val="62"/>
              <w:bidi w:val="0"/>
              <w:jc w:val="both"/>
              <w:rPr>
                <w:rFonts w:hint="default" w:ascii="Times New Roman" w:hAnsi="Times New Roman" w:eastAsia="仿宋" w:cs="Times New Roman"/>
                <w:color w:val="auto"/>
              </w:rPr>
            </w:pPr>
            <w:r>
              <w:rPr>
                <w:rFonts w:hint="default" w:ascii="Times New Roman" w:hAnsi="Times New Roman" w:eastAsia="仿宋" w:cs="Times New Roman"/>
                <w:color w:val="auto"/>
                <w:spacing w:val="0"/>
                <w:sz w:val="24"/>
                <w:szCs w:val="24"/>
                <w:lang w:val="en-US" w:eastAsia="zh-CN"/>
              </w:rPr>
              <w:t>本项目产生的一般工业固体废物贮存和处置评价采用《一般工业固体废物贮存和填埋污染控制标准》（GB18599-2020）。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Align w:val="center"/>
          </w:tcPr>
          <w:p>
            <w:pPr>
              <w:adjustRightInd w:val="0"/>
              <w:snapToGrid w:val="0"/>
              <w:ind w:firstLine="0" w:firstLineChars="0"/>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其他</w:t>
            </w:r>
          </w:p>
        </w:tc>
        <w:tc>
          <w:tcPr>
            <w:tcW w:w="8329" w:type="dxa"/>
            <w:vAlign w:val="center"/>
          </w:tcPr>
          <w:p>
            <w:pPr>
              <w:keepNext w:val="0"/>
              <w:keepLines w:val="0"/>
              <w:pageBreakBefore w:val="0"/>
              <w:widowControl w:val="0"/>
              <w:kinsoku/>
              <w:wordWrap/>
              <w:overflowPunct/>
              <w:topLinePunct w:val="0"/>
              <w:autoSpaceDE/>
              <w:autoSpaceDN/>
              <w:bidi w:val="0"/>
              <w:adjustRightInd w:val="0"/>
              <w:snapToGrid w:val="0"/>
              <w:spacing w:before="157" w:beforeLines="50"/>
              <w:ind w:firstLine="420"/>
              <w:jc w:val="left"/>
              <w:textAlignment w:val="auto"/>
              <w:rPr>
                <w:rFonts w:hint="default"/>
                <w:color w:val="auto"/>
              </w:rPr>
            </w:pPr>
            <w:r>
              <w:rPr>
                <w:rFonts w:hint="default" w:ascii="Times New Roman" w:hAnsi="Times New Roman" w:eastAsia="仿宋" w:cs="Times New Roman"/>
                <w:color w:val="auto"/>
                <w:kern w:val="0"/>
                <w:sz w:val="24"/>
                <w:szCs w:val="24"/>
              </w:rPr>
              <w:t>结合本项目所在区域的环境特征，生产过程主要为颗粒物的排放，本项目生产无外排废水，不设置污染物排放总量控制因子。</w:t>
            </w:r>
          </w:p>
        </w:tc>
      </w:tr>
    </w:tbl>
    <w:p>
      <w:pPr>
        <w:pStyle w:val="20"/>
        <w:spacing w:line="240" w:lineRule="auto"/>
        <w:ind w:firstLine="0" w:firstLineChars="0"/>
        <w:jc w:val="center"/>
        <w:outlineLvl w:val="0"/>
        <w:rPr>
          <w:rFonts w:hint="default" w:ascii="Times New Roman" w:hAnsi="Times New Roman" w:eastAsia="仿宋" w:cs="Times New Roman"/>
          <w:snapToGrid w:val="0"/>
          <w:color w:val="auto"/>
          <w:kern w:val="2"/>
          <w:sz w:val="36"/>
          <w:szCs w:val="36"/>
        </w:rPr>
        <w:sectPr>
          <w:pgSz w:w="11906" w:h="16838"/>
          <w:pgMar w:top="1417" w:right="1417" w:bottom="1417" w:left="1417" w:header="851" w:footer="964" w:gutter="0"/>
          <w:pgBorders>
            <w:top w:val="none" w:sz="0" w:space="0"/>
            <w:left w:val="none" w:sz="0" w:space="0"/>
            <w:bottom w:val="none" w:sz="0" w:space="0"/>
            <w:right w:val="none" w:sz="0" w:space="0"/>
          </w:pgBorders>
          <w:pgNumType w:fmt="numberInDash"/>
          <w:cols w:space="0" w:num="1"/>
          <w:docGrid w:linePitch="312" w:charSpace="0"/>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四、生态环境影响分析</w:t>
      </w:r>
    </w:p>
    <w:tbl>
      <w:tblPr>
        <w:tblStyle w:val="25"/>
        <w:tblW w:w="91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85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26" w:hRule="atLeast"/>
          <w:jc w:val="center"/>
        </w:trPr>
        <w:tc>
          <w:tcPr>
            <w:tcW w:w="621" w:type="dxa"/>
            <w:tcMar>
              <w:left w:w="28" w:type="dxa"/>
              <w:right w:w="28" w:type="dxa"/>
            </w:tcMar>
            <w:vAlign w:val="center"/>
          </w:tcPr>
          <w:p>
            <w:pPr>
              <w:pStyle w:val="20"/>
              <w:adjustRightInd w:val="0"/>
              <w:snapToGrid w:val="0"/>
              <w:spacing w:before="0" w:beforeAutospacing="0" w:after="0" w:afterAutospacing="0" w:line="240" w:lineRule="auto"/>
              <w:ind w:firstLine="0" w:firstLineChars="0"/>
              <w:jc w:val="center"/>
              <w:rPr>
                <w:rFonts w:hint="default" w:ascii="Times New Roman" w:hAnsi="Times New Roman" w:eastAsia="仿宋" w:cs="Times New Roman"/>
                <w:bCs/>
                <w:color w:val="auto"/>
                <w:kern w:val="2"/>
                <w:sz w:val="21"/>
                <w:szCs w:val="21"/>
              </w:rPr>
            </w:pPr>
            <w:bookmarkStart w:id="1" w:name="_Hlk49796138"/>
            <w:r>
              <w:rPr>
                <w:rFonts w:hint="default" w:ascii="Times New Roman" w:hAnsi="Times New Roman" w:eastAsia="仿宋" w:cs="Times New Roman"/>
                <w:bCs/>
                <w:color w:val="auto"/>
                <w:spacing w:val="10"/>
                <w:kern w:val="2"/>
                <w:sz w:val="21"/>
                <w:szCs w:val="21"/>
              </w:rPr>
              <w:t>施工期生态环境影响分析</w:t>
            </w:r>
            <w:bookmarkEnd w:id="1"/>
          </w:p>
        </w:tc>
        <w:tc>
          <w:tcPr>
            <w:tcW w:w="8558" w:type="dxa"/>
          </w:tcPr>
          <w:p>
            <w:pPr>
              <w:keepNext w:val="0"/>
              <w:keepLines w:val="0"/>
              <w:pageBreakBefore w:val="0"/>
              <w:widowControl w:val="0"/>
              <w:kinsoku/>
              <w:wordWrap/>
              <w:overflowPunct/>
              <w:topLinePunct w:val="0"/>
              <w:autoSpaceDE/>
              <w:autoSpaceDN/>
              <w:bidi w:val="0"/>
              <w:adjustRightInd w:val="0"/>
              <w:snapToGrid w:val="0"/>
              <w:spacing w:before="157" w:beforeLines="50"/>
              <w:ind w:firstLine="422"/>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1、生态环境影响分析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本工程的建设使土地利用格局发生变化。工程建设对区域生态体系稳定性影响的主要途径是地表扰动。对区域景观的影响随着项目开发建设，挖毁地貌、修建人工设施、废弃物堆置、地表变形等景观格局的变化，使区域固有的自然生态功能部分丧失。同时，产生了水土流失、污染生态问题。而且随着时间的推移和建设规模的扩大，这种景观结构的变化有可能不断延伸、扩大。总而言之，本项目的建设将导致项目所在区域景观生态结构与功能的变化。同时，还会引起项目区内环境质量有所变化。具体表现在以下几方面：</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①</w:t>
            </w:r>
            <w:r>
              <w:rPr>
                <w:rFonts w:hint="default" w:ascii="Times New Roman" w:hAnsi="Times New Roman" w:eastAsia="仿宋" w:cs="Times New Roman"/>
                <w:b w:val="0"/>
                <w:bCs w:val="0"/>
                <w:color w:val="auto"/>
                <w:sz w:val="24"/>
                <w:szCs w:val="24"/>
              </w:rPr>
              <w:t>项目施工期主要生态环境影响为占地、植被破坏、水土流失以及对野生动物的</w:t>
            </w:r>
            <w:r>
              <w:rPr>
                <w:rFonts w:hint="default" w:ascii="Times New Roman" w:hAnsi="Times New Roman" w:eastAsia="仿宋" w:cs="Times New Roman"/>
                <w:b w:val="0"/>
                <w:bCs w:val="0"/>
                <w:color w:val="auto"/>
                <w:sz w:val="24"/>
                <w:szCs w:val="24"/>
                <w:lang w:eastAsia="zh-CN"/>
              </w:rPr>
              <w:t>侵扰</w:t>
            </w:r>
            <w:r>
              <w:rPr>
                <w:rFonts w:hint="default" w:ascii="Times New Roman" w:hAnsi="Times New Roman" w:eastAsia="仿宋" w:cs="Times New Roman"/>
                <w:b w:val="0"/>
                <w:bCs w:val="0"/>
                <w:color w:val="auto"/>
                <w:sz w:val="24"/>
                <w:szCs w:val="24"/>
              </w:rPr>
              <w:t>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②</w:t>
            </w:r>
            <w:r>
              <w:rPr>
                <w:rFonts w:hint="default" w:ascii="Times New Roman" w:hAnsi="Times New Roman" w:eastAsia="仿宋" w:cs="Times New Roman"/>
                <w:b w:val="0"/>
                <w:bCs w:val="0"/>
                <w:color w:val="auto"/>
                <w:sz w:val="24"/>
                <w:szCs w:val="24"/>
              </w:rPr>
              <w:t>矿区采矿场及环保设施建设，占用土地、破坏植被，造成水土流失。</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③</w:t>
            </w:r>
            <w:r>
              <w:rPr>
                <w:rFonts w:hint="default" w:ascii="Times New Roman" w:hAnsi="Times New Roman" w:eastAsia="仿宋" w:cs="Times New Roman"/>
                <w:b w:val="0"/>
                <w:bCs w:val="0"/>
                <w:color w:val="auto"/>
                <w:sz w:val="24"/>
                <w:szCs w:val="24"/>
              </w:rPr>
              <w:t>改变地面生物生存环境。</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④</w:t>
            </w:r>
            <w:r>
              <w:rPr>
                <w:rFonts w:hint="default" w:ascii="Times New Roman" w:hAnsi="Times New Roman" w:eastAsia="仿宋" w:cs="Times New Roman"/>
                <w:b w:val="0"/>
                <w:bCs w:val="0"/>
                <w:color w:val="auto"/>
                <w:sz w:val="24"/>
                <w:szCs w:val="24"/>
              </w:rPr>
              <w:t>生态景观发生改变。</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1</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工程占地影响分析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①</w:t>
            </w:r>
            <w:r>
              <w:rPr>
                <w:rFonts w:hint="default" w:ascii="Times New Roman" w:hAnsi="Times New Roman" w:eastAsia="仿宋" w:cs="Times New Roman"/>
                <w:b w:val="0"/>
                <w:bCs w:val="0"/>
                <w:color w:val="auto"/>
                <w:sz w:val="24"/>
                <w:szCs w:val="24"/>
              </w:rPr>
              <w:t>临时占地</w:t>
            </w:r>
          </w:p>
          <w:p>
            <w:pPr>
              <w:adjustRightInd w:val="0"/>
              <w:snapToGrid w:val="0"/>
              <w:ind w:firstLine="422"/>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rPr>
              <w:t>临时占地包括工程建设期间临时征用的所有土地，主要为临时运输道路等占地，施工结束后将恢复现有的使用功能。</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②</w:t>
            </w:r>
            <w:r>
              <w:rPr>
                <w:rFonts w:hint="default" w:ascii="Times New Roman" w:hAnsi="Times New Roman" w:eastAsia="仿宋" w:cs="Times New Roman"/>
                <w:b w:val="0"/>
                <w:bCs w:val="0"/>
                <w:color w:val="auto"/>
                <w:sz w:val="24"/>
                <w:szCs w:val="24"/>
              </w:rPr>
              <w:t>永久占地</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永久压占土地类型为</w:t>
            </w:r>
            <w:r>
              <w:rPr>
                <w:rFonts w:hint="default" w:ascii="Times New Roman" w:hAnsi="Times New Roman" w:eastAsia="仿宋" w:cs="Times New Roman"/>
                <w:b w:val="0"/>
                <w:bCs w:val="0"/>
                <w:color w:val="auto"/>
                <w:sz w:val="24"/>
                <w:szCs w:val="24"/>
                <w:lang w:eastAsia="zh-CN"/>
              </w:rPr>
              <w:t>裸岩石砾地</w:t>
            </w:r>
            <w:r>
              <w:rPr>
                <w:rFonts w:hint="default" w:ascii="Times New Roman" w:hAnsi="Times New Roman" w:eastAsia="仿宋" w:cs="Times New Roman"/>
                <w:b w:val="0"/>
                <w:bCs w:val="0"/>
                <w:color w:val="auto"/>
                <w:sz w:val="24"/>
                <w:szCs w:val="24"/>
              </w:rPr>
              <w:t>，因这部分破坏的土地长时间不能达到恢复，可视为长期影响。矿山主体工程和配套工程建设将使区域内的裸岩石砾地被建设用地和交通用地所替代。因此，总的说来项目在施工期将使区域土地利用格局发生了变化。</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2</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施工期土壤环境影响分析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zh-CN"/>
              </w:rPr>
              <w:t>项目所在区域土壤类型为砂质棕漠土，植被稀少，土地贫瘠，有机质含量低。</w:t>
            </w:r>
            <w:r>
              <w:rPr>
                <w:rFonts w:hint="default" w:ascii="Times New Roman" w:hAnsi="Times New Roman" w:eastAsia="仿宋" w:cs="Times New Roman"/>
                <w:b w:val="0"/>
                <w:bCs w:val="0"/>
                <w:color w:val="auto"/>
                <w:sz w:val="24"/>
                <w:szCs w:val="24"/>
              </w:rPr>
              <w:t>矿区内各种施工活动的临时占地如施工带平整、矿区开拓、作业道路的修建和辅助系统等工程施工占地，对实施区域的土壤环境造成局部性破坏和干扰，不同程度地破坏了局部区域土壤结构，扰乱地表土壤层。根据类比调查和有关资料，此类活动将使土壤有机质降低，影响土壤结构，降低土壤养分。此外，施工中机械碾压、人员践踏、土体翻出堆放地表等，也会造成一定区域内的土壤板结，使土壤生产能力降低。施工回填后剩余的土方造成土壤松散，易引起水土流失，导致土壤中养分的损失。</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施工过程中，各种机械设备和车辆排放的废气与油污、丢弃的固体废物、施工机具车辆的</w:t>
            </w:r>
            <w:r>
              <w:rPr>
                <w:rFonts w:hint="default" w:ascii="Times New Roman" w:hAnsi="Times New Roman" w:eastAsia="仿宋" w:cs="Times New Roman"/>
                <w:b w:val="0"/>
                <w:bCs w:val="0"/>
                <w:color w:val="auto"/>
                <w:sz w:val="24"/>
                <w:szCs w:val="24"/>
                <w:lang w:val="en-US" w:eastAsia="zh-CN"/>
              </w:rPr>
              <w:t>清洗</w:t>
            </w:r>
            <w:r>
              <w:rPr>
                <w:rFonts w:hint="default" w:ascii="Times New Roman" w:hAnsi="Times New Roman" w:eastAsia="仿宋" w:cs="Times New Roman"/>
                <w:b w:val="0"/>
                <w:bCs w:val="0"/>
                <w:color w:val="auto"/>
                <w:sz w:val="24"/>
                <w:szCs w:val="24"/>
              </w:rPr>
              <w:t>污水、临时生活点排放的生活污水等，也将对土壤环境产生一定的影响。</w:t>
            </w:r>
          </w:p>
          <w:p>
            <w:pPr>
              <w:adjustRightInd w:val="0"/>
              <w:snapToGrid w:val="0"/>
              <w:ind w:firstLine="422"/>
              <w:rPr>
                <w:rFonts w:hint="default" w:ascii="Times New Roman" w:hAnsi="Times New Roman" w:eastAsia="仿宋" w:cs="Times New Roman"/>
                <w:b w:val="0"/>
                <w:bCs w:val="0"/>
                <w:color w:val="auto"/>
                <w:sz w:val="24"/>
                <w:szCs w:val="24"/>
                <w:lang w:val="zh-CN"/>
              </w:rPr>
            </w:pPr>
            <w:r>
              <w:rPr>
                <w:rFonts w:hint="default" w:ascii="Times New Roman" w:hAnsi="Times New Roman" w:eastAsia="仿宋" w:cs="Times New Roman"/>
                <w:b w:val="0"/>
                <w:bCs w:val="0"/>
                <w:color w:val="auto"/>
                <w:sz w:val="24"/>
                <w:szCs w:val="24"/>
              </w:rPr>
              <w:t>项目永久占地，地表土壤在施工过程中将彻底清除或被覆盖，施工结束后被水泥建构物等替代，从而根本上改变了所占区域地表覆盖层类型和性质，地表土壤永久不可恢复。</w:t>
            </w:r>
            <w:r>
              <w:rPr>
                <w:rFonts w:hint="default" w:ascii="Times New Roman" w:hAnsi="Times New Roman" w:eastAsia="仿宋" w:cs="Times New Roman"/>
                <w:b w:val="0"/>
                <w:bCs w:val="0"/>
                <w:color w:val="auto"/>
                <w:sz w:val="24"/>
                <w:szCs w:val="24"/>
                <w:lang w:val="zh-CN"/>
              </w:rPr>
              <w:t>项目永久占地面积较小，对区域土壤环境影响较小。</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（3）对土壤侵蚀的影响分析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清理露天开采地表、矿区道路建设、服务设施建设等工程，要进行开挖地表和地面建设，造成施工区域内的地表扰动，从而新增一定量的土壤侵蚀。除此之外矿区范围内其他临时占地也将不可避免的扰动原有相对稳定的地表，使土壤变得疏松，产生一定面积的裸露地面，造成新增水土流失。施工过程中产生的弃土也将导致新的水土流失。施工期对原生地表的扰动和破坏是不可避免的，引起一定程度的土壤侵蚀。</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4</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施工期对植被的影响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施工期</w:t>
            </w:r>
            <w:r>
              <w:rPr>
                <w:rFonts w:hint="default" w:ascii="Times New Roman" w:hAnsi="Times New Roman" w:eastAsia="仿宋" w:cs="Times New Roman"/>
                <w:b w:val="0"/>
                <w:bCs w:val="0"/>
                <w:color w:val="auto"/>
                <w:sz w:val="24"/>
                <w:szCs w:val="24"/>
              </w:rPr>
              <w:t>占地会对占地范围内的植被造成影响，但在人工措施的辅助下可以逐步得到恢复。由于本项目区基本为荒漠草原地带，植被稀少，这些植被均为区域的优势种，分布广泛，适应环境能力较强，因此拟建项目的建设不会造成该区段的生物量大量减少，亦不会造成物种丧失和生物多样性下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w:t>
            </w:r>
            <w:r>
              <w:rPr>
                <w:rFonts w:hint="default" w:ascii="Times New Roman" w:hAnsi="Times New Roman" w:eastAsia="仿宋" w:cs="Times New Roman"/>
                <w:b w:val="0"/>
                <w:bCs w:val="0"/>
                <w:color w:val="auto"/>
                <w:sz w:val="24"/>
                <w:szCs w:val="24"/>
                <w:lang w:val="en-US" w:eastAsia="zh-CN"/>
              </w:rPr>
              <w:t>5</w:t>
            </w:r>
            <w:r>
              <w:rPr>
                <w:rFonts w:hint="default" w:ascii="Times New Roman" w:hAnsi="Times New Roman" w:eastAsia="仿宋" w:cs="Times New Roman"/>
                <w:b w:val="0"/>
                <w:bCs w:val="0"/>
                <w:color w:val="auto"/>
                <w:sz w:val="24"/>
                <w:szCs w:val="24"/>
              </w:rPr>
              <w:t>）施工活动中污染物对植物的影响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1）</w:t>
            </w:r>
            <w:r>
              <w:rPr>
                <w:rFonts w:hint="default" w:ascii="Times New Roman" w:hAnsi="Times New Roman" w:eastAsia="仿宋" w:cs="Times New Roman"/>
                <w:b w:val="0"/>
                <w:bCs w:val="0"/>
                <w:color w:val="auto"/>
                <w:sz w:val="24"/>
                <w:szCs w:val="24"/>
              </w:rPr>
              <w:t>扬尘对植被的影响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工程开发建设中的扬尘是对植物生长产生影响的因素之一，但由于该区域的自然条件使得大气中扬尘易扩散，因此在正常情况下扬尘浓度低，工期短，对植被影响很小。</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2）</w:t>
            </w:r>
            <w:r>
              <w:rPr>
                <w:rFonts w:hint="default" w:ascii="Times New Roman" w:hAnsi="Times New Roman" w:eastAsia="仿宋" w:cs="Times New Roman"/>
                <w:b w:val="0"/>
                <w:bCs w:val="0"/>
                <w:color w:val="auto"/>
                <w:sz w:val="24"/>
                <w:szCs w:val="24"/>
              </w:rPr>
              <w:t>施工期废水对植被影响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施工期由于只产生少量生活废水，不会对植被产生大的影响。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w:t>
            </w:r>
            <w:r>
              <w:rPr>
                <w:rFonts w:hint="default" w:ascii="Times New Roman" w:hAnsi="Times New Roman" w:eastAsia="仿宋" w:cs="Times New Roman"/>
                <w:b w:val="0"/>
                <w:bCs w:val="0"/>
                <w:color w:val="auto"/>
                <w:sz w:val="24"/>
                <w:szCs w:val="24"/>
                <w:lang w:val="en-US" w:eastAsia="zh-CN"/>
              </w:rPr>
              <w:t>6</w:t>
            </w:r>
            <w:r>
              <w:rPr>
                <w:rFonts w:hint="default" w:ascii="Times New Roman" w:hAnsi="Times New Roman" w:eastAsia="仿宋" w:cs="Times New Roman"/>
                <w:b w:val="0"/>
                <w:bCs w:val="0"/>
                <w:color w:val="auto"/>
                <w:sz w:val="24"/>
                <w:szCs w:val="24"/>
              </w:rPr>
              <w:t>）人为活动对植被的影响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人为活动对植被的影响主要表现为施工人员和作业机械对草本植物的践踏、碾压等，主要由于施工过程中人类践踏形成的小面积局部地段的次生裸地，多集中在临时性占地外围50m范围内，这种影响一般为短期性影响，且强度不大，施工结束，这一影响也逐渐消除。</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7</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施工期对野生动物资源影响分析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在施工过程中，由于各类机械产生的噪声和人为活动的干扰，会使野生动物如啮齿类动物和一些鸟类向外迁移，使评价区周边的局部地区动物的密度相应增加；施工噪声会对野生动物产生驱赶和惊扰作用，另外，施工人员滥捕乱猎等现象的出现，将直接影响到这一地区的某些野生动物种群数量。这种影响可通过加强对施工人员的宣传教育和管理得到消除。</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由于评价区野生动物种类较少，现有的野生动物多为一些常见的鸟类、啮齿类及昆虫等。动物在受到人为影响时均可就近迁入周边地区继续生存繁衍，因此项目建设期不会使评价区内的野生动物物种数量发生较大的变化，其种群数量也不会发生明显变化。只要加强对施工人员的管理，矿区开发对区域野生动物资源不会造成毁灭性影响。</w:t>
            </w:r>
            <w:bookmarkStart w:id="2" w:name="_Toc346113447"/>
            <w:bookmarkStart w:id="3" w:name="_Toc406434301"/>
            <w:bookmarkStart w:id="4" w:name="_Toc357066904"/>
            <w:bookmarkStart w:id="5" w:name="_Toc462191111"/>
            <w:bookmarkStart w:id="6" w:name="_Toc417381861"/>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8</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水土流失影响分析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平整施工区、矿区道路建设等工程，要进行开挖地表和地面建设，造成施工区域内的地表扰动，从而可能引起一定的土壤侵蚀。范围内其它占地也将不可避免的扰动原有相对稳定的地表，使土壤变得疏松，产生一定面积的裸露地面，造成新的水土流失。施工产生的弃土也将导致新的水土流失。施工期对原生地表的扰动和破坏是不可避免的，引起一定程度的土壤侵蚀。</w:t>
            </w:r>
          </w:p>
          <w:bookmarkEnd w:id="2"/>
          <w:bookmarkEnd w:id="3"/>
          <w:bookmarkEnd w:id="4"/>
          <w:bookmarkEnd w:id="5"/>
          <w:bookmarkEnd w:id="6"/>
          <w:p>
            <w:pPr>
              <w:adjustRightInd w:val="0"/>
              <w:snapToGrid w:val="0"/>
              <w:ind w:firstLine="422"/>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2、环境空气影响分析</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施工期产生废气主要是施工扬尘及燃油施工设备和运输车辆运行时排放废气。</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（1）施工扬尘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施工扬尘主要产生于以下施工过程：</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fldChar w:fldCharType="begin"/>
            </w:r>
            <w:r>
              <w:rPr>
                <w:rFonts w:hint="default" w:ascii="Times New Roman" w:hAnsi="Times New Roman" w:eastAsia="仿宋" w:cs="Times New Roman"/>
                <w:bCs/>
                <w:color w:val="auto"/>
                <w:sz w:val="24"/>
                <w:szCs w:val="24"/>
              </w:rPr>
              <w:instrText xml:space="preserve"> = 1 \* GB3 </w:instrText>
            </w:r>
            <w:r>
              <w:rPr>
                <w:rFonts w:hint="default" w:ascii="Times New Roman" w:hAnsi="Times New Roman" w:eastAsia="仿宋" w:cs="Times New Roman"/>
                <w:bCs/>
                <w:color w:val="auto"/>
                <w:sz w:val="24"/>
                <w:szCs w:val="24"/>
              </w:rPr>
              <w:fldChar w:fldCharType="separate"/>
            </w:r>
            <w:r>
              <w:rPr>
                <w:rFonts w:hint="default" w:ascii="Times New Roman" w:hAnsi="Times New Roman" w:eastAsia="仿宋" w:cs="Times New Roman"/>
                <w:bCs/>
                <w:color w:val="auto"/>
                <w:sz w:val="24"/>
                <w:szCs w:val="24"/>
              </w:rPr>
              <w:t>①</w:t>
            </w:r>
            <w:r>
              <w:rPr>
                <w:rFonts w:hint="default" w:ascii="Times New Roman" w:hAnsi="Times New Roman" w:eastAsia="仿宋" w:cs="Times New Roman"/>
                <w:bCs/>
                <w:color w:val="auto"/>
                <w:sz w:val="24"/>
                <w:szCs w:val="24"/>
              </w:rPr>
              <w:fldChar w:fldCharType="end"/>
            </w:r>
            <w:r>
              <w:rPr>
                <w:rFonts w:hint="default" w:ascii="Times New Roman" w:hAnsi="Times New Roman" w:eastAsia="仿宋" w:cs="Times New Roman"/>
                <w:bCs/>
                <w:color w:val="auto"/>
                <w:sz w:val="24"/>
                <w:szCs w:val="24"/>
              </w:rPr>
              <w:t>场地清理平整过程产生扬尘；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fldChar w:fldCharType="begin"/>
            </w:r>
            <w:r>
              <w:rPr>
                <w:rFonts w:hint="default" w:ascii="Times New Roman" w:hAnsi="Times New Roman" w:eastAsia="仿宋" w:cs="Times New Roman"/>
                <w:bCs/>
                <w:color w:val="auto"/>
                <w:sz w:val="24"/>
                <w:szCs w:val="24"/>
              </w:rPr>
              <w:instrText xml:space="preserve"> = 2 \* GB3 </w:instrText>
            </w:r>
            <w:r>
              <w:rPr>
                <w:rFonts w:hint="default" w:ascii="Times New Roman" w:hAnsi="Times New Roman" w:eastAsia="仿宋" w:cs="Times New Roman"/>
                <w:bCs/>
                <w:color w:val="auto"/>
                <w:sz w:val="24"/>
                <w:szCs w:val="24"/>
              </w:rPr>
              <w:fldChar w:fldCharType="separate"/>
            </w:r>
            <w:r>
              <w:rPr>
                <w:rFonts w:hint="default" w:ascii="Times New Roman" w:hAnsi="Times New Roman" w:eastAsia="仿宋" w:cs="Times New Roman"/>
                <w:bCs/>
                <w:color w:val="auto"/>
                <w:sz w:val="24"/>
                <w:szCs w:val="24"/>
              </w:rPr>
              <w:t>②</w:t>
            </w:r>
            <w:r>
              <w:rPr>
                <w:rFonts w:hint="default" w:ascii="Times New Roman" w:hAnsi="Times New Roman" w:eastAsia="仿宋" w:cs="Times New Roman"/>
                <w:bCs/>
                <w:color w:val="auto"/>
                <w:sz w:val="24"/>
                <w:szCs w:val="24"/>
              </w:rPr>
              <w:fldChar w:fldCharType="end"/>
            </w:r>
            <w:r>
              <w:rPr>
                <w:rFonts w:hint="default" w:ascii="Times New Roman" w:hAnsi="Times New Roman" w:eastAsia="仿宋" w:cs="Times New Roman"/>
                <w:bCs/>
                <w:color w:val="auto"/>
                <w:sz w:val="24"/>
                <w:szCs w:val="24"/>
              </w:rPr>
              <w:t>场地开挖、土石方堆放、回填等过程产生扬尘；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fldChar w:fldCharType="begin"/>
            </w:r>
            <w:r>
              <w:rPr>
                <w:rFonts w:hint="default" w:ascii="Times New Roman" w:hAnsi="Times New Roman" w:eastAsia="仿宋" w:cs="Times New Roman"/>
                <w:bCs/>
                <w:color w:val="auto"/>
                <w:sz w:val="24"/>
                <w:szCs w:val="24"/>
              </w:rPr>
              <w:instrText xml:space="preserve"> = 3 \* GB3 </w:instrText>
            </w:r>
            <w:r>
              <w:rPr>
                <w:rFonts w:hint="default" w:ascii="Times New Roman" w:hAnsi="Times New Roman" w:eastAsia="仿宋" w:cs="Times New Roman"/>
                <w:bCs/>
                <w:color w:val="auto"/>
                <w:sz w:val="24"/>
                <w:szCs w:val="24"/>
              </w:rPr>
              <w:fldChar w:fldCharType="separate"/>
            </w:r>
            <w:r>
              <w:rPr>
                <w:rFonts w:hint="default" w:ascii="Times New Roman" w:hAnsi="Times New Roman" w:eastAsia="仿宋" w:cs="Times New Roman"/>
                <w:bCs/>
                <w:color w:val="auto"/>
                <w:sz w:val="24"/>
                <w:szCs w:val="24"/>
              </w:rPr>
              <w:t>③</w:t>
            </w:r>
            <w:r>
              <w:rPr>
                <w:rFonts w:hint="default" w:ascii="Times New Roman" w:hAnsi="Times New Roman" w:eastAsia="仿宋" w:cs="Times New Roman"/>
                <w:bCs/>
                <w:color w:val="auto"/>
                <w:sz w:val="24"/>
                <w:szCs w:val="24"/>
              </w:rPr>
              <w:fldChar w:fldCharType="end"/>
            </w:r>
            <w:r>
              <w:rPr>
                <w:rFonts w:hint="default" w:ascii="Times New Roman" w:hAnsi="Times New Roman" w:eastAsia="仿宋" w:cs="Times New Roman"/>
                <w:bCs/>
                <w:color w:val="auto"/>
                <w:sz w:val="24"/>
                <w:szCs w:val="24"/>
              </w:rPr>
              <w:t>粉砂状建筑材料运输、装卸、搬运、堆放等过程产生扬尘；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fldChar w:fldCharType="begin"/>
            </w:r>
            <w:r>
              <w:rPr>
                <w:rFonts w:hint="default" w:ascii="Times New Roman" w:hAnsi="Times New Roman" w:eastAsia="仿宋" w:cs="Times New Roman"/>
                <w:bCs/>
                <w:color w:val="auto"/>
                <w:sz w:val="24"/>
                <w:szCs w:val="24"/>
              </w:rPr>
              <w:instrText xml:space="preserve"> = 4 \* GB3 </w:instrText>
            </w:r>
            <w:r>
              <w:rPr>
                <w:rFonts w:hint="default" w:ascii="Times New Roman" w:hAnsi="Times New Roman" w:eastAsia="仿宋" w:cs="Times New Roman"/>
                <w:bCs/>
                <w:color w:val="auto"/>
                <w:sz w:val="24"/>
                <w:szCs w:val="24"/>
              </w:rPr>
              <w:fldChar w:fldCharType="separate"/>
            </w:r>
            <w:r>
              <w:rPr>
                <w:rFonts w:hint="default" w:ascii="Times New Roman" w:hAnsi="Times New Roman" w:eastAsia="仿宋" w:cs="Times New Roman"/>
                <w:bCs/>
                <w:color w:val="auto"/>
                <w:sz w:val="24"/>
                <w:szCs w:val="24"/>
              </w:rPr>
              <w:t>④</w:t>
            </w:r>
            <w:r>
              <w:rPr>
                <w:rFonts w:hint="default" w:ascii="Times New Roman" w:hAnsi="Times New Roman" w:eastAsia="仿宋" w:cs="Times New Roman"/>
                <w:bCs/>
                <w:color w:val="auto"/>
                <w:sz w:val="24"/>
                <w:szCs w:val="24"/>
              </w:rPr>
              <w:fldChar w:fldCharType="end"/>
            </w:r>
            <w:r>
              <w:rPr>
                <w:rFonts w:hint="default" w:ascii="Times New Roman" w:hAnsi="Times New Roman" w:eastAsia="仿宋" w:cs="Times New Roman"/>
                <w:bCs/>
                <w:color w:val="auto"/>
                <w:sz w:val="24"/>
                <w:szCs w:val="24"/>
              </w:rPr>
              <w:t>粉砂状施工垃圾清理、堆放、装卸、运输等过程产生扬尘；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施工扬尘产生量及对其周边环境及人群产生影响范围和程度与施工现场的土质和气候、施工设备机械化程度、施工作业方式、施工管理水平、土石方量、路面状况、运输方式等诸多因素密切相关。施工扬尘排放呈间歇、不定量、无组织排放，其中的主要污染因子为颗粒物（TSP）。</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在施工扬尘来源中，场地清理平整、土石方挖掘、堆放和回填、粉砂状物料装卸、搬运、堆放、清理、运输等过程产生扬尘较多，结构施工、设备安装等过程产生扬尘较少或不产生扬尘。施工扬尘污染源多为间歇分散排放源，其排放口距地面高度低，其排放会在施工区域及周边附近区域形成局部污染，如果其未经充分扩散稀释就进入地面呼吸层会对现场施工人员工作环境和健康产生一定影响。</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（2）燃油施工设备和运输车辆运行时排放废气</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各种燃油施工设备和运输车辆运行时排放废气中主要污染因子为SO</w:t>
            </w:r>
            <w:r>
              <w:rPr>
                <w:rFonts w:hint="default" w:ascii="Times New Roman" w:hAnsi="Times New Roman" w:eastAsia="仿宋" w:cs="Times New Roman"/>
                <w:bCs/>
                <w:color w:val="auto"/>
                <w:sz w:val="24"/>
                <w:szCs w:val="24"/>
                <w:vertAlign w:val="subscript"/>
              </w:rPr>
              <w:t>2</w:t>
            </w:r>
            <w:r>
              <w:rPr>
                <w:rFonts w:hint="default" w:ascii="Times New Roman" w:hAnsi="Times New Roman" w:eastAsia="仿宋" w:cs="Times New Roman"/>
                <w:bCs/>
                <w:color w:val="auto"/>
                <w:sz w:val="24"/>
                <w:szCs w:val="24"/>
              </w:rPr>
              <w:t>、NO</w:t>
            </w:r>
            <w:r>
              <w:rPr>
                <w:rFonts w:hint="default" w:ascii="Times New Roman" w:hAnsi="Times New Roman" w:eastAsia="仿宋" w:cs="Times New Roman"/>
                <w:bCs/>
                <w:color w:val="auto"/>
                <w:sz w:val="24"/>
                <w:szCs w:val="24"/>
                <w:vertAlign w:val="subscript"/>
              </w:rPr>
              <w:t>x</w:t>
            </w:r>
            <w:r>
              <w:rPr>
                <w:rFonts w:hint="default" w:ascii="Times New Roman" w:hAnsi="Times New Roman" w:eastAsia="仿宋" w:cs="Times New Roman"/>
                <w:bCs/>
                <w:color w:val="auto"/>
                <w:sz w:val="24"/>
                <w:szCs w:val="24"/>
              </w:rPr>
              <w:t>、CO、烃类等，其产排量与设备和车辆的选型、使用频率、使用燃料种类和用量等相关。各种燃油施工设备和运输车辆运行时排放废气呈间歇、不定量、流动、无组织排放，其产排量较小，对区域大气环境及人群产生影响较小，主要对施工作业点周边以及运输道路沿线两侧局部范围大气环境及人群产生一定影响，经采取选用低能耗、高效率的燃油施工设备和运输车辆，使用清洁燃料，对其注重日常保养维护，确保其良好运转状态等措施可以有效降低燃油施工设备和运输车辆运行时排放废气对周边大气环境及人群产生的影响。</w:t>
            </w:r>
          </w:p>
          <w:p>
            <w:pPr>
              <w:adjustRightInd w:val="0"/>
              <w:snapToGrid w:val="0"/>
              <w:ind w:firstLine="422"/>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3、水环境影响分析</w:t>
            </w:r>
          </w:p>
          <w:p>
            <w:pPr>
              <w:adjustRightInd w:val="0"/>
              <w:snapToGrid w:val="0"/>
              <w:ind w:firstLine="420"/>
              <w:rPr>
                <w:rFonts w:hint="default" w:ascii="Times New Roman" w:hAnsi="Times New Roman" w:eastAsia="仿宋" w:cs="Times New Roman"/>
                <w:color w:val="auto"/>
                <w:spacing w:val="0"/>
                <w:position w:val="0"/>
                <w:sz w:val="24"/>
                <w:lang w:val="en-US" w:eastAsia="zh-CN"/>
              </w:rPr>
            </w:pPr>
            <w:r>
              <w:rPr>
                <w:rFonts w:hint="default" w:ascii="Times New Roman" w:hAnsi="Times New Roman" w:eastAsia="仿宋" w:cs="Times New Roman"/>
                <w:color w:val="auto"/>
                <w:spacing w:val="0"/>
                <w:position w:val="0"/>
                <w:sz w:val="24"/>
                <w:szCs w:val="24"/>
                <w:highlight w:val="none"/>
              </w:rPr>
              <w:t>本项目</w:t>
            </w:r>
            <w:r>
              <w:rPr>
                <w:rFonts w:hint="default" w:ascii="Times New Roman" w:hAnsi="Times New Roman" w:eastAsia="仿宋" w:cs="Times New Roman"/>
                <w:color w:val="auto"/>
                <w:spacing w:val="0"/>
                <w:position w:val="0"/>
                <w:sz w:val="24"/>
                <w:szCs w:val="24"/>
                <w:highlight w:val="none"/>
                <w:lang w:val="en-US" w:eastAsia="zh-CN"/>
              </w:rPr>
              <w:t>不设置</w:t>
            </w:r>
            <w:r>
              <w:rPr>
                <w:rFonts w:hint="default" w:ascii="Times New Roman" w:hAnsi="Times New Roman" w:eastAsia="仿宋" w:cs="Times New Roman"/>
                <w:color w:val="auto"/>
                <w:spacing w:val="0"/>
                <w:position w:val="0"/>
                <w:sz w:val="24"/>
                <w:szCs w:val="24"/>
                <w:highlight w:val="none"/>
              </w:rPr>
              <w:t>施工营地，</w:t>
            </w:r>
            <w:r>
              <w:rPr>
                <w:rFonts w:hint="eastAsia" w:eastAsia="仿宋" w:cs="Times New Roman"/>
                <w:color w:val="auto"/>
                <w:sz w:val="24"/>
                <w:szCs w:val="24"/>
                <w:highlight w:val="none"/>
                <w:lang w:val="en-US" w:eastAsia="zh-CN"/>
              </w:rPr>
              <w:t>食宿租用鄯善县连木沁镇民房</w:t>
            </w:r>
            <w:r>
              <w:rPr>
                <w:rFonts w:hint="default" w:ascii="Times New Roman" w:hAnsi="Times New Roman" w:eastAsia="仿宋" w:cs="Times New Roman"/>
                <w:color w:val="auto"/>
                <w:spacing w:val="0"/>
                <w:position w:val="0"/>
                <w:sz w:val="24"/>
                <w:szCs w:val="24"/>
                <w:highlight w:val="none"/>
              </w:rPr>
              <w:t>，</w:t>
            </w:r>
            <w:r>
              <w:rPr>
                <w:rFonts w:ascii="仿宋_GB2312" w:hAnsi="仿宋_GB2312" w:eastAsia="仿宋_GB2312" w:cs="仿宋_GB2312"/>
                <w:color w:val="auto"/>
                <w:kern w:val="0"/>
                <w:sz w:val="24"/>
                <w:szCs w:val="24"/>
                <w:lang w:val="en-US" w:eastAsia="zh-CN" w:bidi="ar"/>
              </w:rPr>
              <w:t>施工人员现场设置移动式环保厕所供施工人员如厕使用</w:t>
            </w:r>
            <w:r>
              <w:rPr>
                <w:rFonts w:hint="eastAsia" w:ascii="仿宋_GB2312" w:hAnsi="仿宋_GB2312" w:eastAsia="仿宋_GB2312" w:cs="仿宋_GB2312"/>
                <w:color w:val="auto"/>
                <w:kern w:val="0"/>
                <w:sz w:val="24"/>
                <w:szCs w:val="24"/>
                <w:lang w:val="en-US" w:eastAsia="zh-CN" w:bidi="ar"/>
              </w:rPr>
              <w:t>，</w:t>
            </w:r>
            <w:r>
              <w:rPr>
                <w:rFonts w:hint="default" w:ascii="Times New Roman" w:hAnsi="Times New Roman" w:eastAsia="仿宋" w:cs="Times New Roman"/>
                <w:color w:val="auto"/>
                <w:spacing w:val="0"/>
                <w:position w:val="0"/>
                <w:sz w:val="24"/>
                <w:szCs w:val="24"/>
                <w:lang w:val="en-US" w:eastAsia="zh-CN" w:bidi="zh-CN"/>
              </w:rPr>
              <w:t>施工期生产废水主要为机械设备冲洗废水、混凝土养护废水，其污染物为悬浮物和石油类，</w:t>
            </w:r>
            <w:r>
              <w:rPr>
                <w:rFonts w:hint="default" w:ascii="Times New Roman" w:hAnsi="Times New Roman" w:eastAsia="仿宋" w:cs="Times New Roman"/>
                <w:color w:val="auto"/>
                <w:spacing w:val="0"/>
                <w:position w:val="0"/>
                <w:sz w:val="24"/>
              </w:rPr>
              <w:t>该类废水中SS浓度在3000mg/L-5000mg/L，</w:t>
            </w:r>
            <w:r>
              <w:rPr>
                <w:rFonts w:hint="default" w:ascii="Times New Roman" w:hAnsi="Times New Roman" w:eastAsia="仿宋" w:cs="Times New Roman"/>
                <w:color w:val="auto"/>
                <w:spacing w:val="0"/>
                <w:position w:val="0"/>
                <w:sz w:val="24"/>
                <w:lang w:val="en-US" w:eastAsia="zh-CN"/>
              </w:rPr>
              <w:t>拟在施工区设置简易沉淀池，施工废水经沉淀池沉淀后回用于场地及道路降尘等。</w:t>
            </w:r>
          </w:p>
          <w:p>
            <w:pPr>
              <w:adjustRightInd w:val="0"/>
              <w:snapToGrid w:val="0"/>
              <w:ind w:firstLine="422"/>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4、声环境影响分析</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（1）施工噪声源强调查</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施工噪声主要有设备噪声、机械噪声等。</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施工设备噪声主要是推土机、空压机、挖掘机、平地机、振捣机等施工机械设备，距离设备10m处的噪声源强一般在60~82dB(A)。根据有关资料，主要施工机械的噪声状况列于表4-1。</w:t>
            </w:r>
          </w:p>
          <w:p>
            <w:pPr>
              <w:snapToGrid w:val="0"/>
              <w:spacing w:line="360" w:lineRule="auto"/>
              <w:ind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表4-1主要施工机械设备噪声</w:t>
            </w:r>
          </w:p>
          <w:tbl>
            <w:tblPr>
              <w:tblStyle w:val="25"/>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3197"/>
              <w:gridCol w:w="516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3"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施工设备名称</w:t>
                  </w:r>
                </w:p>
              </w:tc>
              <w:tc>
                <w:tcPr>
                  <w:tcW w:w="3087"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距设备10m处平均A声级dB（A）</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空压机</w:t>
                  </w:r>
                </w:p>
              </w:tc>
              <w:tc>
                <w:tcPr>
                  <w:tcW w:w="3087"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推土机</w:t>
                  </w:r>
                </w:p>
              </w:tc>
              <w:tc>
                <w:tcPr>
                  <w:tcW w:w="3087"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全液压挖掘机</w:t>
                  </w:r>
                </w:p>
              </w:tc>
              <w:tc>
                <w:tcPr>
                  <w:tcW w:w="3087"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平地机</w:t>
                  </w:r>
                </w:p>
              </w:tc>
              <w:tc>
                <w:tcPr>
                  <w:tcW w:w="3087"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振捣机</w:t>
                  </w:r>
                </w:p>
              </w:tc>
              <w:tc>
                <w:tcPr>
                  <w:tcW w:w="3087"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运输车辆</w:t>
                  </w:r>
                </w:p>
              </w:tc>
              <w:tc>
                <w:tcPr>
                  <w:tcW w:w="3087"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65</w:t>
                  </w:r>
                </w:p>
              </w:tc>
            </w:tr>
          </w:tbl>
          <w:p>
            <w:pPr>
              <w:adjustRightInd w:val="0"/>
              <w:snapToGrid w:val="0"/>
              <w:spacing w:before="120" w:beforeLines="5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由表4-1可以看出，施工机械设备噪声很高，在实际施工过程中，往往是各种机械同时工作，各种噪声源辐射的相互叠加，噪声级将会更高，辐射面也会更大。</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（2）施工期噪声影响分析及防治对策</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由于本工程施工机械产生的噪声主要属中低频噪声，因此在预测其影响时可只考虑其扩散衰减，预测模型可选用：</w:t>
            </w:r>
          </w:p>
          <w:p>
            <w:pPr>
              <w:adjustRightInd w:val="0"/>
              <w:snapToGrid w:val="0"/>
              <w:ind w:firstLine="1320" w:firstLineChars="55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L</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=L</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-20lgr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&gt;r</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式中：L</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、L</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分别为距声源r</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处的等效A声级（dB(A)）；</w:t>
            </w:r>
          </w:p>
          <w:p>
            <w:pPr>
              <w:adjustRightInd w:val="0"/>
              <w:snapToGrid w:val="0"/>
              <w:ind w:firstLine="1200" w:firstLineChars="5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为接受点距声源的距离（m）。</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由上式可推出噪声随距离增加而衰减的量ΔL；</w:t>
            </w:r>
          </w:p>
          <w:p>
            <w:pPr>
              <w:adjustRightInd w:val="0"/>
              <w:snapToGrid w:val="0"/>
              <w:ind w:firstLine="1190" w:firstLineChars="496"/>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ΔL=L</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-L</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=20lgr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1</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由此式可计算出噪声值随距离衰减值，具体衰减情况见表4-2。</w:t>
            </w:r>
          </w:p>
          <w:p>
            <w:pPr>
              <w:snapToGrid w:val="0"/>
              <w:spacing w:line="360" w:lineRule="auto"/>
              <w:ind w:firstLine="0" w:firstLineChars="0"/>
              <w:jc w:val="center"/>
              <w:rPr>
                <w:rFonts w:hint="default" w:ascii="Times New Roman" w:hAnsi="Times New Roman" w:eastAsia="仿宋" w:cs="Times New Roman"/>
                <w:b/>
                <w:bCs/>
                <w:color w:val="auto"/>
                <w:szCs w:val="21"/>
              </w:rPr>
            </w:pPr>
            <w:r>
              <w:rPr>
                <w:rFonts w:hint="default" w:ascii="Times New Roman" w:hAnsi="Times New Roman" w:eastAsia="仿宋" w:cs="Times New Roman"/>
                <w:b/>
                <w:bCs/>
                <w:color w:val="auto"/>
                <w:szCs w:val="21"/>
              </w:rPr>
              <w:t>表4-2噪声值随距离的衰减关系</w:t>
            </w:r>
          </w:p>
          <w:tbl>
            <w:tblPr>
              <w:tblStyle w:val="86"/>
              <w:tblW w:w="496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43"/>
              <w:gridCol w:w="571"/>
              <w:gridCol w:w="473"/>
              <w:gridCol w:w="721"/>
              <w:gridCol w:w="722"/>
              <w:gridCol w:w="722"/>
              <w:gridCol w:w="721"/>
              <w:gridCol w:w="722"/>
              <w:gridCol w:w="754"/>
              <w:gridCol w:w="754"/>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809" w:type="pct"/>
                  <w:vMerge w:val="restart"/>
                  <w:tcBorders>
                    <w:top w:val="single" w:color="000000" w:sz="2" w:space="0"/>
                    <w:left w:val="single" w:color="000000" w:sz="2" w:space="0"/>
                    <w:bottom w:val="nil"/>
                  </w:tcBorders>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设备名称</w:t>
                  </w:r>
                </w:p>
              </w:tc>
              <w:tc>
                <w:tcPr>
                  <w:tcW w:w="344" w:type="pct"/>
                  <w:vMerge w:val="restart"/>
                  <w:tcBorders>
                    <w:top w:val="single" w:color="000000" w:sz="2" w:space="0"/>
                    <w:bottom w:val="nil"/>
                  </w:tcBorders>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声级</w:t>
                  </w:r>
                </w:p>
              </w:tc>
              <w:tc>
                <w:tcPr>
                  <w:tcW w:w="3845" w:type="pct"/>
                  <w:gridSpan w:val="9"/>
                  <w:tcBorders>
                    <w:top w:val="single" w:color="000000" w:sz="2" w:space="0"/>
                    <w:right w:val="single" w:color="000000" w:sz="2" w:space="0"/>
                  </w:tcBorders>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不同距离处的噪声值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jc w:val="center"/>
              </w:trPr>
              <w:tc>
                <w:tcPr>
                  <w:tcW w:w="809" w:type="pct"/>
                  <w:vMerge w:val="continue"/>
                  <w:tcBorders>
                    <w:top w:val="nil"/>
                    <w:lef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p>
              </w:tc>
              <w:tc>
                <w:tcPr>
                  <w:tcW w:w="344" w:type="pct"/>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5m</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10m</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20m</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40m</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60m</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80m</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100m</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150m</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200m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809" w:type="pct"/>
                  <w:tcBorders>
                    <w:left w:val="single" w:color="000000" w:sz="2" w:space="0"/>
                  </w:tcBorders>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空压机</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105</w:t>
                  </w: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91</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85</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79</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73</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69.4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66.9</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65</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61.5</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809" w:type="pct"/>
                  <w:tcBorders>
                    <w:left w:val="single" w:color="000000" w:sz="2" w:space="0"/>
                  </w:tcBorders>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推土机</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116</w:t>
                  </w: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102</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96</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90</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84</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77.9</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76</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72.5</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809" w:type="pct"/>
                  <w:tcBorders>
                    <w:left w:val="single" w:color="000000" w:sz="2" w:space="0"/>
                  </w:tcBorders>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全液压挖掘机</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108</w:t>
                  </w: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94</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88</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82</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76</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72.4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69.9</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68</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64.5</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809" w:type="pct"/>
                  <w:tcBorders>
                    <w:left w:val="single" w:color="000000" w:sz="2" w:space="0"/>
                  </w:tcBorders>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平地机</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100</w:t>
                  </w: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86</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68</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64.4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61.9</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60</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56.5</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809" w:type="pct"/>
                  <w:tcBorders>
                    <w:left w:val="single" w:color="000000" w:sz="2" w:space="0"/>
                    <w:bottom w:val="single" w:color="000000" w:sz="2" w:space="0"/>
                  </w:tcBorders>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振捣机</w:t>
                  </w:r>
                </w:p>
              </w:tc>
              <w:tc>
                <w:tcPr>
                  <w:tcW w:w="34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106</w:t>
                  </w:r>
                </w:p>
              </w:tc>
              <w:tc>
                <w:tcPr>
                  <w:tcW w:w="285"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92</w:t>
                  </w:r>
                </w:p>
              </w:tc>
              <w:tc>
                <w:tcPr>
                  <w:tcW w:w="43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86</w:t>
                  </w:r>
                </w:p>
              </w:tc>
              <w:tc>
                <w:tcPr>
                  <w:tcW w:w="435"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w:t>
                  </w:r>
                </w:p>
              </w:tc>
              <w:tc>
                <w:tcPr>
                  <w:tcW w:w="435"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74</w:t>
                  </w:r>
                </w:p>
              </w:tc>
              <w:tc>
                <w:tcPr>
                  <w:tcW w:w="43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70.4</w:t>
                  </w:r>
                </w:p>
              </w:tc>
              <w:tc>
                <w:tcPr>
                  <w:tcW w:w="435"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67.9</w:t>
                  </w:r>
                </w:p>
              </w:tc>
              <w:tc>
                <w:tcPr>
                  <w:tcW w:w="45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66</w:t>
                  </w:r>
                </w:p>
              </w:tc>
              <w:tc>
                <w:tcPr>
                  <w:tcW w:w="45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62.5</w:t>
                  </w:r>
                </w:p>
              </w:tc>
              <w:tc>
                <w:tcPr>
                  <w:tcW w:w="472" w:type="pct"/>
                  <w:tcBorders>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60</w:t>
                  </w:r>
                </w:p>
              </w:tc>
            </w:tr>
          </w:tbl>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由表4-2可知，施工机械中以推土机噪声影响程度最大。各种机械噪声源强均在75dB(A)以上，对靠近施工现场100m范围内的影响较大。由于在项目区周围5km范围内无居民区，所以工程施工对外环境的影响较小。</w:t>
            </w:r>
          </w:p>
          <w:p>
            <w:pPr>
              <w:adjustRightInd w:val="0"/>
              <w:snapToGrid w:val="0"/>
              <w:ind w:firstLine="422"/>
              <w:rPr>
                <w:rFonts w:hint="default" w:ascii="Times New Roman" w:hAnsi="Times New Roman" w:eastAsia="仿宋" w:cs="Times New Roman"/>
                <w:b/>
                <w:color w:val="auto"/>
                <w:sz w:val="24"/>
                <w:szCs w:val="24"/>
              </w:rPr>
            </w:pPr>
          </w:p>
          <w:p>
            <w:pPr>
              <w:adjustRightInd w:val="0"/>
              <w:snapToGrid w:val="0"/>
              <w:ind w:firstLine="422"/>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5、固体废物影响分析</w:t>
            </w:r>
          </w:p>
          <w:p>
            <w:pPr>
              <w:adjustRightInd w:val="0"/>
              <w:snapToGrid w:val="0"/>
              <w:ind w:firstLine="420"/>
              <w:rPr>
                <w:rFonts w:hint="default" w:ascii="Times New Roman" w:hAnsi="Times New Roman" w:eastAsia="仿宋" w:cs="Times New Roman"/>
                <w:bCs/>
                <w:color w:val="auto"/>
                <w:sz w:val="24"/>
                <w:szCs w:val="24"/>
              </w:rPr>
            </w:pPr>
            <w:r>
              <w:rPr>
                <w:rFonts w:hint="eastAsia" w:ascii="Times New Roman" w:hAnsi="Times New Roman" w:eastAsia="仿宋" w:cs="Times New Roman"/>
                <w:color w:val="auto"/>
                <w:kern w:val="0"/>
                <w:sz w:val="24"/>
                <w:szCs w:val="24"/>
                <w:lang w:val="en-US" w:eastAsia="zh-CN" w:bidi="ar"/>
              </w:rPr>
              <w:t>本项目无基建工程</w:t>
            </w:r>
            <w:r>
              <w:rPr>
                <w:rFonts w:hint="eastAsia" w:ascii="Times New Roman" w:hAnsi="Times New Roman" w:eastAsia="仿宋" w:cs="Times New Roman"/>
                <w:bCs/>
                <w:color w:val="auto"/>
                <w:sz w:val="24"/>
                <w:szCs w:val="24"/>
                <w:lang w:eastAsia="zh-CN"/>
              </w:rPr>
              <w:t>，</w:t>
            </w:r>
            <w:r>
              <w:rPr>
                <w:rFonts w:hint="default" w:ascii="Times New Roman" w:hAnsi="Times New Roman" w:eastAsia="仿宋" w:cs="Times New Roman"/>
                <w:bCs/>
                <w:color w:val="auto"/>
                <w:sz w:val="24"/>
                <w:szCs w:val="24"/>
              </w:rPr>
              <w:t>施工期间产生固体废物主要是</w:t>
            </w:r>
            <w:r>
              <w:rPr>
                <w:rFonts w:hint="default" w:ascii="Times New Roman" w:hAnsi="Times New Roman" w:eastAsia="仿宋" w:cs="Times New Roman"/>
                <w:color w:val="auto"/>
                <w:spacing w:val="0"/>
                <w:position w:val="0"/>
                <w:sz w:val="24"/>
                <w:highlight w:val="none"/>
              </w:rPr>
              <w:t>施工人员产生的生活垃圾，项目施工人数</w:t>
            </w:r>
            <w:r>
              <w:rPr>
                <w:rFonts w:hint="eastAsia" w:eastAsia="仿宋" w:cs="Times New Roman"/>
                <w:color w:val="auto"/>
                <w:spacing w:val="0"/>
                <w:position w:val="0"/>
                <w:sz w:val="24"/>
                <w:highlight w:val="none"/>
                <w:lang w:val="en-US" w:eastAsia="zh-CN"/>
              </w:rPr>
              <w:t>6</w:t>
            </w:r>
            <w:r>
              <w:rPr>
                <w:rFonts w:hint="default" w:ascii="Times New Roman" w:hAnsi="Times New Roman" w:eastAsia="仿宋" w:cs="Times New Roman"/>
                <w:color w:val="auto"/>
                <w:spacing w:val="0"/>
                <w:position w:val="0"/>
                <w:sz w:val="24"/>
                <w:highlight w:val="none"/>
              </w:rPr>
              <w:t>人，按每人每天生活垃圾产生量为0.5kg计，本项目</w:t>
            </w:r>
            <w:r>
              <w:rPr>
                <w:rFonts w:hint="default" w:ascii="Times New Roman" w:hAnsi="Times New Roman" w:eastAsia="仿宋" w:cs="Times New Roman"/>
                <w:color w:val="auto"/>
                <w:spacing w:val="0"/>
                <w:position w:val="0"/>
                <w:sz w:val="24"/>
                <w:highlight w:val="none"/>
                <w:lang w:val="en-US" w:eastAsia="zh-CN"/>
              </w:rPr>
              <w:t>施工期</w:t>
            </w:r>
            <w:r>
              <w:rPr>
                <w:rFonts w:hint="default" w:ascii="Times New Roman" w:hAnsi="Times New Roman" w:eastAsia="仿宋" w:cs="Times New Roman"/>
                <w:color w:val="auto"/>
                <w:spacing w:val="0"/>
                <w:position w:val="0"/>
                <w:sz w:val="24"/>
                <w:highlight w:val="none"/>
              </w:rPr>
              <w:t>产生的生活垃圾为</w:t>
            </w:r>
            <w:r>
              <w:rPr>
                <w:rFonts w:hint="eastAsia" w:eastAsia="仿宋" w:cs="Times New Roman"/>
                <w:color w:val="auto"/>
                <w:spacing w:val="0"/>
                <w:position w:val="0"/>
                <w:sz w:val="24"/>
                <w:highlight w:val="none"/>
                <w:lang w:val="en-US" w:eastAsia="zh-CN"/>
              </w:rPr>
              <w:t>3</w:t>
            </w:r>
            <w:r>
              <w:rPr>
                <w:rFonts w:hint="default" w:ascii="Times New Roman" w:hAnsi="Times New Roman" w:eastAsia="仿宋" w:cs="Times New Roman"/>
                <w:color w:val="auto"/>
                <w:spacing w:val="0"/>
                <w:position w:val="0"/>
                <w:sz w:val="24"/>
                <w:highlight w:val="none"/>
                <w:lang w:val="en-US" w:eastAsia="zh-CN"/>
              </w:rPr>
              <w:t>千克/天</w:t>
            </w:r>
            <w:r>
              <w:rPr>
                <w:rFonts w:hint="default" w:ascii="Times New Roman" w:hAnsi="Times New Roman" w:eastAsia="仿宋" w:cs="Times New Roman"/>
                <w:color w:val="auto"/>
                <w:spacing w:val="0"/>
                <w:position w:val="0"/>
                <w:sz w:val="24"/>
                <w:highlight w:val="none"/>
              </w:rPr>
              <w:t>，生活垃圾集中收集后由</w:t>
            </w:r>
            <w:r>
              <w:rPr>
                <w:rFonts w:hint="default" w:ascii="Times New Roman" w:hAnsi="Times New Roman" w:eastAsia="仿宋" w:cs="Times New Roman"/>
                <w:color w:val="auto"/>
                <w:spacing w:val="0"/>
                <w:position w:val="0"/>
                <w:sz w:val="24"/>
                <w:highlight w:val="none"/>
                <w:lang w:val="en-US" w:eastAsia="zh-CN"/>
              </w:rPr>
              <w:t>统一</w:t>
            </w:r>
            <w:r>
              <w:rPr>
                <w:rFonts w:hint="default" w:ascii="Times New Roman" w:hAnsi="Times New Roman" w:eastAsia="仿宋" w:cs="Times New Roman"/>
                <w:color w:val="auto"/>
                <w:spacing w:val="0"/>
                <w:position w:val="0"/>
                <w:sz w:val="24"/>
                <w:highlight w:val="none"/>
              </w:rPr>
              <w:t>清运至</w:t>
            </w:r>
            <w:r>
              <w:rPr>
                <w:rFonts w:hint="eastAsia" w:ascii="Times New Roman" w:hAnsi="Times New Roman" w:eastAsia="仿宋" w:cs="Times New Roman"/>
                <w:color w:val="auto"/>
                <w:spacing w:val="0"/>
                <w:position w:val="0"/>
                <w:sz w:val="24"/>
                <w:highlight w:val="none"/>
                <w:lang w:val="en-US" w:eastAsia="zh-CN"/>
              </w:rPr>
              <w:t>鄯善县七克台镇</w:t>
            </w:r>
            <w:r>
              <w:rPr>
                <w:rFonts w:hint="default" w:ascii="Times New Roman" w:hAnsi="Times New Roman" w:eastAsia="仿宋" w:cs="Times New Roman"/>
                <w:color w:val="auto"/>
                <w:spacing w:val="0"/>
                <w:position w:val="0"/>
                <w:sz w:val="24"/>
                <w:highlight w:val="none"/>
              </w:rPr>
              <w:t>垃圾填埋场集中处置</w:t>
            </w:r>
            <w:r>
              <w:rPr>
                <w:rFonts w:hint="default" w:ascii="Times New Roman" w:hAnsi="Times New Roman" w:eastAsia="仿宋" w:cs="Times New Roman"/>
                <w:bCs/>
                <w:color w:val="auto"/>
                <w:sz w:val="24"/>
                <w:szCs w:val="24"/>
                <w:highlight w:val="none"/>
                <w:lang w:eastAsia="zh-CN"/>
              </w:rPr>
              <w:t>。</w:t>
            </w: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pStyle w:val="24"/>
              <w:rPr>
                <w:rFonts w:hint="default" w:ascii="Times New Roman" w:hAnsi="Times New Roman" w:eastAsia="仿宋" w:cs="Times New Roman"/>
                <w:bCs/>
                <w:color w:val="auto"/>
                <w:sz w:val="24"/>
                <w:szCs w:val="24"/>
              </w:rPr>
            </w:pPr>
          </w:p>
          <w:p>
            <w:pPr>
              <w:pStyle w:val="18"/>
              <w:rPr>
                <w:rFonts w:hint="default" w:ascii="Times New Roman" w:hAnsi="Times New Roman" w:eastAsia="仿宋" w:cs="Times New Roman"/>
                <w:bCs/>
                <w:color w:val="auto"/>
                <w:sz w:val="24"/>
                <w:szCs w:val="24"/>
              </w:rPr>
            </w:pPr>
          </w:p>
          <w:p>
            <w:pPr>
              <w:rPr>
                <w:rFonts w:hint="default" w:ascii="Times New Roman" w:hAnsi="Times New Roman" w:eastAsia="仿宋" w:cs="Times New Roman"/>
                <w:bCs/>
                <w:color w:val="auto"/>
                <w:sz w:val="24"/>
                <w:szCs w:val="24"/>
              </w:rPr>
            </w:pPr>
          </w:p>
          <w:p>
            <w:pPr>
              <w:pStyle w:val="24"/>
              <w:rPr>
                <w:rFonts w:hint="default" w:ascii="Times New Roman" w:hAnsi="Times New Roman" w:eastAsia="仿宋" w:cs="Times New Roman"/>
                <w:bCs/>
                <w:color w:val="auto"/>
                <w:sz w:val="24"/>
                <w:szCs w:val="24"/>
              </w:rPr>
            </w:pPr>
          </w:p>
          <w:p>
            <w:pPr>
              <w:pStyle w:val="18"/>
              <w:rPr>
                <w:rFonts w:hint="default"/>
                <w:color w:val="auto"/>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left="0" w:leftChars="0" w:firstLine="0" w:firstLineChars="0"/>
              <w:rPr>
                <w:rFonts w:hint="default" w:ascii="Times New Roman" w:hAnsi="Times New Roman" w:eastAsia="仿宋"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4" w:hRule="atLeast"/>
          <w:jc w:val="center"/>
        </w:trPr>
        <w:tc>
          <w:tcPr>
            <w:tcW w:w="621" w:type="dxa"/>
            <w:tcMar>
              <w:left w:w="28" w:type="dxa"/>
              <w:right w:w="28" w:type="dxa"/>
            </w:tcMar>
            <w:vAlign w:val="center"/>
          </w:tcPr>
          <w:p>
            <w:pPr>
              <w:pStyle w:val="20"/>
              <w:adjustRightInd w:val="0"/>
              <w:snapToGrid w:val="0"/>
              <w:spacing w:before="0" w:beforeAutospacing="0" w:after="0" w:afterAutospacing="0" w:line="240" w:lineRule="auto"/>
              <w:ind w:firstLine="0" w:firstLineChars="0"/>
              <w:jc w:val="center"/>
              <w:rPr>
                <w:rFonts w:hint="default" w:ascii="Times New Roman" w:hAnsi="Times New Roman" w:eastAsia="仿宋" w:cs="Times New Roman"/>
                <w:bCs/>
                <w:color w:val="auto"/>
                <w:kern w:val="2"/>
                <w:sz w:val="21"/>
                <w:szCs w:val="21"/>
              </w:rPr>
            </w:pPr>
            <w:r>
              <w:rPr>
                <w:rFonts w:hint="default" w:ascii="Times New Roman" w:hAnsi="Times New Roman" w:eastAsia="仿宋" w:cs="Times New Roman"/>
                <w:bCs/>
                <w:color w:val="auto"/>
                <w:spacing w:val="10"/>
                <w:kern w:val="2"/>
                <w:sz w:val="21"/>
                <w:szCs w:val="21"/>
              </w:rPr>
              <w:t>运营期生态环境影响分析</w:t>
            </w:r>
          </w:p>
        </w:tc>
        <w:tc>
          <w:tcPr>
            <w:tcW w:w="8558" w:type="dxa"/>
          </w:tcPr>
          <w:p>
            <w:pPr>
              <w:overflowPunct w:val="0"/>
              <w:adjustRightInd w:val="0"/>
              <w:snapToGrid w:val="0"/>
              <w:ind w:firstLine="422"/>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1、生态环境影响分析</w:t>
            </w:r>
          </w:p>
          <w:p>
            <w:pPr>
              <w:pStyle w:val="62"/>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w:t>
            </w:r>
            <w:r>
              <w:rPr>
                <w:rFonts w:hint="default" w:ascii="Times New Roman" w:hAnsi="Times New Roman" w:eastAsia="仿宋" w:cs="Times New Roman"/>
                <w:color w:val="auto"/>
                <w:sz w:val="24"/>
                <w:szCs w:val="24"/>
                <w:lang w:eastAsia="zh-CN"/>
              </w:rPr>
              <w:t>位于</w:t>
            </w:r>
            <w:r>
              <w:rPr>
                <w:rFonts w:hint="eastAsia" w:eastAsia="仿宋" w:cs="Times New Roman"/>
                <w:color w:val="auto"/>
                <w:sz w:val="24"/>
                <w:szCs w:val="24"/>
                <w:lang w:eastAsia="zh-CN"/>
              </w:rPr>
              <w:t>鄯善县北西280°方位，直线距离约30千米</w:t>
            </w:r>
            <w:r>
              <w:rPr>
                <w:rFonts w:hint="default" w:ascii="Times New Roman" w:hAnsi="Times New Roman" w:eastAsia="仿宋" w:cs="Times New Roman"/>
                <w:color w:val="auto"/>
                <w:sz w:val="24"/>
                <w:szCs w:val="24"/>
              </w:rPr>
              <w:t>，项目区及周边附近区域内动物以啮齿类、爬行类、昆虫类、鸟类等为主，无国家及自治区级珍稀濒危保护动物活动。项目区及周边附近区域内无自然保护区、风景名胜区、文化自然遗产地、文物保护单位、大型集中办公居民区、军事基地</w:t>
            </w:r>
            <w:r>
              <w:rPr>
                <w:rFonts w:hint="eastAsia" w:eastAsia="仿宋" w:cs="Times New Roman"/>
                <w:color w:val="auto"/>
                <w:sz w:val="24"/>
                <w:szCs w:val="24"/>
                <w:lang w:eastAsia="zh-CN"/>
              </w:rPr>
              <w:t>、</w:t>
            </w:r>
            <w:r>
              <w:rPr>
                <w:rFonts w:hint="default" w:ascii="Times New Roman" w:hAnsi="Times New Roman" w:eastAsia="仿宋" w:cs="Times New Roman"/>
                <w:color w:val="auto"/>
                <w:kern w:val="0"/>
                <w:sz w:val="24"/>
                <w:szCs w:val="24"/>
                <w:lang w:val="en-US" w:eastAsia="zh-CN" w:bidi="ar"/>
              </w:rPr>
              <w:t>土地封禁保护区、水土流失重点防御区和重点治理区等环境敏感区</w:t>
            </w:r>
            <w:r>
              <w:rPr>
                <w:rFonts w:hint="default" w:ascii="Times New Roman" w:hAnsi="Times New Roman" w:eastAsia="仿宋" w:cs="Times New Roman"/>
                <w:color w:val="auto"/>
                <w:sz w:val="24"/>
                <w:szCs w:val="24"/>
              </w:rPr>
              <w:t>。</w:t>
            </w:r>
          </w:p>
          <w:p>
            <w:pPr>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sz w:val="24"/>
                <w:szCs w:val="24"/>
              </w:rPr>
              <w:t>本项目开采活动对区域生态的影响主要表现在土地占用扰动地表、景观影响、水土流失等方面，随着项目开发建设，地表开挖、修建人工设施、破坏矿区地貌、破坏自然景观等影响，这种生态格局的变化，使矿区固有的自然生态功能部分丧失。同时，造成水土流失、生态环境质量下降等问题，而且随着时间的推移和开发规模的扩大，这种景观结构的变化可能延伸、扩大。</w:t>
            </w:r>
          </w:p>
          <w:p>
            <w:pPr>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具体影响见下表：</w:t>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表4-</w:t>
            </w:r>
            <w:r>
              <w:rPr>
                <w:rFonts w:hint="eastAsia" w:ascii="Times New Roman" w:hAnsi="Times New Roman" w:eastAsia="仿宋" w:cs="Times New Roman"/>
                <w:b/>
                <w:color w:val="auto"/>
                <w:kern w:val="0"/>
                <w:sz w:val="21"/>
                <w:szCs w:val="21"/>
                <w:lang w:val="en-US" w:eastAsia="zh-CN"/>
              </w:rPr>
              <w:t>3</w:t>
            </w:r>
            <w:r>
              <w:rPr>
                <w:rFonts w:hint="default" w:ascii="Times New Roman" w:hAnsi="Times New Roman" w:eastAsia="仿宋" w:cs="Times New Roman"/>
                <w:b/>
                <w:color w:val="auto"/>
                <w:kern w:val="0"/>
                <w:sz w:val="21"/>
                <w:szCs w:val="21"/>
              </w:rPr>
              <w:t>本项目生态环境影响一览表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155"/>
              <w:gridCol w:w="62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9"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主要影响活动及项目</w:t>
                  </w:r>
                </w:p>
              </w:tc>
              <w:tc>
                <w:tcPr>
                  <w:tcW w:w="3710"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运营期影响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9" w:type="pct"/>
                  <w:vAlign w:val="center"/>
                </w:tcPr>
                <w:p>
                  <w:pPr>
                    <w:widowControl/>
                    <w:spacing w:line="240" w:lineRule="auto"/>
                    <w:ind w:firstLine="0" w:firstLineChars="0"/>
                    <w:jc w:val="center"/>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露天开采</w:t>
                  </w:r>
                </w:p>
              </w:tc>
              <w:tc>
                <w:tcPr>
                  <w:tcW w:w="3710"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采坑占地范围植被全部破坏，地貌发生变化，水土流失加剧；噪声、震动扰动野生动物栖息。扬尘影响植物呼吸作用和光合作用。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289" w:type="pct"/>
                  <w:vAlign w:val="center"/>
                </w:tcPr>
                <w:p>
                  <w:pPr>
                    <w:widowControl/>
                    <w:spacing w:line="240" w:lineRule="auto"/>
                    <w:ind w:firstLine="0" w:firstLineChars="0"/>
                    <w:jc w:val="center"/>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汽车运输</w:t>
                  </w:r>
                </w:p>
              </w:tc>
              <w:tc>
                <w:tcPr>
                  <w:tcW w:w="3710"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 w:cs="Times New Roman"/>
                      <w:bCs/>
                      <w:color w:val="auto"/>
                      <w:sz w:val="21"/>
                      <w:szCs w:val="21"/>
                    </w:rPr>
                  </w:pPr>
                  <w:r>
                    <w:rPr>
                      <w:rFonts w:hint="default" w:ascii="Times New Roman" w:hAnsi="Times New Roman" w:eastAsia="仿宋" w:cs="Times New Roman"/>
                      <w:color w:val="auto"/>
                      <w:kern w:val="0"/>
                      <w:sz w:val="21"/>
                      <w:szCs w:val="21"/>
                    </w:rPr>
                    <w:t>扬尘影响植物生长，噪声干扰野生动物的生存活动。</w:t>
                  </w:r>
                </w:p>
              </w:tc>
            </w:tr>
          </w:tbl>
          <w:p>
            <w:pPr>
              <w:keepNext w:val="0"/>
              <w:keepLines w:val="0"/>
              <w:pageBreakBefore w:val="0"/>
              <w:widowControl w:val="0"/>
              <w:kinsoku/>
              <w:wordWrap/>
              <w:overflowPunct/>
              <w:topLinePunct w:val="0"/>
              <w:autoSpaceDE/>
              <w:autoSpaceDN/>
              <w:bidi w:val="0"/>
              <w:adjustRightInd w:val="0"/>
              <w:snapToGrid w:val="0"/>
              <w:spacing w:before="157" w:beforeLines="50"/>
              <w:ind w:firstLine="420"/>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（1）对土地利用功能的影响分析</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本项目占地范围土地利用类型均属于</w:t>
            </w:r>
            <w:r>
              <w:rPr>
                <w:rFonts w:hint="default" w:ascii="Times New Roman" w:hAnsi="Times New Roman" w:eastAsia="仿宋" w:cs="Times New Roman"/>
                <w:color w:val="auto"/>
                <w:sz w:val="24"/>
                <w:szCs w:val="24"/>
                <w:lang w:val="en-US" w:eastAsia="zh-CN"/>
              </w:rPr>
              <w:t>裸岩石砾地</w:t>
            </w:r>
            <w:r>
              <w:rPr>
                <w:rFonts w:hint="default" w:ascii="Times New Roman" w:hAnsi="Times New Roman" w:eastAsia="仿宋" w:cs="Times New Roman"/>
                <w:color w:val="auto"/>
                <w:sz w:val="24"/>
                <w:szCs w:val="24"/>
              </w:rPr>
              <w:t>。运营期</w:t>
            </w:r>
            <w:r>
              <w:rPr>
                <w:rFonts w:hint="eastAsia" w:eastAsia="仿宋" w:cs="Times New Roman"/>
                <w:color w:val="auto"/>
                <w:sz w:val="24"/>
                <w:szCs w:val="24"/>
                <w:lang w:val="en-US" w:eastAsia="zh-CN"/>
              </w:rPr>
              <w:t>损坏土地</w:t>
            </w:r>
            <w:r>
              <w:rPr>
                <w:rFonts w:hint="default" w:ascii="Times New Roman" w:hAnsi="Times New Roman" w:eastAsia="仿宋" w:cs="Times New Roman"/>
                <w:color w:val="auto"/>
                <w:sz w:val="24"/>
                <w:szCs w:val="24"/>
              </w:rPr>
              <w:t>占地面积为</w:t>
            </w:r>
            <w:r>
              <w:rPr>
                <w:rFonts w:hint="eastAsia" w:eastAsia="仿宋" w:cs="Times New Roman"/>
                <w:color w:val="auto"/>
                <w:sz w:val="24"/>
                <w:szCs w:val="24"/>
                <w:lang w:val="en-US" w:eastAsia="zh-CN"/>
              </w:rPr>
              <w:t>63200</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rPr>
              <w:t>。本项目占地情况见表4-</w:t>
            </w:r>
            <w:r>
              <w:rPr>
                <w:rFonts w:hint="eastAsia"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表4-</w:t>
            </w:r>
            <w:r>
              <w:rPr>
                <w:rFonts w:hint="eastAsia" w:ascii="Times New Roman" w:hAnsi="Times New Roman" w:eastAsia="仿宋" w:cs="Times New Roman"/>
                <w:b/>
                <w:color w:val="auto"/>
                <w:kern w:val="0"/>
                <w:sz w:val="21"/>
                <w:szCs w:val="21"/>
                <w:lang w:val="en-US" w:eastAsia="zh-CN"/>
              </w:rPr>
              <w:t>4</w:t>
            </w:r>
            <w:r>
              <w:rPr>
                <w:rFonts w:hint="default" w:ascii="Times New Roman" w:hAnsi="Times New Roman" w:eastAsia="仿宋" w:cs="Times New Roman"/>
                <w:b/>
                <w:color w:val="auto"/>
                <w:kern w:val="0"/>
                <w:sz w:val="21"/>
                <w:szCs w:val="21"/>
              </w:rPr>
              <w:t>项目占地情况表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47"/>
              <w:gridCol w:w="1529"/>
              <w:gridCol w:w="1478"/>
              <w:gridCol w:w="1665"/>
              <w:gridCol w:w="2174"/>
              <w:gridCol w:w="8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 w:hRule="atLeast"/>
                <w:jc w:val="center"/>
              </w:trPr>
              <w:tc>
                <w:tcPr>
                  <w:tcW w:w="387" w:type="pct"/>
                  <w:vMerge w:val="restar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序号</w:t>
                  </w:r>
                </w:p>
              </w:tc>
              <w:tc>
                <w:tcPr>
                  <w:tcW w:w="915" w:type="pct"/>
                  <w:vMerge w:val="restar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分项名称</w:t>
                  </w:r>
                </w:p>
              </w:tc>
              <w:tc>
                <w:tcPr>
                  <w:tcW w:w="3181" w:type="pct"/>
                  <w:gridSpan w:val="3"/>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占地类别及面积（m</w:t>
                  </w:r>
                  <w:r>
                    <w:rPr>
                      <w:rFonts w:hint="default" w:ascii="Times New Roman" w:hAnsi="Times New Roman" w:eastAsia="仿宋" w:cs="Times New Roman"/>
                      <w:b/>
                      <w:color w:val="auto"/>
                      <w:sz w:val="21"/>
                      <w:szCs w:val="21"/>
                      <w:vertAlign w:val="superscript"/>
                    </w:rPr>
                    <w:t>2</w:t>
                  </w:r>
                  <w:r>
                    <w:rPr>
                      <w:rFonts w:hint="default" w:ascii="Times New Roman" w:hAnsi="Times New Roman" w:eastAsia="仿宋" w:cs="Times New Roman"/>
                      <w:b/>
                      <w:color w:val="auto"/>
                      <w:sz w:val="21"/>
                      <w:szCs w:val="21"/>
                    </w:rPr>
                    <w:t>）</w:t>
                  </w:r>
                </w:p>
              </w:tc>
              <w:tc>
                <w:tcPr>
                  <w:tcW w:w="515" w:type="pct"/>
                  <w:vMerge w:val="restar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占地</w:t>
                  </w:r>
                </w:p>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387"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c>
                <w:tcPr>
                  <w:tcW w:w="9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c>
                <w:tcPr>
                  <w:tcW w:w="884"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永久占地</w:t>
                  </w:r>
                </w:p>
              </w:tc>
              <w:tc>
                <w:tcPr>
                  <w:tcW w:w="996"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临时占地</w:t>
                  </w:r>
                </w:p>
              </w:tc>
              <w:tc>
                <w:tcPr>
                  <w:tcW w:w="1301"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合计</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7" w:type="pct"/>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1</w:t>
                  </w:r>
                </w:p>
              </w:tc>
              <w:tc>
                <w:tcPr>
                  <w:tcW w:w="915" w:type="pct"/>
                  <w:vAlign w:val="center"/>
                </w:tcPr>
                <w:p>
                  <w:pPr>
                    <w:pStyle w:val="39"/>
                    <w:keepNext w:val="0"/>
                    <w:keepLines w:val="0"/>
                    <w:pageBreakBefore w:val="0"/>
                    <w:widowControl w:val="0"/>
                    <w:kinsoku/>
                    <w:wordWrap/>
                    <w:overflowPunct w:val="0"/>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拟建露天采场</w:t>
                  </w:r>
                </w:p>
              </w:tc>
              <w:tc>
                <w:tcPr>
                  <w:tcW w:w="88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eastAsia" w:eastAsia="仿宋" w:cs="Times New Roman"/>
                      <w:color w:val="auto"/>
                      <w:sz w:val="21"/>
                      <w:szCs w:val="21"/>
                      <w:lang w:val="en-US" w:eastAsia="zh-CN"/>
                    </w:rPr>
                    <w:t>62900</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w:t>
                  </w:r>
                </w:p>
              </w:tc>
              <w:tc>
                <w:tcPr>
                  <w:tcW w:w="13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62900</w:t>
                  </w:r>
                </w:p>
              </w:tc>
              <w:tc>
                <w:tcPr>
                  <w:tcW w:w="515" w:type="pct"/>
                  <w:vMerge w:val="restar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裸岩石砾地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7" w:type="pct"/>
                  <w:vMerge w:val="restart"/>
                  <w:vAlign w:val="center"/>
                </w:tcPr>
                <w:p>
                  <w:pPr>
                    <w:widowControl/>
                    <w:spacing w:line="240" w:lineRule="auto"/>
                    <w:ind w:firstLine="0" w:firstLineChars="0"/>
                    <w:jc w:val="center"/>
                    <w:rPr>
                      <w:rFonts w:hint="default" w:ascii="Times New Roman" w:hAnsi="Times New Roman" w:eastAsia="仿宋" w:cs="Times New Roman"/>
                      <w:b/>
                      <w:bCs/>
                      <w:color w:val="auto"/>
                      <w:kern w:val="0"/>
                      <w:sz w:val="21"/>
                      <w:szCs w:val="21"/>
                      <w:lang w:val="en-US" w:eastAsia="zh-CN"/>
                    </w:rPr>
                  </w:pPr>
                  <w:r>
                    <w:rPr>
                      <w:rFonts w:hint="eastAsia" w:eastAsia="仿宋" w:cs="Times New Roman"/>
                      <w:b/>
                      <w:bCs/>
                      <w:color w:val="auto"/>
                      <w:kern w:val="0"/>
                      <w:sz w:val="21"/>
                      <w:szCs w:val="21"/>
                      <w:lang w:val="en-US" w:eastAsia="zh-CN"/>
                    </w:rPr>
                    <w:t>2</w:t>
                  </w:r>
                </w:p>
              </w:tc>
              <w:tc>
                <w:tcPr>
                  <w:tcW w:w="915" w:type="pct"/>
                  <w:vMerge w:val="restart"/>
                  <w:vAlign w:val="center"/>
                </w:tcPr>
                <w:p>
                  <w:pPr>
                    <w:pStyle w:val="39"/>
                    <w:keepNext w:val="0"/>
                    <w:keepLines w:val="0"/>
                    <w:pageBreakBefore w:val="0"/>
                    <w:widowControl w:val="0"/>
                    <w:kinsoku/>
                    <w:wordWrap/>
                    <w:overflowPunct w:val="0"/>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拟建矿山道路</w:t>
                  </w:r>
                </w:p>
              </w:tc>
              <w:tc>
                <w:tcPr>
                  <w:tcW w:w="88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eastAsia" w:eastAsia="仿宋" w:cs="Times New Roman"/>
                      <w:color w:val="auto"/>
                      <w:sz w:val="21"/>
                      <w:szCs w:val="21"/>
                      <w:lang w:val="en-US" w:eastAsia="zh-CN"/>
                    </w:rPr>
                    <w:t>1000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占地范围内）</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w:t>
                  </w:r>
                </w:p>
              </w:tc>
              <w:tc>
                <w:tcPr>
                  <w:tcW w:w="13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eastAsia" w:eastAsia="仿宋" w:cs="Times New Roman"/>
                      <w:color w:val="auto"/>
                      <w:sz w:val="21"/>
                      <w:szCs w:val="21"/>
                      <w:lang w:val="en-US" w:eastAsia="zh-CN"/>
                    </w:rPr>
                    <w:t>1000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占地范围内）</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7" w:type="pct"/>
                  <w:vMerge w:val="continue"/>
                  <w:vAlign w:val="center"/>
                </w:tcPr>
                <w:p>
                  <w:pPr>
                    <w:widowControl/>
                    <w:spacing w:line="240" w:lineRule="auto"/>
                    <w:ind w:firstLine="0" w:firstLineChars="0"/>
                    <w:jc w:val="center"/>
                    <w:rPr>
                      <w:rFonts w:hint="default" w:ascii="Times New Roman" w:hAnsi="Times New Roman" w:eastAsia="仿宋" w:cs="Times New Roman"/>
                      <w:b/>
                      <w:bCs/>
                      <w:color w:val="auto"/>
                      <w:kern w:val="0"/>
                      <w:sz w:val="21"/>
                      <w:szCs w:val="21"/>
                      <w:lang w:val="en-US" w:eastAsia="zh-CN"/>
                    </w:rPr>
                  </w:pPr>
                </w:p>
              </w:tc>
              <w:tc>
                <w:tcPr>
                  <w:tcW w:w="915" w:type="pct"/>
                  <w:vMerge w:val="continue"/>
                  <w:vAlign w:val="center"/>
                </w:tcPr>
                <w:p>
                  <w:pPr>
                    <w:pStyle w:val="39"/>
                    <w:keepNext w:val="0"/>
                    <w:keepLines w:val="0"/>
                    <w:pageBreakBefore w:val="0"/>
                    <w:widowControl w:val="0"/>
                    <w:kinsoku/>
                    <w:wordWrap/>
                    <w:overflowPunct w:val="0"/>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 w:cs="Times New Roman"/>
                      <w:b/>
                      <w:bCs/>
                      <w:color w:val="auto"/>
                      <w:kern w:val="2"/>
                      <w:sz w:val="21"/>
                      <w:szCs w:val="21"/>
                      <w:lang w:val="en-US" w:eastAsia="zh-CN" w:bidi="ar-SA"/>
                    </w:rPr>
                  </w:pPr>
                </w:p>
              </w:tc>
              <w:tc>
                <w:tcPr>
                  <w:tcW w:w="884" w:type="pct"/>
                  <w:vAlign w:val="center"/>
                </w:tcPr>
                <w:p>
                  <w:pPr>
                    <w:adjustRightInd w:val="0"/>
                    <w:snapToGrid w:val="0"/>
                    <w:spacing w:line="240" w:lineRule="auto"/>
                    <w:ind w:firstLine="0" w:firstLineChars="0"/>
                    <w:jc w:val="center"/>
                    <w:rPr>
                      <w:rFonts w:hint="eastAsia"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300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w:t>
                  </w:r>
                  <w:r>
                    <w:rPr>
                      <w:rFonts w:hint="eastAsia" w:eastAsia="仿宋" w:cs="Times New Roman"/>
                      <w:bCs/>
                      <w:color w:val="auto"/>
                      <w:sz w:val="21"/>
                      <w:szCs w:val="21"/>
                      <w:lang w:val="en-US" w:eastAsia="zh-CN"/>
                    </w:rPr>
                    <w:t>外</w:t>
                  </w:r>
                  <w:r>
                    <w:rPr>
                      <w:rFonts w:hint="default" w:ascii="Times New Roman" w:hAnsi="Times New Roman" w:eastAsia="仿宋" w:cs="Times New Roman"/>
                      <w:bCs/>
                      <w:color w:val="auto"/>
                      <w:sz w:val="21"/>
                      <w:szCs w:val="21"/>
                    </w:rPr>
                    <w:t>）</w:t>
                  </w:r>
                </w:p>
              </w:tc>
              <w:tc>
                <w:tcPr>
                  <w:tcW w:w="13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300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w:t>
                  </w:r>
                  <w:r>
                    <w:rPr>
                      <w:rFonts w:hint="eastAsia" w:eastAsia="仿宋" w:cs="Times New Roman"/>
                      <w:bCs/>
                      <w:color w:val="auto"/>
                      <w:sz w:val="21"/>
                      <w:szCs w:val="21"/>
                      <w:lang w:val="en-US" w:eastAsia="zh-CN"/>
                    </w:rPr>
                    <w:t>外</w:t>
                  </w:r>
                  <w:r>
                    <w:rPr>
                      <w:rFonts w:hint="default" w:ascii="Times New Roman" w:hAnsi="Times New Roman" w:eastAsia="仿宋" w:cs="Times New Roman"/>
                      <w:bCs/>
                      <w:color w:val="auto"/>
                      <w:sz w:val="21"/>
                      <w:szCs w:val="21"/>
                    </w:rPr>
                    <w:t>）</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1302" w:type="pct"/>
                  <w:gridSpan w:val="2"/>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合计</w:t>
                  </w:r>
                </w:p>
              </w:tc>
              <w:tc>
                <w:tcPr>
                  <w:tcW w:w="88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62900</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300</w:t>
                  </w:r>
                </w:p>
              </w:tc>
              <w:tc>
                <w:tcPr>
                  <w:tcW w:w="13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rPr>
                  </w:pPr>
                  <w:r>
                    <w:rPr>
                      <w:rFonts w:hint="eastAsia" w:eastAsia="仿宋" w:cs="Times New Roman"/>
                      <w:color w:val="auto"/>
                      <w:sz w:val="21"/>
                      <w:szCs w:val="21"/>
                      <w:lang w:val="en-US" w:eastAsia="zh-CN"/>
                    </w:rPr>
                    <w:t>63200</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bl>
          <w:p>
            <w:pPr>
              <w:keepNext w:val="0"/>
              <w:keepLines w:val="0"/>
              <w:pageBreakBefore w:val="0"/>
              <w:widowControl w:val="0"/>
              <w:kinsoku/>
              <w:wordWrap/>
              <w:overflowPunct/>
              <w:topLinePunct w:val="0"/>
              <w:autoSpaceDE/>
              <w:autoSpaceDN/>
              <w:bidi w:val="0"/>
              <w:adjustRightInd w:val="0"/>
              <w:snapToGrid w:val="0"/>
              <w:spacing w:before="157" w:beforeLines="50"/>
              <w:ind w:firstLine="420"/>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矿区内各个单元占地面积</w:t>
            </w:r>
            <w:r>
              <w:rPr>
                <w:rFonts w:hint="default" w:ascii="Times New Roman" w:hAnsi="Times New Roman" w:eastAsia="仿宋" w:cs="Times New Roman"/>
                <w:color w:val="auto"/>
                <w:sz w:val="24"/>
                <w:szCs w:val="24"/>
                <w:lang w:eastAsia="zh-CN"/>
              </w:rPr>
              <w:t>较大</w:t>
            </w:r>
            <w:r>
              <w:rPr>
                <w:rFonts w:hint="default" w:ascii="Times New Roman" w:hAnsi="Times New Roman" w:eastAsia="仿宋" w:cs="Times New Roman"/>
                <w:color w:val="auto"/>
                <w:sz w:val="24"/>
                <w:szCs w:val="24"/>
              </w:rPr>
              <w:t>，损毁土地的形式主要为压占、挖损，矿山开采在一定程度上加剧了土壤的侵蚀性，易导致水土流失，土地复垦工程通过土地平整、生态恢复等土体重塑，植被重建过程，可起到有效涵养水源、保持水土作用，防止周边生态系统退化的作用。</w:t>
            </w:r>
          </w:p>
          <w:p>
            <w:pPr>
              <w:pStyle w:val="62"/>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（2）对植被的影响分析</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项目采矿生产过程中产生的粉尘污染对植物的影响主要表现在对作物光合作用的影响上。粒径大于1mm的颗粒物在扩散过程中可自然沉降，吸附于植物叶片上，阻塞气孔，影响生长，使叶片褪色、变硬，植物生长不良。粉尘落到地面会影响土壤透水透气性，不利于植物吸收土壤养分，间接造成植物生长缓慢，随着开采面积的增大，会逐步损坏矿区地表植被，运营期</w:t>
            </w:r>
            <w:r>
              <w:rPr>
                <w:rFonts w:hint="default" w:ascii="Times New Roman" w:hAnsi="Times New Roman" w:eastAsia="仿宋" w:cs="Times New Roman"/>
                <w:color w:val="auto"/>
                <w:sz w:val="24"/>
                <w:szCs w:val="24"/>
                <w:lang w:eastAsia="zh-CN"/>
              </w:rPr>
              <w:t>砂石矿</w:t>
            </w:r>
            <w:r>
              <w:rPr>
                <w:rFonts w:hint="default" w:ascii="Times New Roman" w:hAnsi="Times New Roman" w:eastAsia="仿宋" w:cs="Times New Roman"/>
                <w:color w:val="auto"/>
                <w:sz w:val="24"/>
                <w:szCs w:val="24"/>
              </w:rPr>
              <w:t>开采预计破坏土地面积</w:t>
            </w:r>
            <w:r>
              <w:rPr>
                <w:rFonts w:hint="eastAsia" w:eastAsia="仿宋" w:cs="Times New Roman"/>
                <w:color w:val="auto"/>
                <w:sz w:val="24"/>
                <w:szCs w:val="24"/>
                <w:lang w:val="en-US" w:eastAsia="zh-CN"/>
              </w:rPr>
              <w:t>63200</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rPr>
              <w:t>，采矿区的推进开挖压占对项目区荒漠植被破坏较为严重。</w:t>
            </w:r>
            <w:r>
              <w:rPr>
                <w:rFonts w:hint="default" w:ascii="Times New Roman" w:hAnsi="Times New Roman" w:eastAsia="仿宋" w:cs="Times New Roman"/>
                <w:color w:val="auto"/>
                <w:sz w:val="24"/>
                <w:szCs w:val="24"/>
                <w:lang w:val="en-US" w:eastAsia="zh-CN"/>
              </w:rPr>
              <w:t>根据</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lang w:val="en-US" w:eastAsia="zh-CN"/>
              </w:rPr>
              <w:t>矿产资源开发利用与生态保护修复方案</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lang w:val="en-US" w:eastAsia="zh-CN"/>
              </w:rPr>
              <w:t>本项目占地范围内植物平均生物量约0.075</w:t>
            </w:r>
            <w:r>
              <w:rPr>
                <w:rFonts w:hint="default" w:ascii="Times New Roman" w:hAnsi="Times New Roman" w:eastAsia="仿宋" w:cs="Times New Roman"/>
                <w:color w:val="auto"/>
                <w:sz w:val="24"/>
                <w:szCs w:val="24"/>
              </w:rPr>
              <w:t>t/hm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本项目占地范围内植物生物量损失估算表见表4-</w:t>
            </w:r>
            <w:r>
              <w:rPr>
                <w:rFonts w:hint="eastAsia"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表4-</w:t>
            </w:r>
            <w:r>
              <w:rPr>
                <w:rFonts w:hint="eastAsia" w:ascii="Times New Roman" w:hAnsi="Times New Roman" w:eastAsia="仿宋" w:cs="Times New Roman"/>
                <w:b/>
                <w:color w:val="auto"/>
                <w:kern w:val="0"/>
                <w:sz w:val="21"/>
                <w:szCs w:val="21"/>
                <w:lang w:val="en-US" w:eastAsia="zh-CN"/>
              </w:rPr>
              <w:t>5</w:t>
            </w:r>
            <w:r>
              <w:rPr>
                <w:rFonts w:hint="default" w:ascii="Times New Roman" w:hAnsi="Times New Roman" w:eastAsia="仿宋" w:cs="Times New Roman"/>
                <w:b/>
                <w:color w:val="auto"/>
                <w:kern w:val="0"/>
                <w:sz w:val="21"/>
                <w:szCs w:val="21"/>
              </w:rPr>
              <w:t>占地范围内植物生物量损失估算表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088"/>
              <w:gridCol w:w="2089"/>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土地类型</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占地面积（hm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平均生物量（t/hm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生物量（t）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裸/稀植被地</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6.32</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0.075</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0.474</w:t>
                  </w:r>
                </w:p>
              </w:tc>
            </w:tr>
          </w:tbl>
          <w:p>
            <w:pPr>
              <w:keepNext w:val="0"/>
              <w:keepLines w:val="0"/>
              <w:pageBreakBefore w:val="0"/>
              <w:widowControl w:val="0"/>
              <w:kinsoku/>
              <w:wordWrap/>
              <w:overflowPunct/>
              <w:topLinePunct w:val="0"/>
              <w:autoSpaceDE/>
              <w:autoSpaceDN/>
              <w:bidi w:val="0"/>
              <w:adjustRightInd/>
              <w:snapToGrid/>
              <w:spacing w:before="157" w:beforeLines="50"/>
              <w:ind w:firstLine="420"/>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矿区区域为</w:t>
            </w:r>
            <w:r>
              <w:rPr>
                <w:rFonts w:hint="default" w:ascii="Times New Roman" w:hAnsi="Times New Roman" w:eastAsia="仿宋" w:cs="Times New Roman"/>
                <w:color w:val="auto"/>
                <w:sz w:val="24"/>
                <w:szCs w:val="24"/>
                <w:lang w:val="en-US" w:eastAsia="zh-CN"/>
              </w:rPr>
              <w:t>裸岩石砾地</w:t>
            </w:r>
            <w:r>
              <w:rPr>
                <w:rFonts w:hint="default" w:ascii="Times New Roman" w:hAnsi="Times New Roman" w:eastAsia="仿宋" w:cs="Times New Roman"/>
                <w:color w:val="auto"/>
                <w:sz w:val="24"/>
                <w:szCs w:val="24"/>
              </w:rPr>
              <w:t>，矿山开采期间，将造成评价区生物量损失。矿区开采结束后，采区内原地貌、生态系统不复存在，形成裸露地表和采矿区，影响矿区地貌景观，破坏了原地貌地表植被和土地。根据现场调查，矿区及其可能影响范围内，无珍稀、濒危的野生动、植物分布，偶尔有零星杂草生长，植被覆盖度极低，不到</w:t>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t>%。因此，本项目矿山开采对区域内植被影响较小，造成的生物量损失较少。闭矿后通过土地整治与生态恢复措施，项目开采行为对区域植被及景观环境影响较小。</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（3）对土壤理化性质的影响分析</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本项目占地类型为</w:t>
            </w:r>
            <w:r>
              <w:rPr>
                <w:rFonts w:hint="default" w:ascii="Times New Roman" w:hAnsi="Times New Roman" w:eastAsia="仿宋" w:cs="Times New Roman"/>
                <w:color w:val="auto"/>
                <w:sz w:val="24"/>
                <w:szCs w:val="24"/>
                <w:lang w:eastAsia="zh-CN"/>
              </w:rPr>
              <w:t>裸岩石砾地</w:t>
            </w:r>
            <w:r>
              <w:rPr>
                <w:rFonts w:hint="default" w:ascii="Times New Roman" w:hAnsi="Times New Roman" w:eastAsia="仿宋" w:cs="Times New Roman"/>
                <w:color w:val="auto"/>
                <w:sz w:val="24"/>
                <w:szCs w:val="24"/>
              </w:rPr>
              <w:t>，在矿山生产过程中将不可避免会占用和破坏一定量的土地，对占用土地土壤造成不利影响。</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矿山开发中采矿对地表进行剥离，扰动地表土层，破坏土壤结构，使土壤生产能力下降；矿山开采过程中各种机械设备、运输车辆排放废气，机械漏油随降雨下渗进入土壤，造成局部土壤污染；各种机械设备、车辆对地面的碾压，人员踩踏造成土壤板结，降低土壤生产能力；开采、装载、运输过程中产生扬尘，将沉降在区域土壤表面，会改变土壤理化性质，影响植物生长。</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（4）对野生动物的影响分析</w:t>
            </w:r>
          </w:p>
          <w:p>
            <w:pPr>
              <w:keepNext w:val="0"/>
              <w:keepLines w:val="0"/>
              <w:pageBreakBefore w:val="0"/>
              <w:widowControl w:val="0"/>
              <w:kinsoku/>
              <w:wordWrap/>
              <w:overflowPunct/>
              <w:topLinePunct w:val="0"/>
              <w:autoSpaceDE/>
              <w:autoSpaceDN/>
              <w:bidi w:val="0"/>
              <w:adjustRightInd w:val="0"/>
              <w:snapToGrid w:val="0"/>
              <w:spacing w:before="157" w:beforeLines="50"/>
              <w:ind w:firstLine="420"/>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矿区内各个单元占地面积</w:t>
            </w:r>
            <w:r>
              <w:rPr>
                <w:rFonts w:hint="default" w:ascii="Times New Roman" w:hAnsi="Times New Roman" w:eastAsia="仿宋" w:cs="Times New Roman"/>
                <w:color w:val="auto"/>
                <w:sz w:val="24"/>
                <w:szCs w:val="24"/>
                <w:lang w:eastAsia="zh-CN"/>
              </w:rPr>
              <w:t>较大</w:t>
            </w:r>
            <w:r>
              <w:rPr>
                <w:rFonts w:hint="default" w:ascii="Times New Roman" w:hAnsi="Times New Roman" w:eastAsia="仿宋" w:cs="Times New Roman"/>
                <w:color w:val="auto"/>
                <w:sz w:val="24"/>
                <w:szCs w:val="24"/>
              </w:rPr>
              <w:t>，损毁土地的形式主要为压占、挖损，矿山开采在一定程度上加剧了土壤的侵蚀性，易导致水土流失，土地复垦工程通过土地平整、生态恢复等土体重塑，植被重建过程，可起到有效涵养水源、保持水土作用，防止周边生态系统退化的作用。</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（5）对自然景观的影响分析</w:t>
            </w:r>
          </w:p>
          <w:p>
            <w:pPr>
              <w:pStyle w:val="62"/>
              <w:ind w:left="0" w:right="0" w:firstLine="420"/>
              <w:rPr>
                <w:rFonts w:hint="default" w:ascii="Times New Roman" w:hAnsi="Times New Roman" w:eastAsia="仿宋" w:cs="Times New Roman"/>
                <w:color w:val="auto"/>
              </w:rPr>
            </w:pPr>
            <w:r>
              <w:rPr>
                <w:rFonts w:hint="default" w:ascii="Times New Roman" w:hAnsi="Times New Roman" w:eastAsia="仿宋" w:cs="Times New Roman"/>
                <w:color w:val="auto"/>
              </w:rPr>
              <w:t>项目建设过程中，由于地表植被的剥离和矿石的采掘，造成原有植被的破坏，裸露地貌的出现，对当地的景观美学造成较大程度的影响，使得景观破碎性与异质性增加，在原有大植被景观斑块中出现部分小的人工裸露景观斑块，这在一定程度上降低了生态系统的连通性，对景观的视觉美、心理舒适感和协调性将会产生一定程度的不利影响。因此必须在开采过程中和开采完毕后及时进行修复和重塑，对开采区边缘进行及时绿化，减少开采造成的视觉冲击。</w:t>
            </w:r>
          </w:p>
          <w:p>
            <w:pPr>
              <w:pStyle w:val="62"/>
              <w:ind w:left="0" w:right="0" w:firstLine="420"/>
              <w:rPr>
                <w:rFonts w:hint="default" w:ascii="Times New Roman" w:hAnsi="Times New Roman" w:eastAsia="仿宋" w:cs="Times New Roman"/>
                <w:color w:val="auto"/>
              </w:rPr>
            </w:pPr>
            <w:r>
              <w:rPr>
                <w:rFonts w:hint="default" w:ascii="Times New Roman" w:hAnsi="Times New Roman" w:eastAsia="仿宋" w:cs="Times New Roman"/>
                <w:color w:val="auto"/>
              </w:rPr>
              <w:t>同时由于</w:t>
            </w:r>
            <w:r>
              <w:rPr>
                <w:rFonts w:hint="default" w:ascii="Times New Roman" w:hAnsi="Times New Roman" w:eastAsia="仿宋" w:cs="Times New Roman"/>
                <w:color w:val="auto"/>
                <w:lang w:eastAsia="zh-CN"/>
              </w:rPr>
              <w:t>砂石矿</w:t>
            </w:r>
            <w:r>
              <w:rPr>
                <w:rFonts w:hint="default" w:ascii="Times New Roman" w:hAnsi="Times New Roman" w:eastAsia="仿宋" w:cs="Times New Roman"/>
                <w:color w:val="auto"/>
              </w:rPr>
              <w:t>场及周边范围内没有保护文物，通过调整开采朝向及采取生态修复措施后，项目对区域自然景观影响可以接受。随着砖瓦用</w:t>
            </w:r>
            <w:r>
              <w:rPr>
                <w:rFonts w:hint="default" w:ascii="Times New Roman" w:hAnsi="Times New Roman" w:eastAsia="仿宋" w:cs="Times New Roman"/>
                <w:color w:val="auto"/>
                <w:lang w:eastAsia="zh-CN"/>
              </w:rPr>
              <w:t>砂石矿</w:t>
            </w:r>
            <w:r>
              <w:rPr>
                <w:rFonts w:hint="default" w:ascii="Times New Roman" w:hAnsi="Times New Roman" w:eastAsia="仿宋" w:cs="Times New Roman"/>
                <w:color w:val="auto"/>
              </w:rPr>
              <w:t>服务期满后，对场地的平整、复垦、水土流失的防治等，会形成新的景观，保持现有评价区域内生态系统平衡，促进该地区景观生态系统向良性方向发展。</w:t>
            </w:r>
          </w:p>
          <w:p>
            <w:pPr>
              <w:pStyle w:val="62"/>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（6）自然生态体系稳定性影响分析</w:t>
            </w:r>
          </w:p>
          <w:p>
            <w:pPr>
              <w:keepNext w:val="0"/>
              <w:keepLines w:val="0"/>
              <w:pageBreakBefore w:val="0"/>
              <w:widowControl w:val="0"/>
              <w:kinsoku/>
              <w:wordWrap/>
              <w:overflowPunct/>
              <w:topLinePunct w:val="0"/>
              <w:autoSpaceDE/>
              <w:autoSpaceDN/>
              <w:bidi w:val="0"/>
              <w:adjustRightInd/>
              <w:snapToGrid/>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本项目对局部自然生态体系稳定性产生一定影响，但对整个评价区域自然生态体系稳定性不会产生显著影响，仅使局部区域生物量减少、动物</w:t>
            </w:r>
            <w:r>
              <w:rPr>
                <w:rFonts w:hint="default" w:ascii="Times New Roman" w:hAnsi="Times New Roman" w:eastAsia="仿宋" w:cs="Times New Roman"/>
                <w:color w:val="auto"/>
                <w:sz w:val="24"/>
                <w:szCs w:val="24"/>
                <w:lang w:eastAsia="zh-CN"/>
              </w:rPr>
              <w:t>迁徙</w:t>
            </w:r>
            <w:r>
              <w:rPr>
                <w:rFonts w:hint="default" w:ascii="Times New Roman" w:hAnsi="Times New Roman" w:eastAsia="仿宋" w:cs="Times New Roman"/>
                <w:color w:val="auto"/>
                <w:sz w:val="24"/>
                <w:szCs w:val="24"/>
              </w:rPr>
              <w:t>、水土流失增加，局部自然生态环境遭到一定破坏，但因影响面积较小，对整个评价区域自然生态体系稳定性和对外界环境干扰阻抗和恢复功能的影响不大，对整个评价区域自然生态体系恢复稳定性不会产生显著影响。因此，本项目对整个评价区域自然生态体系中生态环境自身异质化程度影响不大，不会对整个评价区域自然生态体系稳定性造成影响。</w:t>
            </w:r>
          </w:p>
          <w:p>
            <w:pPr>
              <w:pStyle w:val="62"/>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（7）水土流失影响分析</w:t>
            </w:r>
          </w:p>
          <w:p>
            <w:pPr>
              <w:pStyle w:val="62"/>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随着大面积的露天开采，由于表土层的剥离造成植被破坏，开采形成大量的松散岩土，降水条件下将造成大量的水土流失。采取系列预防措施，避免露天采场受降水任意冲刷。生产系统未进行措施防护前，也将产生一部分水土流失。另外，采矿以及运输所产生的扬尘也是造成这一时段水土流失的来源。</w:t>
            </w:r>
          </w:p>
          <w:p>
            <w:pPr>
              <w:pStyle w:val="62"/>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根据该项目的建设特点，土壤侵蚀因素主要包括以下几点：</w:t>
            </w:r>
          </w:p>
          <w:p>
            <w:pPr>
              <w:pStyle w:val="62"/>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植被受到扰动和破坏</w:t>
            </w:r>
          </w:p>
          <w:p>
            <w:pPr>
              <w:pStyle w:val="62"/>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在场地平整、修筑场外地面运输系统等过程中，破坏了地表原有的荒漠草原植被，形成了片状、条带状的裸露面，植被对土壤的覆盖保护作用和根系固土作用丧失殆尽。</w:t>
            </w:r>
          </w:p>
          <w:p>
            <w:pPr>
              <w:pStyle w:val="62"/>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土体表层松散性加大</w:t>
            </w:r>
          </w:p>
          <w:p>
            <w:pPr>
              <w:pStyle w:val="62"/>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土壤是侵蚀过程中被侵蚀的对象。评价区为荒漠化土地，在天然植被和幕砾的保护下，具有一定的抗侵蚀能力。由于工程建设，大量的松散表土发生运移并重新堆积，使土壤水分大量散失，土体结构破坏，表土松散，大大降低了原地表土壤的抗蚀力。</w:t>
            </w:r>
          </w:p>
          <w:p>
            <w:pPr>
              <w:keepNext w:val="0"/>
              <w:keepLines w:val="0"/>
              <w:pageBreakBefore w:val="0"/>
              <w:widowControl w:val="0"/>
              <w:kinsoku/>
              <w:wordWrap/>
              <w:overflowPunct/>
              <w:topLinePunct w:val="0"/>
              <w:autoSpaceDE/>
              <w:autoSpaceDN/>
              <w:bidi w:val="0"/>
              <w:adjustRightInd/>
              <w:snapToGrid/>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项目建设可能产生的土壤侵蚀形式见表4-</w:t>
            </w:r>
            <w:r>
              <w:rPr>
                <w:rFonts w:hint="eastAsia" w:eastAsia="仿宋" w:cs="Times New Roman"/>
                <w:color w:val="auto"/>
                <w:sz w:val="24"/>
                <w:szCs w:val="24"/>
                <w:lang w:val="en-US" w:eastAsia="zh-CN"/>
              </w:rPr>
              <w:t>6</w:t>
            </w:r>
            <w:r>
              <w:rPr>
                <w:rFonts w:hint="default" w:ascii="Times New Roman" w:hAnsi="Times New Roman" w:eastAsia="仿宋" w:cs="Times New Roman"/>
                <w:color w:val="auto"/>
                <w:sz w:val="24"/>
                <w:szCs w:val="24"/>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表4-</w:t>
            </w:r>
            <w:r>
              <w:rPr>
                <w:rFonts w:hint="eastAsia" w:ascii="Times New Roman" w:hAnsi="Times New Roman" w:eastAsia="仿宋" w:cs="Times New Roman"/>
                <w:b/>
                <w:color w:val="auto"/>
                <w:kern w:val="0"/>
                <w:sz w:val="21"/>
                <w:szCs w:val="21"/>
                <w:lang w:val="en-US" w:eastAsia="zh-CN"/>
              </w:rPr>
              <w:t>6</w:t>
            </w:r>
            <w:r>
              <w:rPr>
                <w:rFonts w:hint="default" w:ascii="Times New Roman" w:hAnsi="Times New Roman" w:eastAsia="仿宋" w:cs="Times New Roman"/>
                <w:b/>
                <w:color w:val="auto"/>
                <w:kern w:val="0"/>
                <w:sz w:val="21"/>
                <w:szCs w:val="21"/>
              </w:rPr>
              <w:t>建设项目可能产生的土壤侵蚀</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15"/>
              <w:gridCol w:w="1423"/>
              <w:gridCol w:w="3501"/>
              <w:gridCol w:w="24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607" w:type="pct"/>
                  <w:vAlign w:val="center"/>
                </w:tcPr>
                <w:p>
                  <w:pPr>
                    <w:pStyle w:val="62"/>
                    <w:spacing w:line="240" w:lineRule="auto"/>
                    <w:ind w:left="0" w:right="0"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时段</w:t>
                  </w:r>
                </w:p>
              </w:tc>
              <w:tc>
                <w:tcPr>
                  <w:tcW w:w="851" w:type="pct"/>
                  <w:vAlign w:val="center"/>
                </w:tcPr>
                <w:p>
                  <w:pPr>
                    <w:pStyle w:val="62"/>
                    <w:spacing w:line="240" w:lineRule="auto"/>
                    <w:ind w:left="0" w:right="0"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发生区域</w:t>
                  </w:r>
                </w:p>
              </w:tc>
              <w:tc>
                <w:tcPr>
                  <w:tcW w:w="2094" w:type="pct"/>
                  <w:vAlign w:val="center"/>
                </w:tcPr>
                <w:p>
                  <w:pPr>
                    <w:pStyle w:val="62"/>
                    <w:spacing w:line="240" w:lineRule="auto"/>
                    <w:ind w:left="0" w:right="0"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工程建设特点</w:t>
                  </w:r>
                </w:p>
              </w:tc>
              <w:tc>
                <w:tcPr>
                  <w:tcW w:w="1446" w:type="pct"/>
                  <w:vAlign w:val="center"/>
                </w:tcPr>
                <w:p>
                  <w:pPr>
                    <w:pStyle w:val="62"/>
                    <w:spacing w:line="240" w:lineRule="auto"/>
                    <w:ind w:left="0" w:right="0"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侵蚀特点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607" w:type="pct"/>
                  <w:vMerge w:val="restart"/>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开采期</w:t>
                  </w:r>
                </w:p>
              </w:tc>
              <w:tc>
                <w:tcPr>
                  <w:tcW w:w="851" w:type="pct"/>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开采区</w:t>
                  </w:r>
                </w:p>
              </w:tc>
              <w:tc>
                <w:tcPr>
                  <w:tcW w:w="2094" w:type="pct"/>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土体、岩石剥离、堆积和扰动</w:t>
                  </w:r>
                </w:p>
              </w:tc>
              <w:tc>
                <w:tcPr>
                  <w:tcW w:w="1446" w:type="pct"/>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面蚀、沟蚀、重力侵蚀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607" w:type="pct"/>
                  <w:vMerge w:val="continue"/>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rPr>
                  </w:pPr>
                </w:p>
              </w:tc>
              <w:tc>
                <w:tcPr>
                  <w:tcW w:w="851" w:type="pct"/>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rPr>
                    <w:t>运矿道路</w:t>
                  </w:r>
                </w:p>
              </w:tc>
              <w:tc>
                <w:tcPr>
                  <w:tcW w:w="2094" w:type="pct"/>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rPr>
                    <w:t>运输时造成的路面碾压及扬尘</w:t>
                  </w:r>
                </w:p>
              </w:tc>
              <w:tc>
                <w:tcPr>
                  <w:tcW w:w="1446" w:type="pct"/>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rPr>
                    <w:t>风蚀</w:t>
                  </w:r>
                </w:p>
              </w:tc>
            </w:tr>
          </w:tbl>
          <w:p>
            <w:pPr>
              <w:keepNext w:val="0"/>
              <w:keepLines w:val="0"/>
              <w:pageBreakBefore w:val="0"/>
              <w:widowControl w:val="0"/>
              <w:kinsoku/>
              <w:wordWrap/>
              <w:overflowPunct/>
              <w:topLinePunct w:val="0"/>
              <w:autoSpaceDE/>
              <w:autoSpaceDN/>
              <w:bidi w:val="0"/>
              <w:adjustRightInd w:val="0"/>
              <w:snapToGrid w:val="0"/>
              <w:ind w:left="0" w:right="0" w:firstLine="420"/>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矿区的开发建设活动将不可避免地破坏现有自然植被的土地资源，矿区的开挖破坏、堆料场的征占、运矿道路的建设将新增水土流失，导致水土流失危害程度显著增强，矿区生态环境恶化。</w:t>
            </w:r>
          </w:p>
          <w:p>
            <w:pPr>
              <w:pStyle w:val="62"/>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（8）退役期环境影响分析</w:t>
            </w:r>
          </w:p>
          <w:p>
            <w:pPr>
              <w:pStyle w:val="62"/>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运营期满后，会按照国家有关规定进行闭矿。</w:t>
            </w:r>
            <w:r>
              <w:rPr>
                <w:rFonts w:hint="default" w:ascii="Times New Roman" w:hAnsi="Times New Roman" w:eastAsia="仿宋" w:cs="Times New Roman"/>
                <w:color w:val="auto"/>
                <w:sz w:val="24"/>
                <w:szCs w:val="24"/>
                <w:lang w:eastAsia="zh-CN"/>
              </w:rPr>
              <w:t>砂石矿</w:t>
            </w:r>
            <w:r>
              <w:rPr>
                <w:rFonts w:hint="default" w:ascii="Times New Roman" w:hAnsi="Times New Roman" w:eastAsia="仿宋" w:cs="Times New Roman"/>
                <w:color w:val="auto"/>
                <w:sz w:val="24"/>
                <w:szCs w:val="24"/>
              </w:rPr>
              <w:t>在闭矿期的时段内，与运营期相比，对自然环境诸要素的影响将趋于减缓，主要体现在：</w:t>
            </w:r>
          </w:p>
          <w:p>
            <w:pPr>
              <w:pStyle w:val="62"/>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①采掘行业特有的地表变形问题，将随着开采活动的停止而逐渐趋于稳定，不会再有新的沉陷区出现；</w:t>
            </w:r>
          </w:p>
          <w:p>
            <w:pPr>
              <w:pStyle w:val="62"/>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rPr>
            </w:pPr>
            <w:r>
              <w:rPr>
                <w:rFonts w:hint="default" w:ascii="Times New Roman" w:hAnsi="Times New Roman" w:eastAsia="仿宋" w:cs="Times New Roman"/>
                <w:color w:val="auto"/>
                <w:sz w:val="24"/>
                <w:szCs w:val="24"/>
              </w:rPr>
              <w:t>②闭矿期内开采的设备也将停止运行，产污环节消失，将使该区域污染状况逐步好转；</w:t>
            </w:r>
          </w:p>
          <w:p>
            <w:pPr>
              <w:pStyle w:val="62"/>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rPr>
            </w:pPr>
            <w:r>
              <w:rPr>
                <w:rFonts w:hint="default" w:ascii="Times New Roman" w:hAnsi="Times New Roman" w:eastAsia="仿宋" w:cs="Times New Roman"/>
                <w:color w:val="auto"/>
              </w:rPr>
              <w:t>③对开采区的土地进行削坡及固坡，从而改善开采区的水土流失，此外在缓坡地带进行土地复垦及绿化，从而使开采区及周边区域的生态环境得到较大改善。</w:t>
            </w:r>
          </w:p>
          <w:p>
            <w:pPr>
              <w:pStyle w:val="62"/>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rPr>
              <w:t>④</w:t>
            </w:r>
            <w:r>
              <w:rPr>
                <w:rFonts w:hint="default" w:ascii="Times New Roman" w:hAnsi="Times New Roman" w:eastAsia="仿宋" w:cs="Times New Roman"/>
                <w:color w:val="auto"/>
                <w:lang w:val="zh-CN"/>
              </w:rPr>
              <w:t>本项目恢复治理完成后，生态环境及动物生存环境改善，可能会吸引部分动物</w:t>
            </w:r>
            <w:r>
              <w:rPr>
                <w:rFonts w:hint="default" w:ascii="Times New Roman" w:hAnsi="Times New Roman" w:eastAsia="仿宋" w:cs="Times New Roman"/>
                <w:color w:val="auto"/>
                <w:sz w:val="24"/>
                <w:szCs w:val="24"/>
                <w:lang w:val="zh-CN"/>
              </w:rPr>
              <w:t>进入该区域，增加区域的生物多样性。</w:t>
            </w:r>
          </w:p>
          <w:p>
            <w:pPr>
              <w:pStyle w:val="62"/>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lang w:val="zh-CN"/>
              </w:rPr>
              <w:fldChar w:fldCharType="begin"/>
            </w:r>
            <w:r>
              <w:rPr>
                <w:rFonts w:hint="default" w:ascii="Times New Roman" w:hAnsi="Times New Roman" w:eastAsia="仿宋" w:cs="Times New Roman"/>
                <w:color w:val="auto"/>
                <w:lang w:val="zh-CN"/>
              </w:rPr>
              <w:instrText xml:space="preserve"> = 5 \* GB3 </w:instrText>
            </w:r>
            <w:r>
              <w:rPr>
                <w:rFonts w:hint="default" w:ascii="Times New Roman" w:hAnsi="Times New Roman" w:eastAsia="仿宋" w:cs="Times New Roman"/>
                <w:color w:val="auto"/>
                <w:lang w:val="zh-CN"/>
              </w:rPr>
              <w:fldChar w:fldCharType="separate"/>
            </w:r>
            <w:r>
              <w:rPr>
                <w:rFonts w:hint="default" w:ascii="Times New Roman" w:hAnsi="Times New Roman" w:eastAsia="仿宋" w:cs="Times New Roman"/>
                <w:color w:val="auto"/>
                <w:lang w:val="zh-CN"/>
              </w:rPr>
              <w:t>⑤</w:t>
            </w:r>
            <w:r>
              <w:rPr>
                <w:rFonts w:hint="default" w:ascii="Times New Roman" w:hAnsi="Times New Roman" w:eastAsia="仿宋" w:cs="Times New Roman"/>
                <w:color w:val="auto"/>
                <w:lang w:val="zh-CN"/>
              </w:rPr>
              <w:fldChar w:fldCharType="end"/>
            </w:r>
            <w:r>
              <w:rPr>
                <w:rFonts w:hint="default" w:ascii="Times New Roman" w:hAnsi="Times New Roman" w:eastAsia="仿宋" w:cs="Times New Roman"/>
                <w:color w:val="auto"/>
                <w:sz w:val="24"/>
                <w:szCs w:val="24"/>
                <w:lang w:val="zh-CN"/>
              </w:rPr>
              <w:t>项目封场生态恢复后，地表覆盖率显著增加，植被群落物种增加，异质性增大，视觉效果大幅改善，色彩鲜明，景观效果改善，与周边环境协调性增加。</w:t>
            </w:r>
          </w:p>
          <w:p>
            <w:pPr>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因此，矿区闭矿期后，项目评价区的生态环境将得到明显</w:t>
            </w:r>
            <w:r>
              <w:rPr>
                <w:rFonts w:hint="default" w:ascii="Times New Roman" w:hAnsi="Times New Roman" w:eastAsia="仿宋" w:cs="Times New Roman"/>
                <w:color w:val="auto"/>
                <w:sz w:val="24"/>
                <w:szCs w:val="24"/>
                <w:lang w:eastAsia="zh-CN"/>
              </w:rPr>
              <w:t>地</w:t>
            </w:r>
            <w:r>
              <w:rPr>
                <w:rFonts w:hint="default" w:ascii="Times New Roman" w:hAnsi="Times New Roman" w:eastAsia="仿宋" w:cs="Times New Roman"/>
                <w:color w:val="auto"/>
                <w:sz w:val="24"/>
                <w:szCs w:val="24"/>
              </w:rPr>
              <w:t>改善。</w:t>
            </w:r>
          </w:p>
          <w:p>
            <w:pPr>
              <w:keepNext w:val="0"/>
              <w:keepLines w:val="0"/>
              <w:pageBreakBefore w:val="0"/>
              <w:widowControl w:val="0"/>
              <w:kinsoku/>
              <w:wordWrap/>
              <w:overflowPunct w:val="0"/>
              <w:topLinePunct w:val="0"/>
              <w:autoSpaceDE/>
              <w:autoSpaceDN/>
              <w:bidi w:val="0"/>
              <w:adjustRightInd w:val="0"/>
              <w:snapToGrid w:val="0"/>
              <w:ind w:left="0" w:right="0" w:firstLine="422"/>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2、大气环境影响分析</w:t>
            </w:r>
          </w:p>
          <w:p>
            <w:pPr>
              <w:pStyle w:val="62"/>
              <w:ind w:left="0" w:right="0" w:firstLine="420"/>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2.1废气污染源分析</w:t>
            </w:r>
          </w:p>
          <w:p>
            <w:pPr>
              <w:keepNext w:val="0"/>
              <w:keepLines w:val="0"/>
              <w:pageBreakBefore w:val="0"/>
              <w:widowControl w:val="0"/>
              <w:kinsoku/>
              <w:wordWrap/>
              <w:overflowPunct w:val="0"/>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本项目运营期废气主要为开采粉尘、装卸车粉尘、运输扬尘</w:t>
            </w:r>
            <w:r>
              <w:rPr>
                <w:rFonts w:hint="eastAsia" w:eastAsia="仿宋" w:cs="Times New Roman"/>
                <w:color w:val="auto"/>
                <w:sz w:val="24"/>
                <w:szCs w:val="24"/>
                <w:lang w:val="en-US" w:eastAsia="zh-CN"/>
              </w:rPr>
              <w:t>等</w:t>
            </w:r>
            <w:r>
              <w:rPr>
                <w:rFonts w:hint="default" w:ascii="Times New Roman" w:hAnsi="Times New Roman" w:eastAsia="仿宋" w:cs="Times New Roman"/>
                <w:color w:val="auto"/>
                <w:sz w:val="24"/>
                <w:szCs w:val="24"/>
              </w:rPr>
              <w:t>。</w:t>
            </w:r>
          </w:p>
          <w:p>
            <w:pPr>
              <w:pStyle w:val="62"/>
              <w:ind w:left="0" w:right="0" w:firstLine="420"/>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（1）开采粉尘</w:t>
            </w:r>
          </w:p>
          <w:p>
            <w:pPr>
              <w:pStyle w:val="62"/>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露天开采扬尘参照《第二次全国污染源普查工业源系数手册》中《1019粘土及其他土砂石开采行业系数手册》中给出的产污系数为0.082kg/t。</w:t>
            </w:r>
          </w:p>
          <w:p>
            <w:pPr>
              <w:pStyle w:val="62"/>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本项目开采量为</w:t>
            </w:r>
            <w:r>
              <w:rPr>
                <w:rFonts w:hint="eastAsia" w:eastAsia="仿宋" w:cs="Times New Roman"/>
                <w:color w:val="auto"/>
                <w:sz w:val="24"/>
                <w:szCs w:val="24"/>
                <w:lang w:val="en-US" w:eastAsia="zh-CN"/>
              </w:rPr>
              <w:t>22.5万</w:t>
            </w:r>
            <w:r>
              <w:rPr>
                <w:rFonts w:hint="default" w:ascii="Times New Roman" w:hAnsi="Times New Roman" w:eastAsia="仿宋" w:cs="Times New Roman"/>
                <w:color w:val="auto"/>
                <w:sz w:val="24"/>
                <w:szCs w:val="24"/>
              </w:rPr>
              <w:t>t/a，经计算，本项目开采起尘量约为</w:t>
            </w:r>
            <w:r>
              <w:rPr>
                <w:rFonts w:hint="eastAsia" w:eastAsia="仿宋" w:cs="Times New Roman"/>
                <w:color w:val="auto"/>
                <w:sz w:val="24"/>
                <w:szCs w:val="24"/>
                <w:lang w:val="en-US" w:eastAsia="zh-CN"/>
              </w:rPr>
              <w:t>18.45</w:t>
            </w:r>
            <w:r>
              <w:rPr>
                <w:rFonts w:hint="default" w:ascii="Times New Roman" w:hAnsi="Times New Roman" w:eastAsia="仿宋" w:cs="Times New Roman"/>
                <w:color w:val="auto"/>
                <w:sz w:val="24"/>
                <w:szCs w:val="24"/>
              </w:rPr>
              <w:t>t/a。开采作业时，企业主要采取湿式作业的方式来降低粉尘的产生量，可实现抑尘率达80%，则开采时扬尘的产生量为</w:t>
            </w:r>
            <w:r>
              <w:rPr>
                <w:rFonts w:hint="eastAsia" w:eastAsia="仿宋" w:cs="Times New Roman"/>
                <w:color w:val="auto"/>
                <w:sz w:val="24"/>
                <w:szCs w:val="24"/>
                <w:lang w:val="en-US" w:eastAsia="zh-CN"/>
              </w:rPr>
              <w:t>3.69t</w:t>
            </w:r>
            <w:r>
              <w:rPr>
                <w:rFonts w:hint="default" w:ascii="Times New Roman" w:hAnsi="Times New Roman" w:eastAsia="仿宋" w:cs="Times New Roman"/>
                <w:color w:val="auto"/>
                <w:sz w:val="24"/>
                <w:szCs w:val="24"/>
              </w:rPr>
              <w:t>/a。</w:t>
            </w:r>
          </w:p>
          <w:p>
            <w:pPr>
              <w:pStyle w:val="62"/>
              <w:ind w:firstLine="420"/>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b w:val="0"/>
                <w:bCs w:val="0"/>
                <w:color w:val="auto"/>
                <w:sz w:val="24"/>
                <w:szCs w:val="24"/>
                <w:highlight w:val="none"/>
              </w:rPr>
              <w:t>（2）装卸车粉尘</w:t>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产品装卸过程中会产生一定量的装卸扬尘。装卸扬尘量采用清华大学煤炭装卸扬尘公式估算：</w:t>
            </w:r>
          </w:p>
          <w:p>
            <w:pPr>
              <w:adjustRightInd w:val="0"/>
              <w:snapToGrid w:val="0"/>
              <w:ind w:firstLine="42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drawing>
                <wp:inline distT="0" distB="0" distL="0" distR="0">
                  <wp:extent cx="2159000" cy="292100"/>
                  <wp:effectExtent l="0" t="0" r="12700" b="127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159000" cy="292100"/>
                          </a:xfrm>
                          <a:prstGeom prst="rect">
                            <a:avLst/>
                          </a:prstGeom>
                          <a:noFill/>
                          <a:ln>
                            <a:noFill/>
                          </a:ln>
                        </pic:spPr>
                      </pic:pic>
                    </a:graphicData>
                  </a:graphic>
                </wp:inline>
              </w:drawing>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式中：Q——装卸扬尘，g/次；</w:t>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U——风速，取1.7m/s；</w:t>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W——矿石物料湿度，取8.0%；</w:t>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M——车辆吨位，</w:t>
            </w:r>
            <w:r>
              <w:rPr>
                <w:rFonts w:hint="eastAsia" w:eastAsia="仿宋" w:cs="Times New Roman"/>
                <w:color w:val="auto"/>
                <w:kern w:val="0"/>
                <w:sz w:val="24"/>
                <w:szCs w:val="24"/>
                <w:highlight w:val="none"/>
                <w:lang w:val="en-US" w:eastAsia="zh-CN"/>
              </w:rPr>
              <w:t>30</w:t>
            </w:r>
            <w:r>
              <w:rPr>
                <w:rFonts w:hint="default" w:ascii="Times New Roman" w:hAnsi="Times New Roman" w:eastAsia="仿宋" w:cs="Times New Roman"/>
                <w:color w:val="auto"/>
                <w:kern w:val="0"/>
                <w:sz w:val="24"/>
                <w:szCs w:val="24"/>
                <w:highlight w:val="none"/>
              </w:rPr>
              <w:t>t；</w:t>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H——装卸高度，2.5m。</w:t>
            </w:r>
          </w:p>
          <w:p>
            <w:pPr>
              <w:pStyle w:val="62"/>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经计算，每车次装卸产品时产生的扬尘量为</w:t>
            </w:r>
            <w:r>
              <w:rPr>
                <w:rFonts w:hint="default" w:ascii="Times New Roman" w:hAnsi="Times New Roman" w:eastAsia="仿宋" w:cs="Times New Roman"/>
                <w:color w:val="auto"/>
                <w:sz w:val="24"/>
                <w:szCs w:val="24"/>
                <w:highlight w:val="none"/>
                <w:lang w:val="en-US" w:eastAsia="zh-CN"/>
              </w:rPr>
              <w:t>141.14</w:t>
            </w:r>
            <w:r>
              <w:rPr>
                <w:rFonts w:hint="default" w:ascii="Times New Roman" w:hAnsi="Times New Roman" w:eastAsia="仿宋" w:cs="Times New Roman"/>
                <w:color w:val="auto"/>
                <w:sz w:val="24"/>
                <w:szCs w:val="24"/>
                <w:highlight w:val="none"/>
              </w:rPr>
              <w:t>g，每年需要装卸矿石产品</w:t>
            </w:r>
            <w:r>
              <w:rPr>
                <w:rFonts w:hint="eastAsia" w:ascii="Times New Roman" w:hAnsi="Times New Roman" w:eastAsia="仿宋" w:cs="Times New Roman"/>
                <w:color w:val="auto"/>
                <w:sz w:val="24"/>
                <w:szCs w:val="24"/>
                <w:highlight w:val="none"/>
                <w:lang w:val="en-US" w:eastAsia="zh-CN"/>
              </w:rPr>
              <w:t>22.5</w:t>
            </w:r>
            <w:r>
              <w:rPr>
                <w:rFonts w:hint="default" w:ascii="Times New Roman" w:hAnsi="Times New Roman" w:eastAsia="仿宋" w:cs="Times New Roman"/>
                <w:color w:val="auto"/>
                <w:sz w:val="24"/>
                <w:szCs w:val="24"/>
                <w:highlight w:val="none"/>
                <w:lang w:val="en-US" w:eastAsia="zh-CN"/>
              </w:rPr>
              <w:t>万</w:t>
            </w:r>
            <w:r>
              <w:rPr>
                <w:rFonts w:hint="default" w:ascii="Times New Roman" w:hAnsi="Times New Roman" w:eastAsia="仿宋" w:cs="Times New Roman"/>
                <w:color w:val="auto"/>
                <w:sz w:val="24"/>
                <w:szCs w:val="24"/>
                <w:highlight w:val="none"/>
              </w:rPr>
              <w:t>t</w:t>
            </w:r>
            <w:r>
              <w:rPr>
                <w:rFonts w:hint="eastAsia" w:eastAsia="仿宋" w:cs="Times New Roman"/>
                <w:color w:val="auto"/>
                <w:sz w:val="24"/>
                <w:szCs w:val="24"/>
                <w:highlight w:val="none"/>
                <w:lang w:eastAsia="zh-CN"/>
              </w:rPr>
              <w:t>（</w:t>
            </w:r>
            <w:r>
              <w:rPr>
                <w:rFonts w:hint="default" w:ascii="Times New Roman" w:hAnsi="Times New Roman" w:eastAsia="仿宋" w:cs="Times New Roman"/>
                <w:color w:val="auto"/>
                <w:sz w:val="24"/>
                <w:szCs w:val="24"/>
              </w:rPr>
              <w:t>本项目开采量为</w:t>
            </w:r>
            <w:r>
              <w:rPr>
                <w:rFonts w:hint="eastAsia" w:ascii="Times New Roman" w:hAnsi="Times New Roman" w:eastAsia="仿宋" w:cs="Times New Roman"/>
                <w:color w:val="auto"/>
                <w:sz w:val="24"/>
                <w:szCs w:val="24"/>
                <w:lang w:val="en-US" w:eastAsia="zh-CN"/>
              </w:rPr>
              <w:t>22.5</w:t>
            </w:r>
            <w:r>
              <w:rPr>
                <w:rFonts w:hint="default" w:ascii="Times New Roman" w:hAnsi="Times New Roman" w:eastAsia="仿宋" w:cs="Times New Roman"/>
                <w:color w:val="auto"/>
                <w:sz w:val="24"/>
                <w:szCs w:val="24"/>
                <w:lang w:val="en-US" w:eastAsia="zh-CN"/>
              </w:rPr>
              <w:t>万</w:t>
            </w:r>
            <w:r>
              <w:rPr>
                <w:rFonts w:hint="default" w:ascii="Times New Roman" w:hAnsi="Times New Roman" w:eastAsia="仿宋" w:cs="Times New Roman"/>
                <w:color w:val="auto"/>
                <w:sz w:val="24"/>
                <w:szCs w:val="24"/>
              </w:rPr>
              <w:t>t/a</w:t>
            </w:r>
            <w:r>
              <w:rPr>
                <w:rFonts w:hint="eastAsia"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，用载重</w:t>
            </w:r>
            <w:r>
              <w:rPr>
                <w:rFonts w:hint="eastAsia" w:eastAsia="仿宋" w:cs="Times New Roman"/>
                <w:color w:val="auto"/>
                <w:sz w:val="24"/>
                <w:szCs w:val="24"/>
                <w:highlight w:val="none"/>
                <w:lang w:val="en-US" w:eastAsia="zh-CN"/>
              </w:rPr>
              <w:t>30</w:t>
            </w:r>
            <w:r>
              <w:rPr>
                <w:rFonts w:hint="default" w:ascii="Times New Roman" w:hAnsi="Times New Roman" w:eastAsia="仿宋" w:cs="Times New Roman"/>
                <w:color w:val="auto"/>
                <w:sz w:val="24"/>
                <w:szCs w:val="24"/>
                <w:highlight w:val="none"/>
              </w:rPr>
              <w:t>t/车计，</w:t>
            </w:r>
            <w:r>
              <w:rPr>
                <w:rFonts w:hint="eastAsia" w:eastAsia="仿宋" w:cs="Times New Roman"/>
                <w:color w:val="auto"/>
                <w:sz w:val="24"/>
                <w:szCs w:val="24"/>
                <w:highlight w:val="none"/>
                <w:lang w:val="en-US" w:eastAsia="zh-CN"/>
              </w:rPr>
              <w:t>年装卸次数为7500次，则</w:t>
            </w:r>
            <w:r>
              <w:rPr>
                <w:rFonts w:hint="default" w:ascii="Times New Roman" w:hAnsi="Times New Roman" w:eastAsia="仿宋" w:cs="Times New Roman"/>
                <w:color w:val="auto"/>
                <w:sz w:val="24"/>
                <w:szCs w:val="24"/>
                <w:highlight w:val="none"/>
              </w:rPr>
              <w:t>装卸扬尘约为</w:t>
            </w:r>
            <w:r>
              <w:rPr>
                <w:rFonts w:hint="eastAsia" w:eastAsia="仿宋" w:cs="Times New Roman"/>
                <w:color w:val="auto"/>
                <w:sz w:val="24"/>
                <w:szCs w:val="24"/>
                <w:highlight w:val="none"/>
                <w:lang w:val="en-US" w:eastAsia="zh-CN"/>
              </w:rPr>
              <w:t>1.06</w:t>
            </w:r>
            <w:r>
              <w:rPr>
                <w:rFonts w:hint="default" w:ascii="Times New Roman" w:hAnsi="Times New Roman" w:eastAsia="仿宋" w:cs="Times New Roman"/>
                <w:color w:val="auto"/>
                <w:sz w:val="24"/>
                <w:szCs w:val="24"/>
                <w:highlight w:val="none"/>
              </w:rPr>
              <w:t>t/a；通过采取雾炮机喷淋降尘后，可降低粉尘80%以上，则矿石产品装卸扬尘排放量约为</w:t>
            </w:r>
            <w:r>
              <w:rPr>
                <w:rFonts w:hint="default" w:ascii="Times New Roman" w:hAnsi="Times New Roman" w:eastAsia="仿宋" w:cs="Times New Roman"/>
                <w:color w:val="auto"/>
                <w:sz w:val="24"/>
                <w:szCs w:val="24"/>
                <w:highlight w:val="none"/>
                <w:lang w:val="en-US" w:eastAsia="zh-CN"/>
              </w:rPr>
              <w:t>0</w:t>
            </w:r>
            <w:r>
              <w:rPr>
                <w:rFonts w:hint="eastAsia" w:ascii="Times New Roman" w:hAnsi="Times New Roman" w:eastAsia="仿宋" w:cs="Times New Roman"/>
                <w:color w:val="auto"/>
                <w:sz w:val="24"/>
                <w:szCs w:val="24"/>
                <w:highlight w:val="none"/>
                <w:lang w:val="en-US" w:eastAsia="zh-CN"/>
              </w:rPr>
              <w:t>.21</w:t>
            </w:r>
            <w:r>
              <w:rPr>
                <w:rFonts w:hint="default" w:ascii="Times New Roman" w:hAnsi="Times New Roman" w:eastAsia="仿宋" w:cs="Times New Roman"/>
                <w:color w:val="auto"/>
                <w:sz w:val="24"/>
                <w:szCs w:val="24"/>
                <w:highlight w:val="none"/>
                <w:lang w:val="en-US" w:eastAsia="zh-CN"/>
              </w:rPr>
              <w:t>t</w:t>
            </w:r>
            <w:r>
              <w:rPr>
                <w:rFonts w:hint="default" w:ascii="Times New Roman" w:hAnsi="Times New Roman" w:eastAsia="仿宋" w:cs="Times New Roman"/>
                <w:color w:val="auto"/>
                <w:sz w:val="24"/>
                <w:szCs w:val="24"/>
                <w:highlight w:val="none"/>
              </w:rPr>
              <w:t>/a。</w:t>
            </w:r>
          </w:p>
          <w:p>
            <w:pPr>
              <w:spacing w:line="360" w:lineRule="auto"/>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w:t>
            </w:r>
            <w:r>
              <w:rPr>
                <w:rFonts w:hint="eastAsia"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）设备和车辆运行时排放废气</w:t>
            </w:r>
          </w:p>
          <w:p>
            <w:pPr>
              <w:adjustRightInd w:val="0"/>
              <w:snapToGrid w:val="0"/>
              <w:spacing w:line="360" w:lineRule="auto"/>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机械废气包括：各种燃油机械的废气排放，运输车辆产生的尾气等。燃油</w:t>
            </w:r>
          </w:p>
          <w:p>
            <w:pPr>
              <w:adjustRightInd w:val="0"/>
              <w:snapToGrid w:val="0"/>
              <w:spacing w:line="360" w:lineRule="auto"/>
              <w:ind w:left="0" w:leftChars="0"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机械和汽车尾气中的污染物主要有CO、NOx及碳氢化合物（HC）等。据交通部公路研究所的测算，以载重卡车为例，测得每辆卡车的尾气中含CO37.23g/km·辆，CnHm15.98g/km·辆，NOx16.83g/km·辆。这些施工机械所排放的废气以无组织面源的形式排放，会对施工区域的大气环境造成轻微影响。</w:t>
            </w:r>
          </w:p>
          <w:p>
            <w:pPr>
              <w:pStyle w:val="62"/>
              <w:ind w:firstLine="420"/>
              <w:rPr>
                <w:rFonts w:hint="eastAsia" w:eastAsia="仿宋" w:cs="Times New Roman"/>
                <w:bCs/>
                <w:color w:val="auto"/>
                <w:sz w:val="24"/>
                <w:szCs w:val="24"/>
                <w:highlight w:val="none"/>
                <w:lang w:eastAsia="zh-CN"/>
              </w:rPr>
            </w:pPr>
          </w:p>
          <w:p>
            <w:pPr>
              <w:pStyle w:val="62"/>
              <w:ind w:firstLine="420"/>
              <w:rPr>
                <w:rFonts w:hint="default" w:ascii="Times New Roman" w:hAnsi="Times New Roman" w:eastAsia="仿宋" w:cs="Times New Roman"/>
                <w:color w:val="auto"/>
                <w:highlight w:val="none"/>
              </w:rPr>
            </w:pPr>
            <w:r>
              <w:rPr>
                <w:rFonts w:hint="eastAsia" w:eastAsia="仿宋" w:cs="Times New Roman"/>
                <w:bCs/>
                <w:color w:val="auto"/>
                <w:sz w:val="24"/>
                <w:szCs w:val="24"/>
                <w:highlight w:val="none"/>
                <w:lang w:eastAsia="zh-CN"/>
              </w:rPr>
              <w:t>（</w:t>
            </w:r>
            <w:r>
              <w:rPr>
                <w:rFonts w:hint="eastAsia" w:eastAsia="仿宋" w:cs="Times New Roman"/>
                <w:bCs/>
                <w:color w:val="auto"/>
                <w:sz w:val="24"/>
                <w:szCs w:val="24"/>
                <w:highlight w:val="none"/>
                <w:lang w:val="en-US" w:eastAsia="zh-CN"/>
              </w:rPr>
              <w:t>4</w:t>
            </w:r>
            <w:r>
              <w:rPr>
                <w:rFonts w:hint="eastAsia" w:eastAsia="仿宋" w:cs="Times New Roman"/>
                <w:bCs/>
                <w:color w:val="auto"/>
                <w:sz w:val="24"/>
                <w:szCs w:val="24"/>
                <w:highlight w:val="none"/>
                <w:lang w:eastAsia="zh-CN"/>
              </w:rPr>
              <w:t>）</w:t>
            </w:r>
            <w:r>
              <w:rPr>
                <w:rFonts w:hint="default" w:ascii="Times New Roman" w:hAnsi="Times New Roman" w:eastAsia="仿宋" w:cs="Times New Roman"/>
                <w:color w:val="auto"/>
                <w:highlight w:val="none"/>
              </w:rPr>
              <w:t>运输扬尘</w:t>
            </w:r>
          </w:p>
          <w:p>
            <w:pPr>
              <w:pStyle w:val="62"/>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道路运输扬尘主要为自卸卡车将原料转运至生产区产生的粉尘，计算公式如下：</w:t>
            </w:r>
          </w:p>
          <w:p>
            <w:pPr>
              <w:pStyle w:val="62"/>
              <w:ind w:firstLine="420"/>
              <w:rPr>
                <w:rFonts w:hint="default" w:ascii="Times New Roman" w:hAnsi="Times New Roman" w:eastAsia="仿宋" w:cs="Times New Roman"/>
                <w:color w:val="auto"/>
                <w:highlight w:val="none"/>
              </w:rPr>
            </w:pPr>
            <m:oMathPara>
              <m:oMathParaPr>
                <m:jc m:val="center"/>
              </m:oMathParaPr>
              <m:oMath>
                <m:sSub>
                  <m:sSubPr>
                    <m:ctrlPr>
                      <w:rPr>
                        <w:rFonts w:hint="default" w:ascii="Cambria Math" w:hAnsi="Cambria Math" w:eastAsia="仿宋" w:cs="Times New Roman"/>
                        <w:color w:val="auto"/>
                        <w:highlight w:val="none"/>
                      </w:rPr>
                    </m:ctrlPr>
                  </m:sSubPr>
                  <m:e>
                    <m:r>
                      <m:rPr/>
                      <w:rPr>
                        <w:rFonts w:hint="default" w:ascii="Cambria Math" w:hAnsi="Cambria Math" w:eastAsia="仿宋" w:cs="Times New Roman"/>
                        <w:color w:val="auto"/>
                        <w:highlight w:val="none"/>
                      </w:rPr>
                      <m:t>Q</m:t>
                    </m:r>
                    <m:ctrlPr>
                      <w:rPr>
                        <w:rFonts w:hint="default" w:ascii="Cambria Math" w:hAnsi="Cambria Math" w:eastAsia="仿宋" w:cs="Times New Roman"/>
                        <w:color w:val="auto"/>
                        <w:highlight w:val="none"/>
                      </w:rPr>
                    </m:ctrlPr>
                  </m:e>
                  <m:sub>
                    <m:r>
                      <m:rPr>
                        <m:sty m:val="p"/>
                      </m:rPr>
                      <w:rPr>
                        <w:rFonts w:hint="default" w:ascii="Cambria Math" w:hAnsi="Cambria Math" w:eastAsia="仿宋" w:cs="Times New Roman"/>
                        <w:color w:val="auto"/>
                        <w:highlight w:val="none"/>
                      </w:rPr>
                      <m:t>p</m:t>
                    </m:r>
                    <m:ctrlPr>
                      <w:rPr>
                        <w:rFonts w:hint="default" w:ascii="Cambria Math" w:hAnsi="Cambria Math" w:eastAsia="仿宋" w:cs="Times New Roman"/>
                        <w:color w:val="auto"/>
                        <w:highlight w:val="none"/>
                      </w:rPr>
                    </m:ctrlPr>
                  </m:sub>
                </m:sSub>
                <m:r>
                  <m:rPr>
                    <m:sty m:val="p"/>
                  </m:rPr>
                  <w:rPr>
                    <w:rFonts w:hint="default" w:ascii="Cambria Math" w:hAnsi="Cambria Math" w:eastAsia="仿宋" w:cs="Times New Roman"/>
                    <w:color w:val="auto"/>
                    <w:highlight w:val="none"/>
                  </w:rPr>
                  <m:t>=0.123</m:t>
                </m:r>
                <m:f>
                  <m:fPr>
                    <m:ctrlPr>
                      <w:rPr>
                        <w:rFonts w:hint="default" w:ascii="Cambria Math" w:hAnsi="Cambria Math" w:eastAsia="仿宋" w:cs="Times New Roman"/>
                        <w:color w:val="auto"/>
                        <w:highlight w:val="none"/>
                      </w:rPr>
                    </m:ctrlPr>
                  </m:fPr>
                  <m:num>
                    <m:r>
                      <m:rPr/>
                      <w:rPr>
                        <w:rFonts w:hint="default" w:ascii="Cambria Math" w:hAnsi="Cambria Math" w:eastAsia="仿宋" w:cs="Times New Roman"/>
                        <w:color w:val="auto"/>
                        <w:highlight w:val="none"/>
                      </w:rPr>
                      <m:t>V</m:t>
                    </m:r>
                    <m:ctrlPr>
                      <w:rPr>
                        <w:rFonts w:hint="default" w:ascii="Cambria Math" w:hAnsi="Cambria Math" w:eastAsia="仿宋" w:cs="Times New Roman"/>
                        <w:color w:val="auto"/>
                        <w:highlight w:val="none"/>
                      </w:rPr>
                    </m:ctrlPr>
                  </m:num>
                  <m:den>
                    <m:r>
                      <m:rPr>
                        <m:sty m:val="p"/>
                      </m:rPr>
                      <w:rPr>
                        <w:rFonts w:hint="default" w:ascii="Cambria Math" w:hAnsi="Cambria Math" w:eastAsia="仿宋" w:cs="Times New Roman"/>
                        <w:color w:val="auto"/>
                        <w:highlight w:val="none"/>
                      </w:rPr>
                      <m:t>5</m:t>
                    </m:r>
                    <m:ctrlPr>
                      <w:rPr>
                        <w:rFonts w:hint="default" w:ascii="Cambria Math" w:hAnsi="Cambria Math" w:eastAsia="仿宋" w:cs="Times New Roman"/>
                        <w:color w:val="auto"/>
                        <w:highlight w:val="none"/>
                      </w:rPr>
                    </m:ctrlPr>
                  </m:den>
                </m:f>
                <m:r>
                  <m:rPr>
                    <m:sty m:val="p"/>
                  </m:rPr>
                  <w:rPr>
                    <w:rFonts w:hint="default" w:ascii="Cambria Math" w:hAnsi="Cambria Math" w:eastAsia="仿宋" w:cs="Times New Roman"/>
                    <w:color w:val="auto"/>
                    <w:highlight w:val="none"/>
                  </w:rPr>
                  <m:t>·</m:t>
                </m:r>
                <m:sSup>
                  <m:sSupPr>
                    <m:ctrlPr>
                      <w:rPr>
                        <w:rFonts w:hint="default" w:ascii="Cambria Math" w:hAnsi="Cambria Math" w:eastAsia="仿宋" w:cs="Times New Roman"/>
                        <w:color w:val="auto"/>
                        <w:highlight w:val="none"/>
                      </w:rPr>
                    </m:ctrlPr>
                  </m:sSupPr>
                  <m:e>
                    <m:r>
                      <m:rPr>
                        <m:sty m:val="p"/>
                      </m:rPr>
                      <w:rPr>
                        <w:rFonts w:hint="default" w:ascii="Cambria Math" w:hAnsi="Cambria Math" w:eastAsia="仿宋" w:cs="Times New Roman"/>
                        <w:color w:val="auto"/>
                        <w:highlight w:val="none"/>
                      </w:rPr>
                      <m:t>（</m:t>
                    </m:r>
                    <m:f>
                      <m:fPr>
                        <m:ctrlPr>
                          <w:rPr>
                            <w:rFonts w:hint="default" w:ascii="Cambria Math" w:hAnsi="Cambria Math" w:eastAsia="仿宋" w:cs="Times New Roman"/>
                            <w:color w:val="auto"/>
                            <w:highlight w:val="none"/>
                          </w:rPr>
                        </m:ctrlPr>
                      </m:fPr>
                      <m:num>
                        <m:r>
                          <m:rPr/>
                          <w:rPr>
                            <w:rFonts w:hint="default" w:ascii="Cambria Math" w:hAnsi="Cambria Math" w:eastAsia="仿宋" w:cs="Times New Roman"/>
                            <w:color w:val="auto"/>
                            <w:highlight w:val="none"/>
                          </w:rPr>
                          <m:t>M</m:t>
                        </m:r>
                        <m:ctrlPr>
                          <w:rPr>
                            <w:rFonts w:hint="default" w:ascii="Cambria Math" w:hAnsi="Cambria Math" w:eastAsia="仿宋" w:cs="Times New Roman"/>
                            <w:color w:val="auto"/>
                            <w:highlight w:val="none"/>
                          </w:rPr>
                        </m:ctrlPr>
                      </m:num>
                      <m:den>
                        <m:r>
                          <m:rPr>
                            <m:sty m:val="p"/>
                          </m:rPr>
                          <w:rPr>
                            <w:rFonts w:hint="default" w:ascii="Cambria Math" w:hAnsi="Cambria Math" w:eastAsia="仿宋" w:cs="Times New Roman"/>
                            <w:color w:val="auto"/>
                            <w:highlight w:val="none"/>
                          </w:rPr>
                          <m:t>6.8</m:t>
                        </m:r>
                        <m:ctrlPr>
                          <w:rPr>
                            <w:rFonts w:hint="default" w:ascii="Cambria Math" w:hAnsi="Cambria Math" w:eastAsia="仿宋" w:cs="Times New Roman"/>
                            <w:color w:val="auto"/>
                            <w:highlight w:val="none"/>
                          </w:rPr>
                        </m:ctrlPr>
                      </m:den>
                    </m:f>
                    <m:r>
                      <m:rPr>
                        <m:sty m:val="p"/>
                      </m:rPr>
                      <w:rPr>
                        <w:rFonts w:hint="default" w:ascii="Cambria Math" w:hAnsi="Cambria Math" w:eastAsia="仿宋" w:cs="Times New Roman"/>
                        <w:color w:val="auto"/>
                        <w:highlight w:val="none"/>
                      </w:rPr>
                      <m:t>）</m:t>
                    </m:r>
                    <m:ctrlPr>
                      <w:rPr>
                        <w:rFonts w:hint="default" w:ascii="Cambria Math" w:hAnsi="Cambria Math" w:eastAsia="仿宋" w:cs="Times New Roman"/>
                        <w:color w:val="auto"/>
                        <w:highlight w:val="none"/>
                      </w:rPr>
                    </m:ctrlPr>
                  </m:e>
                  <m:sup>
                    <m:r>
                      <m:rPr>
                        <m:sty m:val="p"/>
                      </m:rPr>
                      <w:rPr>
                        <w:rFonts w:hint="default" w:ascii="Cambria Math" w:hAnsi="Cambria Math" w:eastAsia="仿宋" w:cs="Times New Roman"/>
                        <w:color w:val="auto"/>
                        <w:highlight w:val="none"/>
                      </w:rPr>
                      <m:t>0.85</m:t>
                    </m:r>
                    <m:ctrlPr>
                      <w:rPr>
                        <w:rFonts w:hint="default" w:ascii="Cambria Math" w:hAnsi="Cambria Math" w:eastAsia="仿宋" w:cs="Times New Roman"/>
                        <w:color w:val="auto"/>
                        <w:highlight w:val="none"/>
                      </w:rPr>
                    </m:ctrlPr>
                  </m:sup>
                </m:sSup>
                <m:sSup>
                  <m:sSupPr>
                    <m:ctrlPr>
                      <w:rPr>
                        <w:rFonts w:hint="default" w:ascii="Cambria Math" w:hAnsi="Cambria Math" w:eastAsia="仿宋" w:cs="Times New Roman"/>
                        <w:color w:val="auto"/>
                        <w:highlight w:val="none"/>
                      </w:rPr>
                    </m:ctrlPr>
                  </m:sSupPr>
                  <m:e>
                    <m:r>
                      <m:rPr>
                        <m:sty m:val="p"/>
                      </m:rPr>
                      <w:rPr>
                        <w:rFonts w:hint="default" w:ascii="Cambria Math" w:hAnsi="Cambria Math" w:eastAsia="仿宋" w:cs="Times New Roman"/>
                        <w:color w:val="auto"/>
                        <w:highlight w:val="none"/>
                      </w:rPr>
                      <m:t>·（</m:t>
                    </m:r>
                    <m:f>
                      <m:fPr>
                        <m:ctrlPr>
                          <w:rPr>
                            <w:rFonts w:hint="default" w:ascii="Cambria Math" w:hAnsi="Cambria Math" w:eastAsia="仿宋" w:cs="Times New Roman"/>
                            <w:color w:val="auto"/>
                            <w:highlight w:val="none"/>
                          </w:rPr>
                        </m:ctrlPr>
                      </m:fPr>
                      <m:num>
                        <m:r>
                          <m:rPr/>
                          <w:rPr>
                            <w:rFonts w:hint="default" w:ascii="Cambria Math" w:hAnsi="Cambria Math" w:eastAsia="仿宋" w:cs="Times New Roman"/>
                            <w:color w:val="auto"/>
                            <w:highlight w:val="none"/>
                          </w:rPr>
                          <m:t>P</m:t>
                        </m:r>
                        <m:ctrlPr>
                          <w:rPr>
                            <w:rFonts w:hint="default" w:ascii="Cambria Math" w:hAnsi="Cambria Math" w:eastAsia="仿宋" w:cs="Times New Roman"/>
                            <w:color w:val="auto"/>
                            <w:highlight w:val="none"/>
                          </w:rPr>
                        </m:ctrlPr>
                      </m:num>
                      <m:den>
                        <m:r>
                          <m:rPr>
                            <m:sty m:val="p"/>
                          </m:rPr>
                          <w:rPr>
                            <w:rFonts w:hint="default" w:ascii="Cambria Math" w:hAnsi="Cambria Math" w:eastAsia="仿宋" w:cs="Times New Roman"/>
                            <w:color w:val="auto"/>
                            <w:highlight w:val="none"/>
                          </w:rPr>
                          <m:t>0.5</m:t>
                        </m:r>
                        <m:ctrlPr>
                          <w:rPr>
                            <w:rFonts w:hint="default" w:ascii="Cambria Math" w:hAnsi="Cambria Math" w:eastAsia="仿宋" w:cs="Times New Roman"/>
                            <w:color w:val="auto"/>
                            <w:highlight w:val="none"/>
                          </w:rPr>
                        </m:ctrlPr>
                      </m:den>
                    </m:f>
                    <m:r>
                      <m:rPr>
                        <m:sty m:val="p"/>
                      </m:rPr>
                      <w:rPr>
                        <w:rFonts w:hint="default" w:ascii="Cambria Math" w:hAnsi="Cambria Math" w:eastAsia="仿宋" w:cs="Times New Roman"/>
                        <w:color w:val="auto"/>
                        <w:highlight w:val="none"/>
                      </w:rPr>
                      <m:t>）</m:t>
                    </m:r>
                    <m:ctrlPr>
                      <w:rPr>
                        <w:rFonts w:hint="default" w:ascii="Cambria Math" w:hAnsi="Cambria Math" w:eastAsia="仿宋" w:cs="Times New Roman"/>
                        <w:color w:val="auto"/>
                        <w:highlight w:val="none"/>
                      </w:rPr>
                    </m:ctrlPr>
                  </m:e>
                  <m:sup>
                    <m:r>
                      <m:rPr>
                        <m:sty m:val="p"/>
                      </m:rPr>
                      <w:rPr>
                        <w:rFonts w:hint="default" w:ascii="Cambria Math" w:hAnsi="Cambria Math" w:eastAsia="仿宋" w:cs="Times New Roman"/>
                        <w:color w:val="auto"/>
                        <w:highlight w:val="none"/>
                      </w:rPr>
                      <m:t>0.72</m:t>
                    </m:r>
                    <m:ctrlPr>
                      <w:rPr>
                        <w:rFonts w:hint="default" w:ascii="Cambria Math" w:hAnsi="Cambria Math" w:eastAsia="仿宋" w:cs="Times New Roman"/>
                        <w:color w:val="auto"/>
                        <w:highlight w:val="none"/>
                      </w:rPr>
                    </m:ctrlPr>
                  </m:sup>
                </m:sSup>
              </m:oMath>
            </m:oMathPara>
          </w:p>
          <w:p>
            <w:pPr>
              <w:adjustRightInd w:val="0"/>
              <w:snapToGrid w:val="0"/>
              <w:ind w:firstLine="420"/>
              <w:rPr>
                <w:rFonts w:hint="default" w:ascii="Times New Roman" w:hAnsi="Times New Roman" w:eastAsia="仿宋" w:cs="Times New Roman"/>
                <w:color w:val="auto"/>
                <w:szCs w:val="21"/>
                <w:highlight w:val="none"/>
              </w:rPr>
            </w:pPr>
            <m:oMathPara>
              <m:oMathParaPr>
                <m:jc m:val="center"/>
              </m:oMathParaPr>
              <m:oMath>
                <m:sSubSup>
                  <m:sSubSupPr>
                    <m:ctrlPr>
                      <w:rPr>
                        <w:rFonts w:hint="default" w:ascii="Cambria Math" w:hAnsi="Cambria Math" w:eastAsia="仿宋" w:cs="Times New Roman"/>
                        <w:color w:val="auto"/>
                        <w:szCs w:val="21"/>
                        <w:highlight w:val="none"/>
                      </w:rPr>
                    </m:ctrlPr>
                  </m:sSubSupPr>
                  <m:e>
                    <m:r>
                      <m:rPr/>
                      <w:rPr>
                        <w:rFonts w:hint="default" w:ascii="Cambria Math" w:hAnsi="Cambria Math" w:eastAsia="仿宋" w:cs="Times New Roman"/>
                        <w:color w:val="auto"/>
                        <w:szCs w:val="21"/>
                        <w:highlight w:val="none"/>
                      </w:rPr>
                      <m:t>Q</m:t>
                    </m:r>
                    <m:ctrlPr>
                      <w:rPr>
                        <w:rFonts w:hint="default" w:ascii="Cambria Math" w:hAnsi="Cambria Math" w:eastAsia="仿宋" w:cs="Times New Roman"/>
                        <w:color w:val="auto"/>
                        <w:szCs w:val="21"/>
                        <w:highlight w:val="none"/>
                      </w:rPr>
                    </m:ctrlPr>
                  </m:e>
                  <m:sub>
                    <m:r>
                      <m:rPr>
                        <m:sty m:val="p"/>
                      </m:rPr>
                      <w:rPr>
                        <w:rFonts w:hint="default" w:ascii="Cambria Math" w:hAnsi="Cambria Math" w:eastAsia="仿宋" w:cs="Times New Roman"/>
                        <w:color w:val="auto"/>
                        <w:szCs w:val="21"/>
                        <w:highlight w:val="none"/>
                      </w:rPr>
                      <m:t>p</m:t>
                    </m:r>
                    <m:ctrlPr>
                      <w:rPr>
                        <w:rFonts w:hint="default" w:ascii="Cambria Math" w:hAnsi="Cambria Math" w:eastAsia="仿宋" w:cs="Times New Roman"/>
                        <w:color w:val="auto"/>
                        <w:szCs w:val="21"/>
                        <w:highlight w:val="none"/>
                      </w:rPr>
                    </m:ctrlPr>
                  </m:sub>
                  <m:sup>
                    <m:r>
                      <m:rPr>
                        <m:sty m:val="p"/>
                      </m:rPr>
                      <w:rPr>
                        <w:rFonts w:hint="default" w:ascii="Cambria Math" w:hAnsi="Cambria Math" w:eastAsia="仿宋" w:cs="Times New Roman"/>
                        <w:color w:val="auto"/>
                        <w:szCs w:val="21"/>
                        <w:highlight w:val="none"/>
                      </w:rPr>
                      <m:t>'</m:t>
                    </m:r>
                    <m:ctrlPr>
                      <w:rPr>
                        <w:rFonts w:hint="default" w:ascii="Cambria Math" w:hAnsi="Cambria Math" w:eastAsia="仿宋" w:cs="Times New Roman"/>
                        <w:color w:val="auto"/>
                        <w:szCs w:val="21"/>
                        <w:highlight w:val="none"/>
                      </w:rPr>
                    </m:ctrlPr>
                  </m:sup>
                </m:sSubSup>
                <m:r>
                  <m:rPr>
                    <m:sty m:val="p"/>
                  </m:rPr>
                  <w:rPr>
                    <w:rFonts w:hint="default" w:ascii="Cambria Math" w:hAnsi="Cambria Math" w:eastAsia="仿宋" w:cs="Times New Roman"/>
                    <w:color w:val="auto"/>
                    <w:szCs w:val="21"/>
                    <w:highlight w:val="none"/>
                  </w:rPr>
                  <m:t>=</m:t>
                </m:r>
                <m:sSub>
                  <m:sSubPr>
                    <m:ctrlPr>
                      <w:rPr>
                        <w:rFonts w:hint="default" w:ascii="Cambria Math" w:hAnsi="Cambria Math" w:eastAsia="仿宋" w:cs="Times New Roman"/>
                        <w:color w:val="auto"/>
                        <w:szCs w:val="21"/>
                        <w:highlight w:val="none"/>
                      </w:rPr>
                    </m:ctrlPr>
                  </m:sSubPr>
                  <m:e>
                    <m:r>
                      <m:rPr/>
                      <w:rPr>
                        <w:rFonts w:hint="default" w:ascii="Cambria Math" w:hAnsi="Cambria Math" w:eastAsia="仿宋" w:cs="Times New Roman"/>
                        <w:color w:val="auto"/>
                        <w:szCs w:val="21"/>
                        <w:highlight w:val="none"/>
                      </w:rPr>
                      <m:t>Q</m:t>
                    </m:r>
                    <m:ctrlPr>
                      <w:rPr>
                        <w:rFonts w:hint="default" w:ascii="Cambria Math" w:hAnsi="Cambria Math" w:eastAsia="仿宋" w:cs="Times New Roman"/>
                        <w:color w:val="auto"/>
                        <w:szCs w:val="21"/>
                        <w:highlight w:val="none"/>
                      </w:rPr>
                    </m:ctrlPr>
                  </m:e>
                  <m:sub>
                    <m:r>
                      <m:rPr>
                        <m:sty m:val="p"/>
                      </m:rPr>
                      <w:rPr>
                        <w:rFonts w:hint="default" w:ascii="Cambria Math" w:hAnsi="Cambria Math" w:eastAsia="仿宋" w:cs="Times New Roman"/>
                        <w:color w:val="auto"/>
                        <w:szCs w:val="21"/>
                        <w:highlight w:val="none"/>
                      </w:rPr>
                      <m:t>p</m:t>
                    </m:r>
                    <m:ctrlPr>
                      <w:rPr>
                        <w:rFonts w:hint="default" w:ascii="Cambria Math" w:hAnsi="Cambria Math" w:eastAsia="仿宋" w:cs="Times New Roman"/>
                        <w:color w:val="auto"/>
                        <w:szCs w:val="21"/>
                        <w:highlight w:val="none"/>
                      </w:rPr>
                    </m:ctrlPr>
                  </m:sub>
                </m:sSub>
                <m:r>
                  <m:rPr>
                    <m:sty m:val="p"/>
                  </m:rPr>
                  <w:rPr>
                    <w:rFonts w:hint="default" w:ascii="Cambria Math" w:hAnsi="Cambria Math" w:eastAsia="仿宋" w:cs="Times New Roman"/>
                    <w:color w:val="auto"/>
                    <w:szCs w:val="21"/>
                    <w:highlight w:val="none"/>
                  </w:rPr>
                  <m:t>·</m:t>
                </m:r>
                <m:r>
                  <m:rPr/>
                  <w:rPr>
                    <w:rFonts w:hint="default" w:ascii="Cambria Math" w:hAnsi="Cambria Math" w:eastAsia="仿宋" w:cs="Times New Roman"/>
                    <w:color w:val="auto"/>
                    <w:szCs w:val="21"/>
                    <w:highlight w:val="none"/>
                  </w:rPr>
                  <m:t>L</m:t>
                </m:r>
                <m:r>
                  <m:rPr>
                    <m:sty m:val="p"/>
                  </m:rPr>
                  <w:rPr>
                    <w:rFonts w:hint="default" w:ascii="Cambria Math" w:hAnsi="Cambria Math" w:eastAsia="仿宋" w:cs="Times New Roman"/>
                    <w:color w:val="auto"/>
                    <w:szCs w:val="21"/>
                    <w:highlight w:val="none"/>
                  </w:rPr>
                  <m:t>·</m:t>
                </m:r>
                <m:f>
                  <m:fPr>
                    <m:ctrlPr>
                      <w:rPr>
                        <w:rFonts w:hint="default" w:ascii="Cambria Math" w:hAnsi="Cambria Math" w:eastAsia="仿宋" w:cs="Times New Roman"/>
                        <w:color w:val="auto"/>
                        <w:szCs w:val="21"/>
                        <w:highlight w:val="none"/>
                      </w:rPr>
                    </m:ctrlPr>
                  </m:fPr>
                  <m:num>
                    <m:r>
                      <m:rPr/>
                      <w:rPr>
                        <w:rFonts w:hint="default" w:ascii="Cambria Math" w:hAnsi="Cambria Math" w:eastAsia="仿宋" w:cs="Times New Roman"/>
                        <w:color w:val="auto"/>
                        <w:szCs w:val="21"/>
                        <w:highlight w:val="none"/>
                      </w:rPr>
                      <m:t>Q</m:t>
                    </m:r>
                    <m:ctrlPr>
                      <w:rPr>
                        <w:rFonts w:hint="default" w:ascii="Cambria Math" w:hAnsi="Cambria Math" w:eastAsia="仿宋" w:cs="Times New Roman"/>
                        <w:color w:val="auto"/>
                        <w:szCs w:val="21"/>
                        <w:highlight w:val="none"/>
                      </w:rPr>
                    </m:ctrlPr>
                  </m:num>
                  <m:den>
                    <m:r>
                      <m:rPr/>
                      <w:rPr>
                        <w:rFonts w:hint="default" w:ascii="Cambria Math" w:hAnsi="Cambria Math" w:eastAsia="仿宋" w:cs="Times New Roman"/>
                        <w:color w:val="auto"/>
                        <w:szCs w:val="21"/>
                        <w:highlight w:val="none"/>
                      </w:rPr>
                      <m:t>M</m:t>
                    </m:r>
                    <m:ctrlPr>
                      <w:rPr>
                        <w:rFonts w:hint="default" w:ascii="Cambria Math" w:hAnsi="Cambria Math" w:eastAsia="仿宋" w:cs="Times New Roman"/>
                        <w:color w:val="auto"/>
                        <w:szCs w:val="21"/>
                        <w:highlight w:val="none"/>
                      </w:rPr>
                    </m:ctrlPr>
                  </m:den>
                </m:f>
              </m:oMath>
            </m:oMathPara>
          </w:p>
          <w:p>
            <w:pPr>
              <w:pStyle w:val="62"/>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式中：Qp-道路扬尘量，kg/km；</w:t>
            </w:r>
          </w:p>
          <w:p>
            <w:pPr>
              <w:pStyle w:val="62"/>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Q′p-总扬尘量，kg/a；</w:t>
            </w:r>
          </w:p>
          <w:p>
            <w:pPr>
              <w:pStyle w:val="62"/>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V-车辆行驶速度，20km/h；</w:t>
            </w:r>
          </w:p>
          <w:p>
            <w:pPr>
              <w:pStyle w:val="62"/>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M-车辆载重，t/辆；</w:t>
            </w:r>
            <w:r>
              <w:rPr>
                <w:rFonts w:hint="eastAsia" w:eastAsia="仿宋" w:cs="Times New Roman"/>
                <w:color w:val="auto"/>
                <w:highlight w:val="none"/>
                <w:lang w:val="en-US" w:eastAsia="zh-CN"/>
              </w:rPr>
              <w:t>30</w:t>
            </w:r>
            <w:r>
              <w:rPr>
                <w:rFonts w:hint="default" w:ascii="Times New Roman" w:hAnsi="Times New Roman" w:eastAsia="仿宋" w:cs="Times New Roman"/>
                <w:color w:val="auto"/>
                <w:highlight w:val="none"/>
              </w:rPr>
              <w:t>t/辆；</w:t>
            </w:r>
          </w:p>
          <w:p>
            <w:pPr>
              <w:pStyle w:val="62"/>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P-路面状况，以每m</w:t>
            </w:r>
            <w:r>
              <w:rPr>
                <w:rFonts w:hint="default" w:ascii="Times New Roman" w:hAnsi="Times New Roman" w:eastAsia="仿宋" w:cs="Times New Roman"/>
                <w:color w:val="auto"/>
                <w:highlight w:val="none"/>
                <w:vertAlign w:val="superscript"/>
              </w:rPr>
              <w:t>2</w:t>
            </w:r>
            <w:r>
              <w:rPr>
                <w:rFonts w:hint="default" w:ascii="Times New Roman" w:hAnsi="Times New Roman" w:eastAsia="仿宋" w:cs="Times New Roman"/>
                <w:color w:val="auto"/>
                <w:highlight w:val="none"/>
              </w:rPr>
              <w:t>路面灰尘覆盖率表示，0.2kg/m</w:t>
            </w:r>
            <w:r>
              <w:rPr>
                <w:rFonts w:hint="default" w:ascii="Times New Roman" w:hAnsi="Times New Roman" w:eastAsia="仿宋" w:cs="Times New Roman"/>
                <w:color w:val="auto"/>
                <w:highlight w:val="none"/>
                <w:vertAlign w:val="superscript"/>
              </w:rPr>
              <w:t>2</w:t>
            </w:r>
            <w:r>
              <w:rPr>
                <w:rFonts w:hint="default" w:ascii="Times New Roman" w:hAnsi="Times New Roman" w:eastAsia="仿宋" w:cs="Times New Roman"/>
                <w:color w:val="auto"/>
                <w:highlight w:val="none"/>
              </w:rPr>
              <w:t>；</w:t>
            </w:r>
          </w:p>
          <w:p>
            <w:pPr>
              <w:pStyle w:val="62"/>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L-运输距离，km；</w:t>
            </w:r>
          </w:p>
          <w:p>
            <w:pPr>
              <w:pStyle w:val="62"/>
              <w:ind w:firstLine="420"/>
              <w:rPr>
                <w:rFonts w:hint="default" w:ascii="Times New Roman" w:hAnsi="Times New Roman" w:eastAsia="仿宋" w:cs="Times New Roman"/>
                <w:color w:val="auto"/>
                <w:highlight w:val="yellow"/>
              </w:rPr>
            </w:pPr>
            <w:r>
              <w:rPr>
                <w:rFonts w:hint="default" w:ascii="Times New Roman" w:hAnsi="Times New Roman" w:eastAsia="仿宋" w:cs="Times New Roman"/>
                <w:color w:val="auto"/>
                <w:highlight w:val="none"/>
              </w:rPr>
              <w:t>Q-运输量，本项目原矿石运输量取</w:t>
            </w:r>
            <w:r>
              <w:rPr>
                <w:rFonts w:hint="eastAsia" w:eastAsia="仿宋" w:cs="Times New Roman"/>
                <w:color w:val="auto"/>
                <w:highlight w:val="none"/>
                <w:lang w:val="en-US" w:eastAsia="zh-CN"/>
              </w:rPr>
              <w:t>22.5</w:t>
            </w:r>
            <w:r>
              <w:rPr>
                <w:rFonts w:hint="default" w:ascii="Times New Roman" w:hAnsi="Times New Roman" w:eastAsia="仿宋" w:cs="Times New Roman"/>
                <w:color w:val="auto"/>
                <w:highlight w:val="none"/>
              </w:rPr>
              <w:t>万t/a。</w:t>
            </w:r>
          </w:p>
          <w:p>
            <w:pPr>
              <w:pStyle w:val="62"/>
              <w:ind w:firstLine="420"/>
              <w:jc w:val="both"/>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经计算，本项目道路扬尘量为0.35</w:t>
            </w:r>
            <w:r>
              <w:rPr>
                <w:rFonts w:hint="default" w:ascii="Times New Roman" w:hAnsi="Times New Roman" w:eastAsia="仿宋" w:cs="Times New Roman"/>
                <w:color w:val="auto"/>
                <w:highlight w:val="none"/>
                <w:lang w:val="en-US" w:eastAsia="zh-CN"/>
              </w:rPr>
              <w:t>1</w:t>
            </w:r>
            <w:r>
              <w:rPr>
                <w:rFonts w:hint="default" w:ascii="Times New Roman" w:hAnsi="Times New Roman" w:eastAsia="仿宋" w:cs="Times New Roman"/>
                <w:color w:val="auto"/>
                <w:highlight w:val="none"/>
              </w:rPr>
              <w:t>kg/km，本项目道路连接露天采场及矿山各地面布局</w:t>
            </w:r>
            <w:r>
              <w:rPr>
                <w:rFonts w:hint="eastAsia" w:eastAsia="仿宋" w:cs="Times New Roman"/>
                <w:color w:val="auto"/>
                <w:highlight w:val="none"/>
                <w:lang w:eastAsia="zh-CN"/>
              </w:rPr>
              <w:t>，</w:t>
            </w:r>
            <w:r>
              <w:rPr>
                <w:rFonts w:hint="eastAsia" w:eastAsia="仿宋" w:cs="Times New Roman"/>
                <w:color w:val="auto"/>
                <w:highlight w:val="none"/>
                <w:lang w:val="en-US" w:eastAsia="zh-CN"/>
              </w:rPr>
              <w:t>运输</w:t>
            </w:r>
            <w:r>
              <w:rPr>
                <w:rFonts w:hint="default" w:ascii="Times New Roman" w:hAnsi="Times New Roman" w:eastAsia="仿宋" w:cs="Times New Roman"/>
                <w:color w:val="auto"/>
                <w:highlight w:val="none"/>
              </w:rPr>
              <w:t>道路长约</w:t>
            </w:r>
            <w:r>
              <w:rPr>
                <w:rFonts w:hint="eastAsia" w:eastAsia="仿宋" w:cs="Times New Roman"/>
                <w:color w:val="auto"/>
                <w:highlight w:val="none"/>
                <w:lang w:val="en-US" w:eastAsia="zh-CN"/>
              </w:rPr>
              <w:t>170</w:t>
            </w:r>
            <w:r>
              <w:rPr>
                <w:rFonts w:hint="default" w:ascii="Times New Roman" w:hAnsi="Times New Roman" w:eastAsia="仿宋" w:cs="Times New Roman"/>
                <w:color w:val="auto"/>
                <w:highlight w:val="none"/>
              </w:rPr>
              <w:t>m，运输过程中粉尘产生量为</w:t>
            </w:r>
            <w:r>
              <w:rPr>
                <w:rFonts w:hint="eastAsia" w:eastAsia="仿宋" w:cs="Times New Roman"/>
                <w:color w:val="auto"/>
                <w:highlight w:val="none"/>
                <w:lang w:val="en-US" w:eastAsia="zh-CN"/>
              </w:rPr>
              <w:t>0.45</w:t>
            </w:r>
            <w:r>
              <w:rPr>
                <w:rFonts w:hint="default" w:ascii="Times New Roman" w:hAnsi="Times New Roman" w:eastAsia="仿宋" w:cs="Times New Roman"/>
                <w:color w:val="auto"/>
                <w:highlight w:val="none"/>
              </w:rPr>
              <w:t>t/a。</w:t>
            </w:r>
          </w:p>
          <w:p>
            <w:pPr>
              <w:pStyle w:val="62"/>
              <w:ind w:firstLine="420"/>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color w:val="auto"/>
                <w:highlight w:val="none"/>
              </w:rPr>
              <w:t>为了减少道路扬尘对大气环境的污染，首先要对矿区运输道路铺设砂石层，在矿区内设置限速标志；运输过程须加盖篷布；矿石运输道路洒水（配置喷雾洒水车1台，每天定期洒水</w:t>
            </w:r>
            <w:r>
              <w:rPr>
                <w:rFonts w:hint="default" w:ascii="Times New Roman" w:hAnsi="Times New Roman" w:eastAsia="仿宋" w:cs="Times New Roman"/>
                <w:color w:val="auto"/>
                <w:highlight w:val="none"/>
                <w:lang w:val="en-US" w:eastAsia="zh-CN"/>
              </w:rPr>
              <w:t>2</w:t>
            </w:r>
            <w:r>
              <w:rPr>
                <w:rFonts w:hint="default" w:ascii="Times New Roman" w:hAnsi="Times New Roman" w:eastAsia="仿宋" w:cs="Times New Roman"/>
                <w:color w:val="auto"/>
                <w:highlight w:val="none"/>
              </w:rPr>
              <w:t>次），以降低扬尘污染。可减少约80%的粉尘量，则汽车运输过程中排放的粉尘量约为</w:t>
            </w:r>
            <w:r>
              <w:rPr>
                <w:rFonts w:hint="eastAsia" w:eastAsia="仿宋" w:cs="Times New Roman"/>
                <w:color w:val="auto"/>
                <w:highlight w:val="none"/>
                <w:lang w:val="en-US" w:eastAsia="zh-CN"/>
              </w:rPr>
              <w:t>0.09</w:t>
            </w:r>
            <w:r>
              <w:rPr>
                <w:rFonts w:hint="default" w:ascii="Times New Roman" w:hAnsi="Times New Roman" w:eastAsia="仿宋" w:cs="Times New Roman"/>
                <w:color w:val="auto"/>
                <w:highlight w:val="none"/>
              </w:rPr>
              <w:t>t/a。</w:t>
            </w:r>
          </w:p>
          <w:p>
            <w:pPr>
              <w:adjustRightInd w:val="0"/>
              <w:snapToGrid w:val="0"/>
              <w:spacing w:line="360" w:lineRule="auto"/>
              <w:ind w:firstLine="0" w:firstLineChars="0"/>
              <w:jc w:val="center"/>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lang w:val="en-US" w:eastAsia="zh-CN"/>
              </w:rPr>
              <w:t>表</w:t>
            </w:r>
            <w:r>
              <w:rPr>
                <w:rFonts w:hint="eastAsia" w:eastAsia="仿宋" w:cs="Times New Roman"/>
                <w:b/>
                <w:bCs/>
                <w:color w:val="auto"/>
                <w:sz w:val="21"/>
                <w:szCs w:val="21"/>
                <w:highlight w:val="none"/>
                <w:lang w:val="en-US" w:eastAsia="zh-CN"/>
              </w:rPr>
              <w:t>4-7</w:t>
            </w:r>
            <w:r>
              <w:rPr>
                <w:rFonts w:hint="default" w:ascii="Times New Roman" w:hAnsi="Times New Roman" w:eastAsia="仿宋" w:cs="Times New Roman"/>
                <w:b/>
                <w:bCs/>
                <w:color w:val="auto"/>
                <w:sz w:val="21"/>
                <w:szCs w:val="21"/>
                <w:highlight w:val="none"/>
                <w:lang w:val="en-US" w:eastAsia="zh-CN"/>
              </w:rPr>
              <w:t xml:space="preserve"> 本工程粉尘排放统计</w:t>
            </w:r>
          </w:p>
          <w:tbl>
            <w:tblPr>
              <w:tblStyle w:val="86"/>
              <w:tblW w:w="4955" w:type="pct"/>
              <w:jc w:val="center"/>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autofit"/>
              <w:tblCellMar>
                <w:top w:w="0" w:type="dxa"/>
                <w:left w:w="0" w:type="dxa"/>
                <w:bottom w:w="0" w:type="dxa"/>
                <w:right w:w="0" w:type="dxa"/>
              </w:tblCellMar>
            </w:tblPr>
            <w:tblGrid>
              <w:gridCol w:w="1066"/>
              <w:gridCol w:w="1098"/>
              <w:gridCol w:w="1517"/>
              <w:gridCol w:w="2175"/>
              <w:gridCol w:w="2411"/>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5"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序号</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产污节点</w:t>
                  </w:r>
                </w:p>
              </w:tc>
              <w:tc>
                <w:tcPr>
                  <w:tcW w:w="2231" w:type="pct"/>
                  <w:gridSpan w:val="2"/>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污染物</w:t>
                  </w:r>
                </w:p>
              </w:tc>
              <w:tc>
                <w:tcPr>
                  <w:tcW w:w="1458"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排放量 t/a</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5"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1</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开采工序</w:t>
                  </w:r>
                </w:p>
              </w:tc>
              <w:tc>
                <w:tcPr>
                  <w:tcW w:w="916" w:type="pct"/>
                  <w:vMerge w:val="restart"/>
                  <w:tcBorders>
                    <w:bottom w:val="nil"/>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粉尘</w:t>
                  </w:r>
                </w:p>
              </w:tc>
              <w:tc>
                <w:tcPr>
                  <w:tcW w:w="1315"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无组织</w:t>
                  </w:r>
                </w:p>
              </w:tc>
              <w:tc>
                <w:tcPr>
                  <w:tcW w:w="1458"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val="en-US" w:eastAsia="zh-CN"/>
                    </w:rPr>
                  </w:pPr>
                  <w:r>
                    <w:rPr>
                      <w:rFonts w:hint="eastAsia" w:eastAsia="仿宋" w:cs="Times New Roman"/>
                      <w:snapToGrid/>
                      <w:color w:val="auto"/>
                      <w:kern w:val="0"/>
                      <w:sz w:val="21"/>
                      <w:szCs w:val="21"/>
                      <w:highlight w:val="none"/>
                      <w:lang w:val="en-US" w:eastAsia="zh-CN"/>
                    </w:rPr>
                    <w:t>3.69</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81" w:hRule="atLeast"/>
                <w:jc w:val="center"/>
              </w:trPr>
              <w:tc>
                <w:tcPr>
                  <w:tcW w:w="645"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2</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装卸工序</w:t>
                  </w:r>
                </w:p>
              </w:tc>
              <w:tc>
                <w:tcPr>
                  <w:tcW w:w="916" w:type="pct"/>
                  <w:vMerge w:val="continue"/>
                  <w:tcBorders>
                    <w:top w:val="nil"/>
                    <w:bottom w:val="nil"/>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tc>
              <w:tc>
                <w:tcPr>
                  <w:tcW w:w="1315"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无组织</w:t>
                  </w:r>
                </w:p>
              </w:tc>
              <w:tc>
                <w:tcPr>
                  <w:tcW w:w="1458"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val="en-US" w:eastAsia="zh-CN"/>
                    </w:rPr>
                  </w:pPr>
                  <w:r>
                    <w:rPr>
                      <w:rFonts w:hint="eastAsia" w:eastAsia="仿宋" w:cs="Times New Roman"/>
                      <w:snapToGrid/>
                      <w:color w:val="auto"/>
                      <w:kern w:val="0"/>
                      <w:sz w:val="21"/>
                      <w:szCs w:val="21"/>
                      <w:highlight w:val="none"/>
                      <w:lang w:val="en-US" w:eastAsia="zh-CN"/>
                    </w:rPr>
                    <w:t>0.21</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5"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eastAsia" w:ascii="Times New Roman" w:hAnsi="Times New Roman" w:eastAsia="仿宋" w:cs="Times New Roman"/>
                      <w:snapToGrid/>
                      <w:color w:val="auto"/>
                      <w:kern w:val="0"/>
                      <w:sz w:val="21"/>
                      <w:szCs w:val="21"/>
                      <w:highlight w:val="none"/>
                      <w:lang w:val="en-US" w:eastAsia="zh-CN"/>
                    </w:rPr>
                    <w:t>3</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eastAsia" w:eastAsia="仿宋" w:cs="Times New Roman"/>
                      <w:snapToGrid/>
                      <w:color w:val="auto"/>
                      <w:kern w:val="0"/>
                      <w:sz w:val="21"/>
                      <w:szCs w:val="21"/>
                      <w:highlight w:val="none"/>
                      <w:lang w:val="en-US" w:eastAsia="zh-CN"/>
                    </w:rPr>
                    <w:t>运输</w:t>
                  </w:r>
                  <w:r>
                    <w:rPr>
                      <w:rFonts w:hint="default" w:ascii="Times New Roman" w:hAnsi="Times New Roman" w:eastAsia="仿宋" w:cs="Times New Roman"/>
                      <w:snapToGrid/>
                      <w:color w:val="auto"/>
                      <w:kern w:val="0"/>
                      <w:sz w:val="21"/>
                      <w:szCs w:val="21"/>
                      <w:highlight w:val="none"/>
                      <w:lang w:eastAsia="zh-CN"/>
                    </w:rPr>
                    <w:t>工序</w:t>
                  </w:r>
                </w:p>
              </w:tc>
              <w:tc>
                <w:tcPr>
                  <w:tcW w:w="916" w:type="pct"/>
                  <w:vMerge w:val="continue"/>
                  <w:tcBorders>
                    <w:top w:val="nil"/>
                    <w:bottom w:val="nil"/>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tc>
              <w:tc>
                <w:tcPr>
                  <w:tcW w:w="1315"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无组织</w:t>
                  </w:r>
                </w:p>
              </w:tc>
              <w:tc>
                <w:tcPr>
                  <w:tcW w:w="1458"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val="en-US" w:eastAsia="zh-CN"/>
                    </w:rPr>
                  </w:pPr>
                  <w:r>
                    <w:rPr>
                      <w:rFonts w:hint="eastAsia" w:eastAsia="仿宋" w:cs="Times New Roman"/>
                      <w:snapToGrid/>
                      <w:color w:val="auto"/>
                      <w:kern w:val="0"/>
                      <w:sz w:val="21"/>
                      <w:szCs w:val="21"/>
                      <w:highlight w:val="none"/>
                      <w:lang w:val="en-US" w:eastAsia="zh-CN"/>
                    </w:rPr>
                    <w:t>0.09</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2226" w:type="pct"/>
                  <w:gridSpan w:val="3"/>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val="en-US" w:eastAsia="zh-CN"/>
                    </w:rPr>
                  </w:pPr>
                  <w:r>
                    <w:rPr>
                      <w:rFonts w:hint="default" w:ascii="Times New Roman" w:hAnsi="Times New Roman" w:eastAsia="仿宋" w:cs="Times New Roman"/>
                      <w:snapToGrid/>
                      <w:color w:val="auto"/>
                      <w:kern w:val="0"/>
                      <w:sz w:val="21"/>
                      <w:szCs w:val="21"/>
                      <w:highlight w:val="none"/>
                      <w:lang w:eastAsia="zh-CN"/>
                    </w:rPr>
                    <w:t>总量</w:t>
                  </w:r>
                </w:p>
              </w:tc>
              <w:tc>
                <w:tcPr>
                  <w:tcW w:w="2773" w:type="pct"/>
                  <w:gridSpan w:val="2"/>
                  <w:vAlign w:val="center"/>
                </w:tcPr>
                <w:p>
                  <w:pPr>
                    <w:widowControl/>
                    <w:kinsoku/>
                    <w:autoSpaceDE/>
                    <w:autoSpaceDN/>
                    <w:adjustRightInd/>
                    <w:snapToGrid/>
                    <w:spacing w:line="240" w:lineRule="auto"/>
                    <w:ind w:firstLine="0" w:firstLineChars="0"/>
                    <w:jc w:val="center"/>
                    <w:textAlignment w:val="auto"/>
                    <w:rPr>
                      <w:rFonts w:hint="eastAsia" w:eastAsia="仿宋" w:cs="Times New Roman"/>
                      <w:snapToGrid/>
                      <w:color w:val="auto"/>
                      <w:kern w:val="0"/>
                      <w:sz w:val="21"/>
                      <w:szCs w:val="21"/>
                      <w:highlight w:val="none"/>
                      <w:lang w:val="en-US" w:eastAsia="zh-CN"/>
                    </w:rPr>
                  </w:pPr>
                  <w:r>
                    <w:rPr>
                      <w:rFonts w:hint="eastAsia" w:eastAsia="仿宋" w:cs="Times New Roman"/>
                      <w:snapToGrid/>
                      <w:color w:val="auto"/>
                      <w:kern w:val="0"/>
                      <w:sz w:val="21"/>
                      <w:szCs w:val="21"/>
                      <w:highlight w:val="none"/>
                      <w:lang w:val="en-US" w:eastAsia="zh-CN"/>
                    </w:rPr>
                    <w:t>3.99</w:t>
                  </w:r>
                  <w:r>
                    <w:rPr>
                      <w:rFonts w:hint="default" w:ascii="Times New Roman" w:hAnsi="Times New Roman" w:eastAsia="仿宋" w:cs="Times New Roman"/>
                      <w:snapToGrid/>
                      <w:color w:val="auto"/>
                      <w:kern w:val="0"/>
                      <w:sz w:val="21"/>
                      <w:szCs w:val="21"/>
                      <w:highlight w:val="none"/>
                      <w:lang w:eastAsia="zh-CN"/>
                    </w:rPr>
                    <w:t>t/a</w:t>
                  </w:r>
                </w:p>
              </w:tc>
            </w:tr>
          </w:tbl>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eastAsia="仿宋" w:cs="Times New Roman"/>
                <w:b/>
                <w:bCs w:val="0"/>
                <w:color w:val="auto"/>
                <w:sz w:val="24"/>
                <w:szCs w:val="24"/>
                <w:highlight w:val="none"/>
                <w:lang w:val="en-US" w:eastAsia="zh-CN"/>
              </w:rPr>
            </w:pPr>
            <w:r>
              <w:rPr>
                <w:rFonts w:hint="default" w:ascii="Times New Roman" w:hAnsi="Times New Roman" w:eastAsia="仿宋" w:cs="Times New Roman"/>
                <w:b/>
                <w:bCs w:val="0"/>
                <w:color w:val="auto"/>
                <w:sz w:val="24"/>
                <w:szCs w:val="24"/>
                <w:highlight w:val="none"/>
                <w:lang w:val="en-US" w:eastAsia="zh-CN"/>
              </w:rPr>
              <w:t>2.2废气处理措施及其可行性分析</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 w:val="0"/>
                <w:bCs/>
                <w:color w:val="auto"/>
                <w:sz w:val="24"/>
                <w:szCs w:val="24"/>
                <w:highlight w:val="none"/>
                <w:lang w:val="en-US" w:eastAsia="zh-CN"/>
              </w:rPr>
              <w:t>本项目采取采装作业面洒水增湿，采装作业利用雾炮喷淋设施进行降尘；矿区运输道路每日洒水2次，运输车辆篷布遮盖，限速等措施后能够</w:t>
            </w:r>
            <w:r>
              <w:rPr>
                <w:rFonts w:hint="default" w:ascii="Times New Roman" w:hAnsi="Times New Roman" w:eastAsia="仿宋" w:cs="Times New Roman"/>
                <w:b w:val="0"/>
                <w:bCs/>
                <w:color w:val="auto"/>
                <w:sz w:val="24"/>
                <w:szCs w:val="24"/>
                <w:highlight w:val="none"/>
              </w:rPr>
              <w:t>有效减少无组织废气排放，未被收集的粉尘经自然沉降后，厂内颗粒物浓度可满足《大气污染物综合排放标准》（GB16297- 1996）无组织排放限值要求</w:t>
            </w:r>
            <w:r>
              <w:rPr>
                <w:rFonts w:hint="default" w:ascii="Times New Roman" w:hAnsi="Times New Roman" w:eastAsia="仿宋" w:cs="Times New Roman"/>
                <w:b w:val="0"/>
                <w:bCs/>
                <w:color w:val="auto"/>
                <w:sz w:val="24"/>
                <w:szCs w:val="24"/>
                <w:highlight w:val="none"/>
                <w:lang w:eastAsia="zh-CN"/>
              </w:rPr>
              <w:t>，</w:t>
            </w:r>
            <w:r>
              <w:rPr>
                <w:rFonts w:hint="default" w:ascii="Times New Roman" w:hAnsi="Times New Roman" w:eastAsia="仿宋" w:cs="Times New Roman"/>
                <w:b w:val="0"/>
                <w:bCs/>
                <w:color w:val="auto"/>
                <w:sz w:val="24"/>
                <w:szCs w:val="24"/>
                <w:highlight w:val="none"/>
              </w:rPr>
              <w:t>本项目各生产环节废气治理</w:t>
            </w:r>
            <w:r>
              <w:rPr>
                <w:rFonts w:hint="default" w:ascii="Times New Roman" w:hAnsi="Times New Roman" w:eastAsia="仿宋" w:cs="Times New Roman"/>
                <w:b w:val="0"/>
                <w:bCs/>
                <w:color w:val="auto"/>
                <w:sz w:val="24"/>
                <w:szCs w:val="24"/>
                <w:highlight w:val="none"/>
                <w:lang w:val="en-US" w:eastAsia="zh-CN"/>
              </w:rPr>
              <w:t>措施</w:t>
            </w:r>
            <w:r>
              <w:rPr>
                <w:rFonts w:hint="default" w:ascii="Times New Roman" w:hAnsi="Times New Roman" w:eastAsia="仿宋" w:cs="Times New Roman"/>
                <w:b w:val="0"/>
                <w:bCs/>
                <w:color w:val="auto"/>
                <w:sz w:val="24"/>
                <w:szCs w:val="24"/>
                <w:highlight w:val="none"/>
              </w:rPr>
              <w:t>是可行的</w:t>
            </w:r>
            <w:r>
              <w:rPr>
                <w:rFonts w:hint="default" w:ascii="Times New Roman" w:hAnsi="Times New Roman" w:eastAsia="仿宋" w:cs="Times New Roman"/>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3、水环境影响分析</w:t>
            </w:r>
          </w:p>
          <w:p>
            <w:pPr>
              <w:pStyle w:val="85"/>
              <w:keepNext w:val="0"/>
              <w:keepLines w:val="0"/>
              <w:pageBreakBefore w:val="0"/>
              <w:widowControl w:val="0"/>
              <w:kinsoku/>
              <w:wordWrap/>
              <w:overflowPunct/>
              <w:topLinePunct w:val="0"/>
              <w:autoSpaceDE/>
              <w:autoSpaceDN/>
              <w:bidi w:val="0"/>
              <w:adjustRightInd/>
              <w:snapToGrid/>
              <w:spacing w:line="360" w:lineRule="auto"/>
              <w:ind w:left="0" w:leftChars="0" w:firstLine="474" w:firstLineChars="200"/>
              <w:textAlignment w:val="auto"/>
              <w:rPr>
                <w:rFonts w:hint="default" w:ascii="Times New Roman" w:hAnsi="Times New Roman" w:eastAsia="仿宋" w:cs="Times New Roman"/>
                <w:b/>
                <w:bCs/>
                <w:color w:val="auto"/>
                <w:spacing w:val="-2"/>
              </w:rPr>
            </w:pPr>
            <w:r>
              <w:rPr>
                <w:rFonts w:hint="default" w:ascii="Times New Roman" w:hAnsi="Times New Roman" w:eastAsia="仿宋" w:cs="Times New Roman"/>
                <w:b/>
                <w:bCs/>
                <w:color w:val="auto"/>
                <w:spacing w:val="-2"/>
              </w:rPr>
              <w:t>3.1水环境影响分析</w:t>
            </w:r>
          </w:p>
          <w:p>
            <w:pPr>
              <w:pStyle w:val="8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2"/>
              </w:rPr>
              <w:t>（1）地表水评价等级确定</w:t>
            </w:r>
          </w:p>
          <w:p>
            <w:pPr>
              <w:pStyle w:val="85"/>
              <w:keepNext w:val="0"/>
              <w:keepLines w:val="0"/>
              <w:pageBreakBefore w:val="0"/>
              <w:widowControl w:val="0"/>
              <w:kinsoku/>
              <w:wordWrap/>
              <w:overflowPunct/>
              <w:topLinePunct w:val="0"/>
              <w:autoSpaceDE/>
              <w:autoSpaceDN/>
              <w:bidi w:val="0"/>
              <w:adjustRightInd/>
              <w:snapToGrid/>
              <w:spacing w:line="360" w:lineRule="auto"/>
              <w:ind w:left="0" w:leftChars="0" w:right="0" w:firstLine="492" w:firstLineChars="200"/>
              <w:jc w:val="both"/>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3"/>
              </w:rPr>
              <w:t>根据废水来源分析，本项目生产废水主要为降尘用水，经蒸发后，不外排</w:t>
            </w:r>
            <w:r>
              <w:rPr>
                <w:rFonts w:hint="eastAsia" w:ascii="Times New Roman" w:hAnsi="Times New Roman" w:eastAsia="仿宋" w:cs="Times New Roman"/>
                <w:color w:val="auto"/>
                <w:spacing w:val="3"/>
                <w:lang w:eastAsia="zh-CN"/>
              </w:rPr>
              <w:t>，</w:t>
            </w:r>
            <w:r>
              <w:rPr>
                <w:rFonts w:hint="default" w:ascii="Times New Roman" w:hAnsi="Times New Roman" w:eastAsia="仿宋" w:cs="Times New Roman"/>
                <w:color w:val="auto"/>
                <w:spacing w:val="3"/>
              </w:rPr>
              <w:t>因此确定为废水间接排放。根据《环境</w:t>
            </w:r>
            <w:r>
              <w:rPr>
                <w:rFonts w:hint="default" w:ascii="Times New Roman" w:hAnsi="Times New Roman" w:eastAsia="仿宋" w:cs="Times New Roman"/>
                <w:color w:val="auto"/>
                <w:spacing w:val="2"/>
              </w:rPr>
              <w:t>影响评价</w:t>
            </w:r>
            <w:r>
              <w:rPr>
                <w:rFonts w:hint="default" w:ascii="Times New Roman" w:hAnsi="Times New Roman" w:eastAsia="仿宋" w:cs="Times New Roman"/>
                <w:color w:val="auto"/>
                <w:spacing w:val="-1"/>
              </w:rPr>
              <w:t>技术导则地表水环</w:t>
            </w:r>
            <w:r>
              <w:rPr>
                <w:rFonts w:hint="default" w:ascii="Times New Roman" w:hAnsi="Times New Roman" w:eastAsia="仿宋" w:cs="Times New Roman"/>
                <w:color w:val="auto"/>
                <w:kern w:val="2"/>
                <w:sz w:val="24"/>
                <w:szCs w:val="24"/>
                <w:lang w:val="en-US" w:eastAsia="zh-CN" w:bidi="ar-SA"/>
              </w:rPr>
              <w:t>境》中规定，按三级B评价。</w:t>
            </w:r>
          </w:p>
          <w:p>
            <w:pPr>
              <w:pStyle w:val="85"/>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（2）地表水环境影响分析</w:t>
            </w:r>
          </w:p>
          <w:p>
            <w:pPr>
              <w:pStyle w:val="85"/>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本项目生产用水主要为开采</w:t>
            </w:r>
            <w:r>
              <w:rPr>
                <w:rFonts w:hint="eastAsia" w:ascii="Times New Roman" w:hAnsi="Times New Roman" w:eastAsia="仿宋" w:cs="Times New Roman"/>
                <w:color w:val="auto"/>
                <w:kern w:val="2"/>
                <w:sz w:val="24"/>
                <w:szCs w:val="24"/>
                <w:lang w:val="en-US" w:eastAsia="zh-CN" w:bidi="ar-SA"/>
              </w:rPr>
              <w:t>、</w:t>
            </w:r>
            <w:r>
              <w:rPr>
                <w:rFonts w:hint="default" w:ascii="Times New Roman" w:hAnsi="Times New Roman" w:eastAsia="仿宋" w:cs="Times New Roman"/>
                <w:color w:val="auto"/>
                <w:kern w:val="2"/>
                <w:sz w:val="24"/>
                <w:szCs w:val="24"/>
                <w:lang w:val="en-US" w:eastAsia="zh-CN" w:bidi="ar-SA"/>
              </w:rPr>
              <w:t>道路等降尘洒水，经矿石吸收、部分自然蒸发，不排放</w:t>
            </w:r>
            <w:r>
              <w:rPr>
                <w:rFonts w:hint="eastAsia" w:ascii="Times New Roman" w:hAnsi="Times New Roman" w:eastAsia="仿宋" w:cs="Times New Roman"/>
                <w:color w:val="auto"/>
                <w:kern w:val="2"/>
                <w:sz w:val="24"/>
                <w:szCs w:val="24"/>
                <w:lang w:val="en-US" w:eastAsia="zh-CN" w:bidi="ar-SA"/>
              </w:rPr>
              <w:t>，</w:t>
            </w:r>
            <w:r>
              <w:rPr>
                <w:rFonts w:ascii="仿宋_GB2312" w:hAnsi="仿宋_GB2312" w:eastAsia="仿宋_GB2312" w:cs="仿宋_GB2312"/>
                <w:color w:val="auto"/>
                <w:kern w:val="0"/>
                <w:sz w:val="24"/>
                <w:szCs w:val="24"/>
                <w:lang w:val="en-US" w:eastAsia="zh-CN" w:bidi="ar"/>
              </w:rPr>
              <w:t>施工人员</w:t>
            </w:r>
            <w:r>
              <w:rPr>
                <w:rFonts w:hint="eastAsia" w:ascii="仿宋_GB2312" w:hAnsi="仿宋_GB2312" w:eastAsia="仿宋_GB2312" w:cs="仿宋_GB2312"/>
                <w:color w:val="auto"/>
                <w:kern w:val="0"/>
                <w:sz w:val="24"/>
                <w:szCs w:val="24"/>
                <w:lang w:val="en-US" w:eastAsia="zh-CN" w:bidi="ar"/>
              </w:rPr>
              <w:t>如厕废水较少，</w:t>
            </w:r>
            <w:r>
              <w:rPr>
                <w:rFonts w:ascii="仿宋_GB2312" w:hAnsi="仿宋_GB2312" w:eastAsia="仿宋_GB2312" w:cs="仿宋_GB2312"/>
                <w:color w:val="auto"/>
                <w:kern w:val="0"/>
                <w:sz w:val="24"/>
                <w:szCs w:val="24"/>
                <w:lang w:val="en-US" w:eastAsia="zh-CN" w:bidi="ar"/>
              </w:rPr>
              <w:t>现场设置移动式环保厕所供施工人员如厕使用</w:t>
            </w:r>
            <w:r>
              <w:rPr>
                <w:rFonts w:hint="eastAsia" w:ascii="仿宋_GB2312" w:hAnsi="仿宋_GB2312" w:eastAsia="仿宋_GB2312" w:cs="仿宋_GB2312"/>
                <w:color w:val="auto"/>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综上，本项目投产运行实现废水零排放，对区域地表水环境基本无影响。</w:t>
            </w:r>
          </w:p>
          <w:p>
            <w:pPr>
              <w:pStyle w:val="85"/>
              <w:keepNext w:val="0"/>
              <w:keepLines w:val="0"/>
              <w:pageBreakBefore w:val="0"/>
              <w:widowControl w:val="0"/>
              <w:kinsoku/>
              <w:wordWrap/>
              <w:overflowPunct/>
              <w:topLinePunct w:val="0"/>
              <w:autoSpaceDE/>
              <w:autoSpaceDN/>
              <w:bidi w:val="0"/>
              <w:adjustRightInd/>
              <w:snapToGrid/>
              <w:spacing w:line="219" w:lineRule="auto"/>
              <w:textAlignment w:val="auto"/>
              <w:outlineLvl w:val="2"/>
              <w:rPr>
                <w:rFonts w:hint="default" w:ascii="Times New Roman" w:hAnsi="Times New Roman" w:eastAsia="仿宋" w:cs="Times New Roman"/>
                <w:b/>
                <w:bCs w:val="0"/>
                <w:color w:val="auto"/>
                <w:kern w:val="2"/>
                <w:sz w:val="24"/>
                <w:szCs w:val="24"/>
                <w:lang w:val="en-US" w:eastAsia="zh-CN" w:bidi="ar-SA"/>
              </w:rPr>
            </w:pPr>
            <w:r>
              <w:rPr>
                <w:rFonts w:hint="default" w:ascii="Times New Roman" w:hAnsi="Times New Roman" w:eastAsia="仿宋" w:cs="Times New Roman"/>
                <w:b/>
                <w:bCs w:val="0"/>
                <w:color w:val="auto"/>
                <w:kern w:val="2"/>
                <w:sz w:val="24"/>
                <w:szCs w:val="24"/>
                <w:lang w:val="en-US" w:eastAsia="zh-CN" w:bidi="ar-SA"/>
              </w:rPr>
              <w:t>3.2地下水环境影响分析</w:t>
            </w:r>
          </w:p>
          <w:p>
            <w:pPr>
              <w:pStyle w:val="85"/>
              <w:spacing w:before="183" w:line="359" w:lineRule="auto"/>
              <w:ind w:left="0" w:leftChars="0" w:right="103" w:firstLine="480" w:firstLineChars="200"/>
              <w:jc w:val="both"/>
              <w:rPr>
                <w:rFonts w:hint="default" w:ascii="Times New Roman" w:hAnsi="Times New Roman" w:eastAsia="仿宋" w:cs="Times New Roman"/>
                <w:bCs/>
                <w:color w:val="auto"/>
                <w:kern w:val="2"/>
                <w:sz w:val="24"/>
                <w:szCs w:val="24"/>
                <w:lang w:val="en-US" w:eastAsia="zh-CN" w:bidi="ar-SA"/>
              </w:rPr>
            </w:pPr>
            <w:r>
              <w:rPr>
                <w:rFonts w:hint="default" w:ascii="Times New Roman" w:hAnsi="Times New Roman" w:eastAsia="仿宋" w:cs="Times New Roman"/>
                <w:bCs/>
                <w:color w:val="auto"/>
                <w:kern w:val="2"/>
                <w:sz w:val="24"/>
                <w:szCs w:val="24"/>
                <w:lang w:val="en-US" w:eastAsia="zh-CN" w:bidi="ar-SA"/>
              </w:rPr>
              <w:t>根据《环境影响评价技术导则地下水环境》（HJ610-2016）一般性原则和附录A，确定本项目属于J非金属矿采选及制品制造中的第54项，属于Ⅳ类项目，可不开展地下水环境影响评价。</w:t>
            </w:r>
          </w:p>
          <w:p>
            <w:pPr>
              <w:pStyle w:val="21"/>
              <w:spacing w:line="360" w:lineRule="auto"/>
              <w:ind w:firstLine="480" w:firstLineChars="200"/>
              <w:jc w:val="both"/>
              <w:rPr>
                <w:rFonts w:hint="default" w:ascii="Times New Roman" w:hAnsi="Times New Roman" w:eastAsia="仿宋" w:cs="Times New Roman"/>
                <w:bCs/>
                <w:color w:val="auto"/>
                <w:kern w:val="2"/>
                <w:sz w:val="24"/>
                <w:szCs w:val="24"/>
                <w:lang w:val="en-US" w:eastAsia="zh-CN" w:bidi="ar-SA"/>
              </w:rPr>
            </w:pPr>
            <w:r>
              <w:rPr>
                <w:rFonts w:hint="default" w:ascii="Times New Roman" w:hAnsi="Times New Roman" w:eastAsia="仿宋" w:cs="Times New Roman"/>
                <w:bCs/>
                <w:color w:val="auto"/>
                <w:kern w:val="2"/>
                <w:sz w:val="24"/>
                <w:szCs w:val="24"/>
                <w:lang w:val="en-US" w:eastAsia="zh-CN" w:bidi="ar-SA"/>
              </w:rPr>
              <w:t>根据本项目矿体普查报告内容：矿区气候干燥，年降水量较少，蒸发强烈，地表水系不发育。该矿开采水平高于地下水位，不会对矿体开采造成影响。但由于每年6～8月份偶有暴雨，形成的洪流汇入沟谷排泄，但很快被地表吸收，消失在戈壁滩。</w:t>
            </w:r>
          </w:p>
          <w:p>
            <w:pPr>
              <w:pStyle w:val="21"/>
              <w:spacing w:line="360" w:lineRule="auto"/>
              <w:ind w:firstLine="480" w:firstLineChars="200"/>
              <w:jc w:val="both"/>
              <w:rPr>
                <w:rFonts w:hint="default" w:ascii="Times New Roman" w:hAnsi="Times New Roman" w:eastAsia="仿宋" w:cs="Times New Roman"/>
                <w:bCs/>
                <w:color w:val="auto"/>
                <w:kern w:val="2"/>
                <w:sz w:val="24"/>
                <w:szCs w:val="24"/>
                <w:lang w:val="en-US" w:eastAsia="zh-CN" w:bidi="ar-SA"/>
              </w:rPr>
            </w:pPr>
            <w:r>
              <w:rPr>
                <w:rFonts w:hint="default" w:ascii="Times New Roman" w:hAnsi="Times New Roman" w:eastAsia="仿宋" w:cs="Times New Roman"/>
                <w:bCs/>
                <w:color w:val="auto"/>
                <w:kern w:val="2"/>
                <w:sz w:val="24"/>
                <w:szCs w:val="24"/>
                <w:lang w:val="en-US" w:eastAsia="zh-CN" w:bidi="ar-SA"/>
              </w:rPr>
              <w:t>根据地下水的赋存条件、水理性质，矿床地下水为第四系松散岩类空隙潜水。主要赋存于区内第四系洪积层中，含水层岩性主要为砂砾石、粉砂为主，单位涌水量20-200立方米/天</w:t>
            </w:r>
            <w:r>
              <w:rPr>
                <w:rFonts w:hint="eastAsia" w:eastAsia="仿宋" w:cs="Times New Roman"/>
                <w:bCs/>
                <w:color w:val="auto"/>
                <w:kern w:val="2"/>
                <w:sz w:val="24"/>
                <w:szCs w:val="24"/>
                <w:lang w:val="en-US" w:eastAsia="zh-CN" w:bidi="ar-SA"/>
              </w:rPr>
              <w:t>.</w:t>
            </w:r>
            <w:r>
              <w:rPr>
                <w:rFonts w:hint="default" w:ascii="Times New Roman" w:hAnsi="Times New Roman" w:eastAsia="仿宋" w:cs="Times New Roman"/>
                <w:bCs/>
                <w:color w:val="auto"/>
                <w:kern w:val="2"/>
                <w:sz w:val="24"/>
                <w:szCs w:val="24"/>
                <w:lang w:val="en-US" w:eastAsia="zh-CN" w:bidi="ar-SA"/>
              </w:rPr>
              <w:t>米；矿井涌水经经沉淀池处理后部分用于矿井生产，剩余部分外排导流沟</w:t>
            </w:r>
            <w:r>
              <w:rPr>
                <w:rFonts w:hint="eastAsia" w:eastAsia="仿宋" w:cs="Times New Roman"/>
                <w:bCs/>
                <w:color w:val="auto"/>
                <w:kern w:val="2"/>
                <w:sz w:val="24"/>
                <w:szCs w:val="24"/>
                <w:lang w:val="en-US" w:eastAsia="zh-CN" w:bidi="ar-SA"/>
              </w:rPr>
              <w:t>。</w:t>
            </w:r>
          </w:p>
          <w:p>
            <w:pPr>
              <w:pStyle w:val="21"/>
              <w:spacing w:line="360" w:lineRule="auto"/>
              <w:ind w:firstLine="480" w:firstLineChars="200"/>
              <w:jc w:val="both"/>
              <w:rPr>
                <w:rFonts w:hint="default" w:ascii="Times New Roman" w:hAnsi="Times New Roman" w:eastAsia="仿宋" w:cs="Times New Roman"/>
                <w:color w:val="auto"/>
                <w:sz w:val="24"/>
                <w:highlight w:val="yellow"/>
                <w:lang w:eastAsia="zh-CN"/>
              </w:rPr>
            </w:pPr>
            <w:r>
              <w:rPr>
                <w:rFonts w:hint="default" w:ascii="Times New Roman" w:hAnsi="Times New Roman" w:eastAsia="仿宋" w:cs="Times New Roman"/>
                <w:bCs/>
                <w:color w:val="auto"/>
                <w:kern w:val="2"/>
                <w:sz w:val="24"/>
                <w:szCs w:val="24"/>
                <w:lang w:val="en-US" w:eastAsia="zh-CN" w:bidi="ar-SA"/>
              </w:rPr>
              <w:t>综上，本项目投产运行不对区域地下水造成不利影响。</w:t>
            </w:r>
          </w:p>
          <w:p>
            <w:pPr>
              <w:keepNext w:val="0"/>
              <w:keepLines w:val="0"/>
              <w:pageBreakBefore w:val="0"/>
              <w:widowControl w:val="0"/>
              <w:kinsoku/>
              <w:wordWrap/>
              <w:overflowPunct/>
              <w:topLinePunct w:val="0"/>
              <w:autoSpaceDE w:val="0"/>
              <w:autoSpaceDN w:val="0"/>
              <w:bidi w:val="0"/>
              <w:adjustRightInd/>
              <w:snapToGrid/>
              <w:ind w:firstLine="422"/>
              <w:textAlignment w:val="auto"/>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4、声环境影响分析</w:t>
            </w:r>
          </w:p>
          <w:p>
            <w:pPr>
              <w:pStyle w:val="5"/>
              <w:keepNext w:val="0"/>
              <w:keepLines w:val="0"/>
              <w:pageBreakBefore w:val="0"/>
              <w:widowControl w:val="0"/>
              <w:kinsoku/>
              <w:wordWrap/>
              <w:overflowPunct/>
              <w:topLinePunct w:val="0"/>
              <w:bidi w:val="0"/>
              <w:adjustRightInd/>
              <w:snapToGrid/>
              <w:spacing w:beforeLines="0" w:afterLines="0"/>
              <w:ind w:firstLine="420"/>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（1）噪声源强分析</w:t>
            </w:r>
          </w:p>
          <w:p>
            <w:pPr>
              <w:keepNext w:val="0"/>
              <w:keepLines w:val="0"/>
              <w:pageBreakBefore w:val="0"/>
              <w:widowControl w:val="0"/>
              <w:kinsoku/>
              <w:wordWrap/>
              <w:overflowPunct/>
              <w:topLinePunct w:val="0"/>
              <w:autoSpaceDE w:val="0"/>
              <w:autoSpaceDN w:val="0"/>
              <w:bidi w:val="0"/>
              <w:adjustRightInd/>
              <w:snapToGrid/>
              <w:ind w:firstLine="420"/>
              <w:jc w:val="left"/>
              <w:textAlignment w:val="auto"/>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color w:val="auto"/>
                <w:sz w:val="24"/>
                <w:szCs w:val="24"/>
              </w:rPr>
              <w:t>根据本项目工程分析，本项目运营期噪声源为开采作业噪声和运输车辆噪声，</w:t>
            </w:r>
            <w:r>
              <w:rPr>
                <w:rFonts w:hint="default" w:ascii="Times New Roman" w:hAnsi="Times New Roman" w:eastAsia="仿宋" w:cs="Times New Roman"/>
                <w:color w:val="auto"/>
                <w:kern w:val="0"/>
                <w:sz w:val="24"/>
                <w:szCs w:val="24"/>
                <w:lang w:bidi="zh-CN"/>
              </w:rPr>
              <w:t>如挖掘机、洒水车、推土机、运输车辆等设备作业产生的噪声，噪声值在82～90dB（A）之间，均为流动不稳定声源，具体见表4-</w:t>
            </w:r>
            <w:r>
              <w:rPr>
                <w:rFonts w:hint="eastAsia" w:eastAsia="仿宋" w:cs="Times New Roman"/>
                <w:color w:val="auto"/>
                <w:kern w:val="0"/>
                <w:sz w:val="24"/>
                <w:szCs w:val="24"/>
                <w:lang w:val="en-US" w:bidi="zh-CN"/>
              </w:rPr>
              <w:t>8</w:t>
            </w:r>
            <w:r>
              <w:rPr>
                <w:rFonts w:hint="default" w:ascii="Times New Roman" w:hAnsi="Times New Roman" w:eastAsia="仿宋" w:cs="Times New Roman"/>
                <w:color w:val="auto"/>
                <w:kern w:val="0"/>
                <w:sz w:val="24"/>
                <w:szCs w:val="24"/>
                <w:lang w:bidi="zh-CN"/>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表4-</w:t>
            </w:r>
            <w:r>
              <w:rPr>
                <w:rFonts w:hint="eastAsia" w:eastAsia="仿宋" w:cs="Times New Roman"/>
                <w:b/>
                <w:color w:val="auto"/>
                <w:kern w:val="0"/>
                <w:sz w:val="21"/>
                <w:szCs w:val="21"/>
                <w:highlight w:val="none"/>
                <w:lang w:val="en-US" w:eastAsia="zh-CN"/>
              </w:rPr>
              <w:t>8</w:t>
            </w:r>
            <w:r>
              <w:rPr>
                <w:rFonts w:hint="default" w:ascii="Times New Roman" w:hAnsi="Times New Roman" w:eastAsia="仿宋" w:cs="Times New Roman"/>
                <w:b/>
                <w:color w:val="auto"/>
                <w:kern w:val="0"/>
                <w:sz w:val="21"/>
                <w:szCs w:val="21"/>
                <w:highlight w:val="none"/>
              </w:rPr>
              <w:t>运营期噪声值统计表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48"/>
              <w:gridCol w:w="1431"/>
              <w:gridCol w:w="772"/>
              <w:gridCol w:w="1798"/>
              <w:gridCol w:w="3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8"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序号</w:t>
                  </w:r>
                </w:p>
              </w:tc>
              <w:tc>
                <w:tcPr>
                  <w:tcW w:w="856"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声源</w:t>
                  </w:r>
                </w:p>
              </w:tc>
              <w:tc>
                <w:tcPr>
                  <w:tcW w:w="462"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数量</w:t>
                  </w:r>
                </w:p>
              </w:tc>
              <w:tc>
                <w:tcPr>
                  <w:tcW w:w="1076"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噪声值dB（A）</w:t>
                  </w:r>
                </w:p>
              </w:tc>
              <w:tc>
                <w:tcPr>
                  <w:tcW w:w="2157"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噪声减缓措施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8" w:type="pct"/>
                  <w:vAlign w:val="center"/>
                </w:tcPr>
                <w:p>
                  <w:pPr>
                    <w:pStyle w:val="42"/>
                    <w:spacing w:beforeLines="0" w:afterLines="0" w:line="240" w:lineRule="auto"/>
                    <w:ind w:firstLine="0" w:firstLineChars="0"/>
                    <w:rPr>
                      <w:rFonts w:hint="default" w:ascii="Times New Roman" w:hAnsi="Times New Roman" w:eastAsia="仿宋" w:cs="Times New Roman"/>
                      <w:b w:val="0"/>
                      <w:color w:val="auto"/>
                      <w:sz w:val="21"/>
                      <w:szCs w:val="21"/>
                      <w:highlight w:val="none"/>
                    </w:rPr>
                  </w:pPr>
                  <w:r>
                    <w:rPr>
                      <w:rFonts w:hint="default" w:ascii="Times New Roman" w:hAnsi="Times New Roman" w:eastAsia="仿宋" w:cs="Times New Roman"/>
                      <w:b w:val="0"/>
                      <w:color w:val="auto"/>
                      <w:sz w:val="21"/>
                      <w:szCs w:val="21"/>
                      <w:highlight w:val="none"/>
                    </w:rPr>
                    <w:t>1</w:t>
                  </w:r>
                </w:p>
              </w:tc>
              <w:tc>
                <w:tcPr>
                  <w:tcW w:w="856" w:type="pct"/>
                  <w:vAlign w:val="center"/>
                </w:tcPr>
                <w:p>
                  <w:pPr>
                    <w:pStyle w:val="42"/>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挖掘机</w:t>
                  </w:r>
                </w:p>
              </w:tc>
              <w:tc>
                <w:tcPr>
                  <w:tcW w:w="462"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bidi="zh-CN"/>
                    </w:rPr>
                  </w:pPr>
                  <w:r>
                    <w:rPr>
                      <w:rFonts w:hint="eastAsia" w:eastAsia="仿宋" w:cs="Times New Roman"/>
                      <w:color w:val="auto"/>
                      <w:kern w:val="0"/>
                      <w:sz w:val="21"/>
                      <w:szCs w:val="21"/>
                      <w:highlight w:val="none"/>
                      <w:lang w:val="en-US" w:bidi="zh-CN"/>
                    </w:rPr>
                    <w:t>3</w:t>
                  </w:r>
                </w:p>
              </w:tc>
              <w:tc>
                <w:tcPr>
                  <w:tcW w:w="1076"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85</w:t>
                  </w:r>
                </w:p>
              </w:tc>
              <w:tc>
                <w:tcPr>
                  <w:tcW w:w="2157"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选用低噪机械设备，定期对车辆进行维护保养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8" w:type="pct"/>
                  <w:vAlign w:val="center"/>
                </w:tcPr>
                <w:p>
                  <w:pPr>
                    <w:pStyle w:val="42"/>
                    <w:spacing w:beforeLines="0" w:afterLines="0" w:line="240" w:lineRule="auto"/>
                    <w:ind w:firstLine="0" w:firstLineChars="0"/>
                    <w:rPr>
                      <w:rFonts w:hint="default" w:ascii="Times New Roman" w:hAnsi="Times New Roman" w:eastAsia="仿宋" w:cs="Times New Roman"/>
                      <w:b w:val="0"/>
                      <w:color w:val="auto"/>
                      <w:sz w:val="21"/>
                      <w:szCs w:val="21"/>
                      <w:highlight w:val="none"/>
                    </w:rPr>
                  </w:pPr>
                  <w:r>
                    <w:rPr>
                      <w:rFonts w:hint="default" w:ascii="Times New Roman" w:hAnsi="Times New Roman" w:eastAsia="仿宋" w:cs="Times New Roman"/>
                      <w:b w:val="0"/>
                      <w:color w:val="auto"/>
                      <w:sz w:val="21"/>
                      <w:szCs w:val="21"/>
                      <w:highlight w:val="none"/>
                    </w:rPr>
                    <w:t>2</w:t>
                  </w:r>
                </w:p>
              </w:tc>
              <w:tc>
                <w:tcPr>
                  <w:tcW w:w="856" w:type="pct"/>
                  <w:vAlign w:val="center"/>
                </w:tcPr>
                <w:p>
                  <w:pPr>
                    <w:pStyle w:val="42"/>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en-US" w:bidi="zh-CN"/>
                    </w:rPr>
                    <w:t>装载机</w:t>
                  </w:r>
                </w:p>
              </w:tc>
              <w:tc>
                <w:tcPr>
                  <w:tcW w:w="462"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bidi="zh-CN"/>
                    </w:rPr>
                  </w:pPr>
                  <w:r>
                    <w:rPr>
                      <w:rFonts w:hint="eastAsia" w:eastAsia="仿宋" w:cs="Times New Roman"/>
                      <w:color w:val="auto"/>
                      <w:kern w:val="0"/>
                      <w:sz w:val="21"/>
                      <w:szCs w:val="21"/>
                      <w:highlight w:val="none"/>
                      <w:lang w:val="en-US" w:bidi="zh-CN"/>
                    </w:rPr>
                    <w:t>1</w:t>
                  </w:r>
                </w:p>
              </w:tc>
              <w:tc>
                <w:tcPr>
                  <w:tcW w:w="1076"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85</w:t>
                  </w:r>
                </w:p>
              </w:tc>
              <w:tc>
                <w:tcPr>
                  <w:tcW w:w="2157"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选用低噪机械设备，定期对车辆进行维护保养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8" w:type="pct"/>
                  <w:vAlign w:val="center"/>
                </w:tcPr>
                <w:p>
                  <w:pPr>
                    <w:pStyle w:val="42"/>
                    <w:spacing w:beforeLines="0" w:afterLines="0" w:line="240" w:lineRule="auto"/>
                    <w:ind w:firstLine="0" w:firstLineChars="0"/>
                    <w:rPr>
                      <w:rFonts w:hint="default" w:ascii="Times New Roman" w:hAnsi="Times New Roman" w:eastAsia="仿宋" w:cs="Times New Roman"/>
                      <w:b w:val="0"/>
                      <w:color w:val="auto"/>
                      <w:sz w:val="21"/>
                      <w:szCs w:val="21"/>
                      <w:highlight w:val="none"/>
                    </w:rPr>
                  </w:pPr>
                  <w:r>
                    <w:rPr>
                      <w:rFonts w:hint="default" w:ascii="Times New Roman" w:hAnsi="Times New Roman" w:eastAsia="仿宋" w:cs="Times New Roman"/>
                      <w:b w:val="0"/>
                      <w:color w:val="auto"/>
                      <w:sz w:val="21"/>
                      <w:szCs w:val="21"/>
                      <w:highlight w:val="none"/>
                    </w:rPr>
                    <w:t>3</w:t>
                  </w:r>
                </w:p>
              </w:tc>
              <w:tc>
                <w:tcPr>
                  <w:tcW w:w="856" w:type="pct"/>
                  <w:vAlign w:val="center"/>
                </w:tcPr>
                <w:p>
                  <w:pPr>
                    <w:pStyle w:val="42"/>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运输车辆</w:t>
                  </w:r>
                </w:p>
              </w:tc>
              <w:tc>
                <w:tcPr>
                  <w:tcW w:w="462"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val="zh-CN" w:bidi="zh-CN"/>
                    </w:rPr>
                  </w:pPr>
                  <w:r>
                    <w:rPr>
                      <w:rFonts w:hint="eastAsia" w:eastAsia="仿宋" w:cs="Times New Roman"/>
                      <w:color w:val="auto"/>
                      <w:kern w:val="0"/>
                      <w:sz w:val="21"/>
                      <w:szCs w:val="21"/>
                      <w:highlight w:val="none"/>
                      <w:lang w:val="en-US" w:bidi="zh-CN"/>
                    </w:rPr>
                    <w:t>4</w:t>
                  </w:r>
                </w:p>
              </w:tc>
              <w:tc>
                <w:tcPr>
                  <w:tcW w:w="1076"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90</w:t>
                  </w:r>
                </w:p>
              </w:tc>
              <w:tc>
                <w:tcPr>
                  <w:tcW w:w="2157"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选用低噪机械设备，定期对车辆进行维护保养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8" w:type="pct"/>
                  <w:vAlign w:val="center"/>
                </w:tcPr>
                <w:p>
                  <w:pPr>
                    <w:pStyle w:val="42"/>
                    <w:spacing w:beforeLines="0" w:afterLines="0" w:line="240" w:lineRule="auto"/>
                    <w:ind w:firstLine="0" w:firstLineChars="0"/>
                    <w:rPr>
                      <w:rFonts w:hint="default" w:ascii="Times New Roman" w:hAnsi="Times New Roman" w:eastAsia="仿宋" w:cs="Times New Roman"/>
                      <w:b w:val="0"/>
                      <w:color w:val="auto"/>
                      <w:sz w:val="21"/>
                      <w:szCs w:val="21"/>
                      <w:highlight w:val="none"/>
                    </w:rPr>
                  </w:pPr>
                  <w:r>
                    <w:rPr>
                      <w:rFonts w:hint="default" w:ascii="Times New Roman" w:hAnsi="Times New Roman" w:eastAsia="仿宋" w:cs="Times New Roman"/>
                      <w:b w:val="0"/>
                      <w:color w:val="auto"/>
                      <w:sz w:val="21"/>
                      <w:szCs w:val="21"/>
                      <w:highlight w:val="none"/>
                    </w:rPr>
                    <w:t>4</w:t>
                  </w:r>
                </w:p>
              </w:tc>
              <w:tc>
                <w:tcPr>
                  <w:tcW w:w="856" w:type="pct"/>
                  <w:vAlign w:val="center"/>
                </w:tcPr>
                <w:p>
                  <w:pPr>
                    <w:pStyle w:val="42"/>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洒水车</w:t>
                  </w:r>
                </w:p>
              </w:tc>
              <w:tc>
                <w:tcPr>
                  <w:tcW w:w="462"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bidi="zh-CN"/>
                    </w:rPr>
                  </w:pPr>
                  <w:r>
                    <w:rPr>
                      <w:rFonts w:hint="default" w:ascii="Times New Roman" w:hAnsi="Times New Roman" w:eastAsia="仿宋" w:cs="Times New Roman"/>
                      <w:color w:val="auto"/>
                      <w:kern w:val="0"/>
                      <w:sz w:val="21"/>
                      <w:szCs w:val="21"/>
                      <w:highlight w:val="none"/>
                      <w:lang w:bidi="zh-CN"/>
                    </w:rPr>
                    <w:t>1</w:t>
                  </w:r>
                </w:p>
              </w:tc>
              <w:tc>
                <w:tcPr>
                  <w:tcW w:w="1076"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90</w:t>
                  </w:r>
                </w:p>
              </w:tc>
              <w:tc>
                <w:tcPr>
                  <w:tcW w:w="2157"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限制车速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8" w:type="pct"/>
                  <w:vAlign w:val="center"/>
                </w:tcPr>
                <w:p>
                  <w:pPr>
                    <w:pStyle w:val="42"/>
                    <w:spacing w:beforeLines="0" w:afterLines="0" w:line="240" w:lineRule="auto"/>
                    <w:ind w:firstLine="0" w:firstLineChars="0"/>
                    <w:rPr>
                      <w:rFonts w:hint="default" w:ascii="Times New Roman" w:hAnsi="Times New Roman" w:eastAsia="仿宋" w:cs="Times New Roman"/>
                      <w:b w:val="0"/>
                      <w:color w:val="auto"/>
                      <w:sz w:val="21"/>
                      <w:szCs w:val="21"/>
                      <w:highlight w:val="none"/>
                    </w:rPr>
                  </w:pPr>
                  <w:r>
                    <w:rPr>
                      <w:rFonts w:hint="default" w:ascii="Times New Roman" w:hAnsi="Times New Roman" w:eastAsia="仿宋" w:cs="Times New Roman"/>
                      <w:b w:val="0"/>
                      <w:color w:val="auto"/>
                      <w:sz w:val="21"/>
                      <w:szCs w:val="21"/>
                      <w:highlight w:val="none"/>
                    </w:rPr>
                    <w:t>5</w:t>
                  </w:r>
                </w:p>
              </w:tc>
              <w:tc>
                <w:tcPr>
                  <w:tcW w:w="856" w:type="pct"/>
                  <w:vAlign w:val="center"/>
                </w:tcPr>
                <w:p>
                  <w:pPr>
                    <w:pStyle w:val="42"/>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雾炮机</w:t>
                  </w:r>
                </w:p>
                <w:p>
                  <w:pPr>
                    <w:pStyle w:val="42"/>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（可移动）</w:t>
                  </w:r>
                </w:p>
              </w:tc>
              <w:tc>
                <w:tcPr>
                  <w:tcW w:w="462"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bidi="zh-CN"/>
                    </w:rPr>
                  </w:pPr>
                  <w:r>
                    <w:rPr>
                      <w:rFonts w:hint="default" w:ascii="Times New Roman" w:hAnsi="Times New Roman" w:eastAsia="仿宋" w:cs="Times New Roman"/>
                      <w:color w:val="auto"/>
                      <w:kern w:val="0"/>
                      <w:sz w:val="21"/>
                      <w:szCs w:val="21"/>
                      <w:highlight w:val="none"/>
                      <w:lang w:bidi="zh-CN"/>
                    </w:rPr>
                    <w:t>2</w:t>
                  </w:r>
                </w:p>
              </w:tc>
              <w:tc>
                <w:tcPr>
                  <w:tcW w:w="1076"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85</w:t>
                  </w:r>
                </w:p>
              </w:tc>
              <w:tc>
                <w:tcPr>
                  <w:tcW w:w="2157"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减震</w:t>
                  </w:r>
                </w:p>
              </w:tc>
            </w:tr>
          </w:tbl>
          <w:p>
            <w:pPr>
              <w:pStyle w:val="5"/>
              <w:keepNext w:val="0"/>
              <w:keepLines w:val="0"/>
              <w:pageBreakBefore w:val="0"/>
              <w:widowControl w:val="0"/>
              <w:kinsoku/>
              <w:wordWrap/>
              <w:overflowPunct/>
              <w:topLinePunct w:val="0"/>
              <w:autoSpaceDE/>
              <w:autoSpaceDN/>
              <w:bidi w:val="0"/>
              <w:adjustRightInd/>
              <w:snapToGrid/>
              <w:spacing w:before="157" w:beforeLines="50" w:afterLines="0"/>
              <w:ind w:firstLine="420"/>
              <w:textAlignment w:val="auto"/>
              <w:rPr>
                <w:rFonts w:hint="default" w:ascii="Times New Roman" w:hAnsi="Times New Roman" w:eastAsia="仿宋" w:cs="Times New Roman"/>
                <w:b w:val="0"/>
                <w:bCs w:val="0"/>
                <w:snapToGrid w:val="0"/>
                <w:color w:val="auto"/>
                <w:sz w:val="24"/>
                <w:szCs w:val="24"/>
                <w:highlight w:val="none"/>
              </w:rPr>
            </w:pPr>
            <w:r>
              <w:rPr>
                <w:rFonts w:hint="default" w:ascii="Times New Roman" w:hAnsi="Times New Roman" w:eastAsia="仿宋" w:cs="Times New Roman"/>
                <w:b w:val="0"/>
                <w:bCs w:val="0"/>
                <w:snapToGrid w:val="0"/>
                <w:color w:val="auto"/>
                <w:sz w:val="24"/>
                <w:szCs w:val="24"/>
                <w:highlight w:val="none"/>
              </w:rPr>
              <w:t>（2）噪声污染预测</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影响噪声从声源到关心点的传播途径特性的主要因素有：距离衰减、建筑围护结构和遮挡物引起的衰减，各种介质的吸收与反射等。根据采取的治理措施和围护结构的降噪效果，采用《环境影响评价技术导则声环境》（HJ2.4-2021）推荐的工业噪声预测模式，预测本工程对周围声环境的影响。</w:t>
            </w:r>
          </w:p>
          <w:p>
            <w:pPr>
              <w:ind w:firstLine="420"/>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采用《环境影响评价技术导则声环境》（HJ2.4-2021）预测模式</w:t>
            </w:r>
            <w:r>
              <w:rPr>
                <w:rFonts w:hint="default" w:ascii="Times New Roman" w:hAnsi="Times New Roman" w:eastAsia="仿宋" w:cs="Times New Roman"/>
                <w:color w:val="auto"/>
                <w:sz w:val="24"/>
                <w:szCs w:val="24"/>
                <w:highlight w:val="none"/>
                <w:lang w:eastAsia="zh-CN"/>
              </w:rPr>
              <w:t>：</w:t>
            </w:r>
          </w:p>
          <w:p>
            <w:pPr>
              <w:ind w:firstLine="420"/>
              <w:jc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i/>
                <w:color w:val="auto"/>
                <w:sz w:val="24"/>
                <w:szCs w:val="24"/>
                <w:highlight w:val="none"/>
              </w:rPr>
              <w:t>L</w:t>
            </w:r>
            <w:r>
              <w:rPr>
                <w:rFonts w:hint="default" w:ascii="Times New Roman" w:hAnsi="Times New Roman" w:eastAsia="仿宋" w:cs="Times New Roman"/>
                <w:color w:val="auto"/>
                <w:sz w:val="24"/>
                <w:szCs w:val="24"/>
                <w:highlight w:val="none"/>
                <w:vertAlign w:val="subscript"/>
              </w:rPr>
              <w:t>A（r）</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i/>
                <w:color w:val="auto"/>
                <w:sz w:val="24"/>
                <w:szCs w:val="24"/>
                <w:highlight w:val="none"/>
              </w:rPr>
              <w:t>L</w:t>
            </w:r>
            <w:r>
              <w:rPr>
                <w:rFonts w:hint="default" w:ascii="Times New Roman" w:hAnsi="Times New Roman" w:eastAsia="仿宋" w:cs="Times New Roman"/>
                <w:color w:val="auto"/>
                <w:sz w:val="24"/>
                <w:szCs w:val="24"/>
                <w:highlight w:val="none"/>
                <w:vertAlign w:val="subscript"/>
              </w:rPr>
              <w:t>A（r0）</w:t>
            </w:r>
            <w:r>
              <w:rPr>
                <w:rFonts w:hint="default" w:ascii="Times New Roman" w:hAnsi="Times New Roman" w:eastAsia="仿宋" w:cs="Times New Roman"/>
                <w:color w:val="auto"/>
                <w:sz w:val="24"/>
                <w:szCs w:val="24"/>
                <w:highlight w:val="none"/>
                <w:vertAlign w:val="baseline"/>
                <w:lang w:val="en-US" w:eastAsia="zh-CN"/>
              </w:rPr>
              <w:t>+Dc</w:t>
            </w:r>
            <w:r>
              <w:rPr>
                <w:rFonts w:hint="default" w:ascii="Times New Roman" w:hAnsi="Times New Roman" w:eastAsia="仿宋" w:cs="Times New Roman"/>
                <w:color w:val="auto"/>
                <w:kern w:val="0"/>
                <w:sz w:val="24"/>
                <w:szCs w:val="24"/>
                <w:highlight w:val="none"/>
              </w:rPr>
              <w:t>-</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div</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atm</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gr</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bar</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misc</w:t>
            </w:r>
          </w:p>
          <w:p>
            <w:pPr>
              <w:ind w:firstLine="42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式中：</w:t>
            </w:r>
            <w:r>
              <w:rPr>
                <w:rFonts w:hint="default" w:ascii="Times New Roman" w:hAnsi="Times New Roman" w:eastAsia="仿宋" w:cs="Times New Roman"/>
                <w:i/>
                <w:color w:val="auto"/>
                <w:sz w:val="24"/>
                <w:szCs w:val="24"/>
                <w:highlight w:val="none"/>
              </w:rPr>
              <w:t>L</w:t>
            </w:r>
            <w:r>
              <w:rPr>
                <w:rFonts w:hint="default" w:ascii="Times New Roman" w:hAnsi="Times New Roman" w:eastAsia="仿宋" w:cs="Times New Roman"/>
                <w:color w:val="auto"/>
                <w:sz w:val="24"/>
                <w:szCs w:val="24"/>
                <w:highlight w:val="none"/>
                <w:vertAlign w:val="subscript"/>
              </w:rPr>
              <w:t>A（r）</w:t>
            </w:r>
            <w:r>
              <w:rPr>
                <w:rFonts w:hint="default" w:ascii="Times New Roman" w:hAnsi="Times New Roman" w:eastAsia="仿宋" w:cs="Times New Roman"/>
                <w:color w:val="auto"/>
                <w:kern w:val="0"/>
                <w:sz w:val="24"/>
                <w:szCs w:val="24"/>
                <w:highlight w:val="none"/>
              </w:rPr>
              <w:t>为距声源r处的A声级；</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i/>
                <w:color w:val="auto"/>
                <w:sz w:val="24"/>
                <w:szCs w:val="24"/>
                <w:highlight w:val="none"/>
              </w:rPr>
              <w:t>L</w:t>
            </w:r>
            <w:r>
              <w:rPr>
                <w:rFonts w:hint="default" w:ascii="Times New Roman" w:hAnsi="Times New Roman" w:eastAsia="仿宋" w:cs="Times New Roman"/>
                <w:color w:val="auto"/>
                <w:sz w:val="24"/>
                <w:szCs w:val="24"/>
                <w:highlight w:val="none"/>
                <w:vertAlign w:val="subscript"/>
              </w:rPr>
              <w:t>A（r0）</w:t>
            </w:r>
            <w:r>
              <w:rPr>
                <w:rFonts w:hint="default" w:ascii="Times New Roman" w:hAnsi="Times New Roman" w:eastAsia="仿宋" w:cs="Times New Roman"/>
                <w:color w:val="auto"/>
                <w:kern w:val="0"/>
                <w:sz w:val="24"/>
                <w:szCs w:val="24"/>
                <w:highlight w:val="none"/>
              </w:rPr>
              <w:t>为参考位置r0的A声级；</w:t>
            </w:r>
          </w:p>
          <w:p>
            <w:pPr>
              <w:ind w:firstLine="420"/>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sz w:val="24"/>
                <w:szCs w:val="24"/>
                <w:highlight w:val="none"/>
                <w:vertAlign w:val="baseline"/>
                <w:lang w:val="en-US" w:eastAsia="zh-CN"/>
              </w:rPr>
              <w:t>Dc</w:t>
            </w:r>
            <w:r>
              <w:rPr>
                <w:rFonts w:hint="default" w:ascii="Times New Roman" w:hAnsi="Times New Roman" w:eastAsia="仿宋" w:cs="Times New Roman"/>
                <w:color w:val="auto"/>
                <w:kern w:val="0"/>
                <w:sz w:val="24"/>
                <w:szCs w:val="24"/>
                <w:highlight w:val="none"/>
              </w:rPr>
              <w:t>为指向性校正，它描述点声源的等效连续声压级与产生声功率级Lw的全向点声源在规定方向的声级的偏差程度，dB，取0；</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div</w:t>
            </w:r>
            <w:r>
              <w:rPr>
                <w:rFonts w:hint="default" w:ascii="Times New Roman" w:hAnsi="Times New Roman" w:eastAsia="仿宋" w:cs="Times New Roman"/>
                <w:color w:val="auto"/>
                <w:kern w:val="0"/>
                <w:sz w:val="24"/>
                <w:szCs w:val="24"/>
                <w:highlight w:val="none"/>
              </w:rPr>
              <w:t>为声波几何发散引起的A声级衰减量；</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atm</w:t>
            </w:r>
            <w:r>
              <w:rPr>
                <w:rFonts w:hint="default" w:ascii="Times New Roman" w:hAnsi="Times New Roman" w:eastAsia="仿宋" w:cs="Times New Roman"/>
                <w:color w:val="auto"/>
                <w:kern w:val="0"/>
                <w:sz w:val="24"/>
                <w:szCs w:val="24"/>
                <w:highlight w:val="none"/>
              </w:rPr>
              <w:t>为大气吸收引起的A声级衰减量；</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gr</w:t>
            </w:r>
            <w:r>
              <w:rPr>
                <w:rFonts w:hint="default" w:ascii="Times New Roman" w:hAnsi="Times New Roman" w:eastAsia="仿宋" w:cs="Times New Roman"/>
                <w:color w:val="auto"/>
                <w:kern w:val="0"/>
                <w:sz w:val="24"/>
                <w:szCs w:val="24"/>
                <w:highlight w:val="none"/>
              </w:rPr>
              <w:t>为地面效应引起的A声级衰减量；</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bar</w:t>
            </w:r>
            <w:r>
              <w:rPr>
                <w:rFonts w:hint="default" w:ascii="Times New Roman" w:hAnsi="Times New Roman" w:eastAsia="仿宋" w:cs="Times New Roman"/>
                <w:color w:val="auto"/>
                <w:kern w:val="0"/>
                <w:sz w:val="24"/>
                <w:szCs w:val="24"/>
                <w:highlight w:val="none"/>
              </w:rPr>
              <w:t>为声屏障引起的A声级衰减量；</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misc</w:t>
            </w:r>
            <w:r>
              <w:rPr>
                <w:rFonts w:hint="default" w:ascii="Times New Roman" w:hAnsi="Times New Roman" w:eastAsia="仿宋" w:cs="Times New Roman"/>
                <w:color w:val="auto"/>
                <w:kern w:val="0"/>
                <w:sz w:val="24"/>
                <w:szCs w:val="24"/>
                <w:highlight w:val="none"/>
              </w:rPr>
              <w:t>为其他多方面效应引起的A声级衰减量。</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由于工业场地平整后地势较平坦，为保守起见，并根据工程特点，本次预测仅考虑噪声随距离的衰减，未考虑地面效应、大气吸收和其他多方面效应引起的A声级衰减量，仅考虑Adiv的衰减量，来预测本工程主要噪声源对周围声环境的影响几何发散引起的A声级衰减量的计算公式如下：</w:t>
            </w:r>
          </w:p>
          <w:p>
            <w:pPr>
              <w:ind w:firstLine="420"/>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div</w:t>
            </w:r>
            <w:r>
              <w:rPr>
                <w:rFonts w:hint="default" w:ascii="Times New Roman" w:hAnsi="Times New Roman" w:eastAsia="仿宋" w:cs="Times New Roman"/>
                <w:color w:val="auto"/>
                <w:kern w:val="0"/>
                <w:sz w:val="24"/>
                <w:szCs w:val="24"/>
                <w:highlight w:val="none"/>
                <w:vertAlign w:val="baseline"/>
                <w:lang w:val="en-US" w:eastAsia="zh-CN"/>
              </w:rPr>
              <w:t>=</w:t>
            </w:r>
            <w:r>
              <w:rPr>
                <w:rFonts w:hint="default" w:ascii="Times New Roman" w:hAnsi="Times New Roman" w:eastAsia="仿宋" w:cs="Times New Roman"/>
                <w:color w:val="auto"/>
                <w:kern w:val="0"/>
                <w:sz w:val="24"/>
                <w:szCs w:val="24"/>
                <w:highlight w:val="none"/>
              </w:rPr>
              <w:t>20lg（</w:t>
            </w:r>
            <w:r>
              <w:rPr>
                <w:rFonts w:hint="default" w:ascii="Times New Roman" w:hAnsi="Times New Roman" w:eastAsia="仿宋" w:cs="Times New Roman"/>
                <w:i/>
                <w:color w:val="auto"/>
                <w:kern w:val="0"/>
                <w:sz w:val="24"/>
                <w:szCs w:val="24"/>
                <w:highlight w:val="none"/>
              </w:rPr>
              <w:t>r</w:t>
            </w:r>
            <w:r>
              <w:rPr>
                <w:rFonts w:hint="default" w:ascii="Times New Roman" w:hAnsi="Times New Roman" w:eastAsia="仿宋" w:cs="Times New Roman"/>
                <w:color w:val="auto"/>
                <w:kern w:val="0"/>
                <w:sz w:val="24"/>
                <w:szCs w:val="24"/>
                <w:highlight w:val="none"/>
              </w:rPr>
              <w:t>/</w:t>
            </w:r>
            <w:r>
              <w:rPr>
                <w:rFonts w:hint="default" w:ascii="Times New Roman" w:hAnsi="Times New Roman" w:eastAsia="仿宋" w:cs="Times New Roman"/>
                <w:i/>
                <w:color w:val="auto"/>
                <w:kern w:val="0"/>
                <w:sz w:val="24"/>
                <w:szCs w:val="24"/>
                <w:highlight w:val="none"/>
              </w:rPr>
              <w:t>r</w:t>
            </w:r>
            <w:r>
              <w:rPr>
                <w:rFonts w:hint="default" w:ascii="Times New Roman" w:hAnsi="Times New Roman" w:eastAsia="仿宋" w:cs="Times New Roman"/>
                <w:color w:val="auto"/>
                <w:kern w:val="0"/>
                <w:sz w:val="24"/>
                <w:szCs w:val="24"/>
                <w:highlight w:val="none"/>
                <w:vertAlign w:val="subscript"/>
              </w:rPr>
              <w:t>0</w:t>
            </w:r>
            <w:r>
              <w:rPr>
                <w:rFonts w:hint="default" w:ascii="Times New Roman" w:hAnsi="Times New Roman" w:eastAsia="仿宋" w:cs="Times New Roman"/>
                <w:color w:val="auto"/>
                <w:kern w:val="0"/>
                <w:sz w:val="24"/>
                <w:szCs w:val="24"/>
                <w:highlight w:val="none"/>
              </w:rPr>
              <w:t>）</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对多个声源同时存在时，其总A声级用下式计算：</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highlight w:val="none"/>
              </w:rPr>
              <w:drawing>
                <wp:inline distT="0" distB="0" distL="114300" distR="114300">
                  <wp:extent cx="1252855" cy="367665"/>
                  <wp:effectExtent l="0" t="0" r="4445" b="1333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21"/>
                          <a:stretch>
                            <a:fillRect/>
                          </a:stretch>
                        </pic:blipFill>
                        <pic:spPr>
                          <a:xfrm>
                            <a:off x="0" y="0"/>
                            <a:ext cx="1252855" cy="367665"/>
                          </a:xfrm>
                          <a:prstGeom prst="rect">
                            <a:avLst/>
                          </a:prstGeom>
                          <a:noFill/>
                          <a:ln>
                            <a:noFill/>
                          </a:ln>
                        </pic:spPr>
                      </pic:pic>
                    </a:graphicData>
                  </a:graphic>
                </wp:inline>
              </w:drawing>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式中：Leqg为本工程声源在预测点的等效声级贡献值，dB（A）；</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L</w:t>
            </w:r>
            <w:r>
              <w:rPr>
                <w:rFonts w:hint="default" w:ascii="Times New Roman" w:hAnsi="Times New Roman" w:eastAsia="仿宋" w:cs="Times New Roman"/>
                <w:color w:val="auto"/>
                <w:sz w:val="24"/>
                <w:szCs w:val="24"/>
                <w:highlight w:val="none"/>
                <w:vertAlign w:val="subscript"/>
              </w:rPr>
              <w:t>Ai</w:t>
            </w:r>
            <w:r>
              <w:rPr>
                <w:rFonts w:hint="default" w:ascii="Times New Roman" w:hAnsi="Times New Roman" w:eastAsia="仿宋" w:cs="Times New Roman"/>
                <w:color w:val="auto"/>
                <w:sz w:val="24"/>
                <w:szCs w:val="24"/>
                <w:highlight w:val="none"/>
              </w:rPr>
              <w:t>为i声源在预测点产生的A声级，dB（A）；</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T预测计算的时间段，s；</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t</w:t>
            </w:r>
            <w:r>
              <w:rPr>
                <w:rFonts w:hint="default" w:ascii="Times New Roman" w:hAnsi="Times New Roman" w:eastAsia="仿宋" w:cs="Times New Roman"/>
                <w:color w:val="auto"/>
                <w:sz w:val="24"/>
                <w:szCs w:val="24"/>
                <w:highlight w:val="none"/>
                <w:vertAlign w:val="subscript"/>
              </w:rPr>
              <w:t>i</w:t>
            </w:r>
            <w:r>
              <w:rPr>
                <w:rFonts w:hint="default" w:ascii="Times New Roman" w:hAnsi="Times New Roman" w:eastAsia="仿宋" w:cs="Times New Roman"/>
                <w:color w:val="auto"/>
                <w:sz w:val="24"/>
                <w:szCs w:val="24"/>
                <w:highlight w:val="none"/>
              </w:rPr>
              <w:t>为i声源在T时段内的运行时间，s。</w:t>
            </w:r>
          </w:p>
          <w:p>
            <w:pPr>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预测结果与评价</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根据本工程厂内主要噪声源的位置和噪声级，采用上述预测方法与预测模式选择对东、北、西、南厂界进行预测。具体预测结果见表</w:t>
            </w:r>
            <w:r>
              <w:rPr>
                <w:rFonts w:hint="default" w:ascii="Times New Roman" w:hAnsi="Times New Roman" w:eastAsia="仿宋" w:cs="Times New Roman"/>
                <w:color w:val="auto"/>
                <w:sz w:val="24"/>
                <w:szCs w:val="24"/>
                <w:highlight w:val="none"/>
                <w:lang w:val="en-US" w:eastAsia="zh-CN"/>
              </w:rPr>
              <w:t>4-</w:t>
            </w:r>
            <w:r>
              <w:rPr>
                <w:rFonts w:hint="eastAsia" w:eastAsia="仿宋" w:cs="Times New Roman"/>
                <w:color w:val="auto"/>
                <w:sz w:val="24"/>
                <w:szCs w:val="24"/>
                <w:highlight w:val="none"/>
                <w:lang w:val="en-US" w:eastAsia="zh-CN"/>
              </w:rPr>
              <w:t>9</w:t>
            </w:r>
            <w:r>
              <w:rPr>
                <w:rFonts w:hint="default" w:ascii="Times New Roman" w:hAnsi="Times New Roman" w:eastAsia="仿宋" w:cs="Times New Roman"/>
                <w:color w:val="auto"/>
                <w:sz w:val="24"/>
                <w:szCs w:val="24"/>
                <w:highlight w:val="none"/>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highlight w:val="none"/>
                <w:lang w:val="en-US" w:eastAsia="zh-CN"/>
              </w:rPr>
            </w:pPr>
            <w:r>
              <w:rPr>
                <w:rFonts w:hint="default" w:ascii="Times New Roman" w:hAnsi="Times New Roman" w:eastAsia="仿宋" w:cs="Times New Roman"/>
                <w:b/>
                <w:color w:val="auto"/>
                <w:kern w:val="0"/>
                <w:sz w:val="21"/>
                <w:szCs w:val="21"/>
                <w:highlight w:val="none"/>
                <w:lang w:val="en-US" w:eastAsia="zh-CN"/>
              </w:rPr>
              <w:t>表4-</w:t>
            </w:r>
            <w:r>
              <w:rPr>
                <w:rFonts w:hint="eastAsia" w:eastAsia="仿宋" w:cs="Times New Roman"/>
                <w:b/>
                <w:color w:val="auto"/>
                <w:kern w:val="0"/>
                <w:sz w:val="21"/>
                <w:szCs w:val="21"/>
                <w:highlight w:val="none"/>
                <w:lang w:val="en-US" w:eastAsia="zh-CN"/>
              </w:rPr>
              <w:t>9</w:t>
            </w:r>
            <w:r>
              <w:rPr>
                <w:rFonts w:hint="default" w:ascii="Times New Roman" w:hAnsi="Times New Roman" w:eastAsia="仿宋" w:cs="Times New Roman"/>
                <w:b/>
                <w:color w:val="auto"/>
                <w:kern w:val="0"/>
                <w:sz w:val="21"/>
                <w:szCs w:val="21"/>
                <w:highlight w:val="none"/>
                <w:lang w:val="en-US" w:eastAsia="zh-CN"/>
              </w:rPr>
              <w:t>厂界噪声贡献值预测结果</w:t>
            </w:r>
          </w:p>
          <w:tbl>
            <w:tblPr>
              <w:tblStyle w:val="26"/>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1671"/>
              <w:gridCol w:w="1671"/>
              <w:gridCol w:w="1672"/>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预测点</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时段</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贡献值dB（A）</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标准值dB（A）</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东厂界</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昼间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 xml:space="preserve">39 </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60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夜间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 xml:space="preserve">37 </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50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南厂界</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昼间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 xml:space="preserve">37 </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60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夜间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 xml:space="preserve">36 </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50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西厂界</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昼间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 xml:space="preserve">38 </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60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夜间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 xml:space="preserve">37 </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50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北厂界</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昼间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 xml:space="preserve">39 </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60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6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夜间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 xml:space="preserve">38 </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50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bl>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由</w:t>
            </w:r>
            <w:r>
              <w:rPr>
                <w:rFonts w:hint="eastAsia" w:ascii="Times New Roman" w:hAnsi="Times New Roman" w:eastAsia="仿宋" w:cs="Times New Roman"/>
                <w:color w:val="auto"/>
                <w:sz w:val="24"/>
                <w:szCs w:val="24"/>
                <w:highlight w:val="none"/>
                <w:lang w:val="en-US" w:eastAsia="zh-CN"/>
              </w:rPr>
              <w:t>上表</w:t>
            </w:r>
            <w:r>
              <w:rPr>
                <w:rFonts w:hint="default" w:ascii="Times New Roman" w:hAnsi="Times New Roman" w:eastAsia="仿宋" w:cs="Times New Roman"/>
                <w:color w:val="auto"/>
                <w:sz w:val="24"/>
                <w:szCs w:val="24"/>
                <w:highlight w:val="none"/>
              </w:rPr>
              <w:t>可知，项目场界噪声可满足《工业企业厂界环境噪声排放标准》（GB12348-2008）2类标准。</w:t>
            </w:r>
          </w:p>
          <w:p>
            <w:pPr>
              <w:overflowPunct w:val="0"/>
              <w:adjustRightInd w:val="0"/>
              <w:snapToGrid w:val="0"/>
              <w:ind w:firstLine="422"/>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5、固体废物环境影响分析</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val="en-US" w:eastAsia="zh-CN"/>
              </w:rPr>
              <w:t>根据项目开发利用与生态保护修复方案可知，项目区</w:t>
            </w:r>
            <w:r>
              <w:rPr>
                <w:rFonts w:hint="default" w:ascii="Times New Roman" w:hAnsi="Times New Roman" w:eastAsia="仿宋" w:cs="Times New Roman"/>
                <w:color w:val="auto"/>
                <w:sz w:val="24"/>
                <w:szCs w:val="24"/>
              </w:rPr>
              <w:t>矿体为</w:t>
            </w:r>
            <w:r>
              <w:rPr>
                <w:rFonts w:hint="default" w:ascii="Times New Roman" w:hAnsi="Times New Roman" w:eastAsia="仿宋" w:cs="Times New Roman"/>
                <w:color w:val="auto"/>
                <w:sz w:val="24"/>
                <w:szCs w:val="24"/>
                <w:lang w:eastAsia="zh-CN"/>
              </w:rPr>
              <w:t>建筑用砂</w:t>
            </w:r>
            <w:r>
              <w:rPr>
                <w:rFonts w:hint="default" w:ascii="Times New Roman" w:hAnsi="Times New Roman" w:eastAsia="仿宋" w:cs="Times New Roman"/>
                <w:color w:val="auto"/>
                <w:sz w:val="24"/>
                <w:szCs w:val="24"/>
              </w:rPr>
              <w:t>，出露于地表，顶部不存在需剥离的覆盖层</w:t>
            </w:r>
            <w:r>
              <w:rPr>
                <w:rFonts w:hint="eastAsia"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无需进行表土剥离。</w:t>
            </w:r>
            <w:r>
              <w:rPr>
                <w:rFonts w:hint="default" w:ascii="Times New Roman" w:hAnsi="Times New Roman" w:eastAsia="仿宋" w:cs="Times New Roman"/>
                <w:color w:val="auto"/>
                <w:sz w:val="24"/>
                <w:szCs w:val="24"/>
              </w:rPr>
              <w:t>本项目运营期间产生固体废物主要是生活垃圾</w:t>
            </w:r>
            <w:r>
              <w:rPr>
                <w:rFonts w:hint="eastAsia" w:ascii="Times New Roman" w:hAnsi="Times New Roman" w:eastAsia="仿宋" w:cs="Times New Roman"/>
                <w:color w:val="auto"/>
                <w:sz w:val="24"/>
                <w:szCs w:val="24"/>
                <w:lang w:val="en-US" w:eastAsia="zh-CN"/>
              </w:rPr>
              <w:t>及沉淀池污泥</w:t>
            </w:r>
            <w:r>
              <w:rPr>
                <w:rFonts w:hint="eastAsia" w:ascii="Times New Roman" w:hAnsi="Times New Roman" w:eastAsia="仿宋"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color w:val="auto"/>
                <w:sz w:val="24"/>
                <w:szCs w:val="24"/>
              </w:rPr>
              <w:t>本项目固体废物产生情况见下表：</w:t>
            </w:r>
          </w:p>
          <w:p>
            <w:pPr>
              <w:pStyle w:val="35"/>
              <w:spacing w:line="360" w:lineRule="auto"/>
              <w:ind w:firstLine="0" w:firstLineChars="0"/>
              <w:jc w:val="center"/>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表4-1</w:t>
            </w:r>
            <w:r>
              <w:rPr>
                <w:rFonts w:hint="eastAsia" w:ascii="Times New Roman" w:hAnsi="Times New Roman" w:eastAsia="仿宋" w:cs="Times New Roman"/>
                <w:b/>
                <w:color w:val="auto"/>
                <w:sz w:val="21"/>
                <w:szCs w:val="21"/>
                <w:highlight w:val="none"/>
                <w:lang w:val="en-US" w:eastAsia="zh-CN"/>
              </w:rPr>
              <w:t>0</w:t>
            </w:r>
            <w:r>
              <w:rPr>
                <w:rFonts w:hint="default" w:ascii="Times New Roman" w:hAnsi="Times New Roman" w:eastAsia="仿宋" w:cs="Times New Roman"/>
                <w:b/>
                <w:color w:val="auto"/>
                <w:sz w:val="21"/>
                <w:szCs w:val="21"/>
                <w:highlight w:val="none"/>
              </w:rPr>
              <w:t>固体废物产生信息表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466"/>
              <w:gridCol w:w="1098"/>
              <w:gridCol w:w="1734"/>
              <w:gridCol w:w="1734"/>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序号</w:t>
                  </w:r>
                </w:p>
              </w:tc>
              <w:tc>
                <w:tcPr>
                  <w:tcW w:w="877"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固废名称</w:t>
                  </w:r>
                </w:p>
              </w:tc>
              <w:tc>
                <w:tcPr>
                  <w:tcW w:w="657" w:type="pct"/>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产生量</w:t>
                  </w:r>
                </w:p>
              </w:tc>
              <w:tc>
                <w:tcPr>
                  <w:tcW w:w="1037"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属性鉴别方法</w:t>
                  </w:r>
                </w:p>
              </w:tc>
              <w:tc>
                <w:tcPr>
                  <w:tcW w:w="1037"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固废种类、代码</w:t>
                  </w:r>
                </w:p>
              </w:tc>
              <w:tc>
                <w:tcPr>
                  <w:tcW w:w="1037"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处置方式及去向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2"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1</w:t>
                  </w:r>
                </w:p>
              </w:tc>
              <w:tc>
                <w:tcPr>
                  <w:tcW w:w="877"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生活垃圾</w:t>
                  </w:r>
                </w:p>
              </w:tc>
              <w:tc>
                <w:tcPr>
                  <w:tcW w:w="657" w:type="pct"/>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eastAsia" w:eastAsia="仿宋" w:cs="Times New Roman"/>
                      <w:color w:val="auto"/>
                      <w:kern w:val="0"/>
                      <w:sz w:val="21"/>
                      <w:szCs w:val="21"/>
                      <w:highlight w:val="none"/>
                      <w:lang w:val="en-US" w:eastAsia="zh-CN"/>
                    </w:rPr>
                    <w:t>1.76</w:t>
                  </w:r>
                  <w:r>
                    <w:rPr>
                      <w:rFonts w:hint="default" w:ascii="Times New Roman" w:hAnsi="Times New Roman" w:eastAsia="仿宋" w:cs="Times New Roman"/>
                      <w:color w:val="auto"/>
                      <w:kern w:val="0"/>
                      <w:sz w:val="21"/>
                      <w:szCs w:val="21"/>
                      <w:highlight w:val="none"/>
                    </w:rPr>
                    <w:t>t/a</w:t>
                  </w:r>
                </w:p>
              </w:tc>
              <w:tc>
                <w:tcPr>
                  <w:tcW w:w="1734" w:type="dxa"/>
                  <w:tcBorders>
                    <w:tl2br w:val="nil"/>
                    <w:tr2bl w:val="nil"/>
                  </w:tcBorders>
                  <w:shd w:val="clear" w:color="auto" w:fill="auto"/>
                  <w:vAlign w:val="center"/>
                </w:tcPr>
                <w:p>
                  <w:pPr>
                    <w:widowControl/>
                    <w:spacing w:line="240" w:lineRule="auto"/>
                    <w:ind w:firstLine="0" w:firstLineChars="0"/>
                    <w:jc w:val="center"/>
                    <w:rPr>
                      <w:rFonts w:hint="eastAsia" w:eastAsia="仿宋" w:cs="Times New Roman"/>
                      <w:color w:val="auto"/>
                      <w:kern w:val="0"/>
                      <w:sz w:val="21"/>
                      <w:szCs w:val="21"/>
                      <w:highlight w:val="none"/>
                      <w:lang w:val="en-US" w:eastAsia="zh-CN"/>
                    </w:rPr>
                  </w:pPr>
                  <w:r>
                    <w:rPr>
                      <w:rFonts w:hint="eastAsia" w:eastAsia="仿宋" w:cs="Times New Roman"/>
                      <w:color w:val="auto"/>
                      <w:kern w:val="0"/>
                      <w:sz w:val="21"/>
                      <w:szCs w:val="21"/>
                      <w:highlight w:val="none"/>
                      <w:lang w:eastAsia="zh-CN"/>
                    </w:rPr>
                    <w:t>《</w:t>
                  </w:r>
                  <w:r>
                    <w:rPr>
                      <w:rFonts w:hint="default" w:ascii="Times New Roman" w:hAnsi="Times New Roman" w:eastAsia="仿宋" w:cs="Times New Roman"/>
                      <w:color w:val="auto"/>
                      <w:kern w:val="0"/>
                      <w:sz w:val="21"/>
                      <w:szCs w:val="21"/>
                      <w:highlight w:val="none"/>
                    </w:rPr>
                    <w:t>固体废物分类与代码目录</w:t>
                  </w:r>
                  <w:r>
                    <w:rPr>
                      <w:rFonts w:hint="eastAsia" w:eastAsia="仿宋" w:cs="Times New Roman"/>
                      <w:color w:val="auto"/>
                      <w:kern w:val="0"/>
                      <w:sz w:val="21"/>
                      <w:szCs w:val="21"/>
                      <w:highlight w:val="none"/>
                      <w:lang w:eastAsia="zh-CN"/>
                    </w:rPr>
                    <w:t>》</w:t>
                  </w:r>
                </w:p>
              </w:tc>
              <w:tc>
                <w:tcPr>
                  <w:tcW w:w="1734" w:type="dxa"/>
                  <w:tcBorders>
                    <w:tl2br w:val="nil"/>
                    <w:tr2bl w:val="nil"/>
                  </w:tcBorders>
                  <w:shd w:val="clear" w:color="auto" w:fill="auto"/>
                  <w:vAlign w:val="center"/>
                </w:tcPr>
                <w:p>
                  <w:pPr>
                    <w:widowControl/>
                    <w:spacing w:line="240" w:lineRule="auto"/>
                    <w:ind w:firstLine="0" w:firstLineChars="0"/>
                    <w:jc w:val="center"/>
                    <w:rPr>
                      <w:rFonts w:hint="eastAsia"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900-099-S64</w:t>
                  </w:r>
                </w:p>
              </w:tc>
              <w:tc>
                <w:tcPr>
                  <w:tcW w:w="1037"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2"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eastAsia" w:eastAsia="仿宋" w:cs="Times New Roman"/>
                      <w:color w:val="auto"/>
                      <w:kern w:val="0"/>
                      <w:sz w:val="21"/>
                      <w:szCs w:val="21"/>
                      <w:highlight w:val="none"/>
                      <w:lang w:val="en-US" w:eastAsia="zh-CN"/>
                    </w:rPr>
                    <w:t>2</w:t>
                  </w:r>
                </w:p>
              </w:tc>
              <w:tc>
                <w:tcPr>
                  <w:tcW w:w="877"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eastAsia" w:eastAsia="仿宋" w:cs="Times New Roman"/>
                      <w:color w:val="auto"/>
                      <w:kern w:val="0"/>
                      <w:sz w:val="21"/>
                      <w:szCs w:val="21"/>
                      <w:highlight w:val="none"/>
                      <w:lang w:val="en-US" w:eastAsia="zh-CN"/>
                    </w:rPr>
                    <w:t>沉淀池污泥</w:t>
                  </w:r>
                </w:p>
              </w:tc>
              <w:tc>
                <w:tcPr>
                  <w:tcW w:w="657" w:type="pct"/>
                  <w:tcBorders>
                    <w:tl2br w:val="nil"/>
                    <w:tr2bl w:val="nil"/>
                  </w:tcBorders>
                  <w:vAlign w:val="center"/>
                </w:tcPr>
                <w:p>
                  <w:pPr>
                    <w:widowControl/>
                    <w:spacing w:line="240" w:lineRule="auto"/>
                    <w:ind w:firstLine="0" w:firstLineChars="0"/>
                    <w:jc w:val="center"/>
                    <w:rPr>
                      <w:rFonts w:hint="eastAsia" w:ascii="Times New Roman" w:hAnsi="Times New Roman" w:eastAsia="仿宋" w:cs="Times New Roman"/>
                      <w:color w:val="auto"/>
                      <w:kern w:val="0"/>
                      <w:sz w:val="21"/>
                      <w:szCs w:val="21"/>
                      <w:highlight w:val="none"/>
                      <w:lang w:val="en-US" w:eastAsia="zh-CN" w:bidi="ar-SA"/>
                    </w:rPr>
                  </w:pPr>
                  <w:r>
                    <w:rPr>
                      <w:rFonts w:hint="eastAsia" w:eastAsia="仿宋" w:cs="Times New Roman"/>
                      <w:color w:val="auto"/>
                      <w:kern w:val="0"/>
                      <w:sz w:val="21"/>
                      <w:szCs w:val="21"/>
                      <w:highlight w:val="none"/>
                      <w:lang w:val="en-US" w:eastAsia="zh-CN"/>
                    </w:rPr>
                    <w:t>8.5t/a</w:t>
                  </w:r>
                </w:p>
              </w:tc>
              <w:tc>
                <w:tcPr>
                  <w:tcW w:w="1037" w:type="pct"/>
                  <w:tcBorders>
                    <w:tl2br w:val="nil"/>
                    <w:tr2bl w:val="nil"/>
                  </w:tcBorders>
                  <w:shd w:val="clear" w:color="auto" w:fill="auto"/>
                  <w:vAlign w:val="center"/>
                </w:tcPr>
                <w:p>
                  <w:pPr>
                    <w:widowControl/>
                    <w:spacing w:line="240" w:lineRule="auto"/>
                    <w:ind w:firstLine="0" w:firstLineChars="0"/>
                    <w:jc w:val="center"/>
                    <w:rPr>
                      <w:rFonts w:hint="eastAsia" w:eastAsia="仿宋" w:cs="Times New Roman"/>
                      <w:color w:val="auto"/>
                      <w:kern w:val="0"/>
                      <w:sz w:val="21"/>
                      <w:szCs w:val="21"/>
                      <w:highlight w:val="none"/>
                      <w:lang w:val="en-US" w:eastAsia="zh-CN"/>
                    </w:rPr>
                  </w:pPr>
                  <w:r>
                    <w:rPr>
                      <w:rFonts w:hint="eastAsia" w:eastAsia="仿宋" w:cs="Times New Roman"/>
                      <w:color w:val="auto"/>
                      <w:kern w:val="0"/>
                      <w:sz w:val="21"/>
                      <w:szCs w:val="21"/>
                      <w:highlight w:val="none"/>
                      <w:lang w:eastAsia="zh-CN"/>
                    </w:rPr>
                    <w:t>《</w:t>
                  </w:r>
                  <w:r>
                    <w:rPr>
                      <w:rFonts w:hint="default" w:ascii="Times New Roman" w:hAnsi="Times New Roman" w:eastAsia="仿宋" w:cs="Times New Roman"/>
                      <w:color w:val="auto"/>
                      <w:kern w:val="0"/>
                      <w:sz w:val="21"/>
                      <w:szCs w:val="21"/>
                      <w:highlight w:val="none"/>
                    </w:rPr>
                    <w:t>固体废物分类与代码目录</w:t>
                  </w:r>
                  <w:r>
                    <w:rPr>
                      <w:rFonts w:hint="eastAsia" w:eastAsia="仿宋" w:cs="Times New Roman"/>
                      <w:color w:val="auto"/>
                      <w:kern w:val="0"/>
                      <w:sz w:val="21"/>
                      <w:szCs w:val="21"/>
                      <w:highlight w:val="none"/>
                      <w:lang w:eastAsia="zh-CN"/>
                    </w:rPr>
                    <w:t>》</w:t>
                  </w:r>
                </w:p>
              </w:tc>
              <w:tc>
                <w:tcPr>
                  <w:tcW w:w="1037" w:type="pct"/>
                  <w:tcBorders>
                    <w:tl2br w:val="nil"/>
                    <w:tr2bl w:val="nil"/>
                  </w:tcBorders>
                  <w:shd w:val="clear" w:color="auto" w:fill="auto"/>
                  <w:vAlign w:val="center"/>
                </w:tcPr>
                <w:p>
                  <w:pPr>
                    <w:widowControl/>
                    <w:spacing w:line="240" w:lineRule="auto"/>
                    <w:ind w:firstLine="0" w:firstLineChars="0"/>
                    <w:jc w:val="center"/>
                    <w:rPr>
                      <w:rFonts w:hint="eastAsia"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zh-CN" w:eastAsia="en-US" w:bidi="zh-CN"/>
                    </w:rPr>
                    <w:t>900-099-S07</w:t>
                  </w:r>
                </w:p>
              </w:tc>
              <w:tc>
                <w:tcPr>
                  <w:tcW w:w="1037"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防渗沉淀池的泥沙自然风干后定期回填至采坑</w:t>
                  </w:r>
                </w:p>
              </w:tc>
            </w:tr>
          </w:tbl>
          <w:p>
            <w:pPr>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 w:val="24"/>
                <w:szCs w:val="24"/>
              </w:rPr>
              <w:t>综上所述，本项目运营期间产生</w:t>
            </w:r>
            <w:r>
              <w:rPr>
                <w:rFonts w:hint="default" w:ascii="Times New Roman" w:hAnsi="Times New Roman" w:eastAsia="仿宋" w:cs="Times New Roman"/>
                <w:color w:val="auto"/>
                <w:sz w:val="24"/>
                <w:szCs w:val="24"/>
                <w:lang w:eastAsia="zh-CN"/>
              </w:rPr>
              <w:t>的</w:t>
            </w:r>
            <w:r>
              <w:rPr>
                <w:rFonts w:hint="default" w:ascii="Times New Roman" w:hAnsi="Times New Roman" w:eastAsia="仿宋" w:cs="Times New Roman"/>
                <w:color w:val="auto"/>
                <w:sz w:val="24"/>
                <w:szCs w:val="24"/>
              </w:rPr>
              <w:t>固体废物均得到及时妥善处置，对周边环境、景观及人群产生影响较小。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35" w:hRule="atLeast"/>
          <w:jc w:val="center"/>
        </w:trPr>
        <w:tc>
          <w:tcPr>
            <w:tcW w:w="621" w:type="dxa"/>
            <w:vAlign w:val="center"/>
          </w:tcPr>
          <w:p>
            <w:pPr>
              <w:pStyle w:val="20"/>
              <w:adjustRightInd w:val="0"/>
              <w:snapToGrid w:val="0"/>
              <w:spacing w:before="0" w:beforeAutospacing="0" w:after="0" w:afterAutospacing="0"/>
              <w:ind w:firstLine="0" w:firstLineChars="0"/>
              <w:jc w:val="center"/>
              <w:rPr>
                <w:rFonts w:hint="default" w:ascii="Times New Roman" w:hAnsi="Times New Roman" w:eastAsia="仿宋" w:cs="Times New Roman"/>
                <w:bCs/>
                <w:color w:val="auto"/>
                <w:kern w:val="2"/>
                <w:sz w:val="21"/>
                <w:szCs w:val="21"/>
              </w:rPr>
            </w:pPr>
            <w:r>
              <w:rPr>
                <w:rFonts w:hint="default" w:ascii="Times New Roman" w:hAnsi="Times New Roman" w:eastAsia="仿宋" w:cs="Times New Roman"/>
                <w:bCs/>
                <w:color w:val="auto"/>
                <w:kern w:val="2"/>
                <w:sz w:val="21"/>
                <w:szCs w:val="21"/>
              </w:rPr>
              <w:t>选址选线环境合理性分析</w:t>
            </w:r>
          </w:p>
        </w:tc>
        <w:tc>
          <w:tcPr>
            <w:tcW w:w="8558" w:type="dxa"/>
          </w:tcPr>
          <w:p>
            <w:pPr>
              <w:keepNext w:val="0"/>
              <w:keepLines w:val="0"/>
              <w:pageBreakBefore w:val="0"/>
              <w:widowControl w:val="0"/>
              <w:kinsoku/>
              <w:wordWrap/>
              <w:overflowPunct w:val="0"/>
              <w:topLinePunct w:val="0"/>
              <w:autoSpaceDE/>
              <w:autoSpaceDN/>
              <w:bidi w:val="0"/>
              <w:adjustRightInd/>
              <w:snapToGrid/>
              <w:spacing w:before="157" w:beforeLines="50"/>
              <w:ind w:firstLine="42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sz w:val="24"/>
                <w:szCs w:val="24"/>
                <w:lang w:val="en-US" w:eastAsia="zh-CN"/>
              </w:rPr>
              <w:t>本项</w:t>
            </w:r>
            <w:r>
              <w:rPr>
                <w:rFonts w:hint="default" w:ascii="Times New Roman" w:hAnsi="Times New Roman" w:eastAsia="仿宋" w:cs="Times New Roman"/>
                <w:color w:val="auto"/>
                <w:sz w:val="24"/>
                <w:szCs w:val="24"/>
              </w:rPr>
              <w:t>目位于</w:t>
            </w:r>
            <w:r>
              <w:rPr>
                <w:rFonts w:hint="eastAsia" w:eastAsia="仿宋" w:cs="Times New Roman"/>
                <w:color w:val="auto"/>
                <w:sz w:val="24"/>
                <w:szCs w:val="24"/>
                <w:lang w:val="en-US" w:eastAsia="zh-CN"/>
              </w:rPr>
              <w:t>新疆维吾尔自治区吐鲁番地区鄯善县北西280°方位，直线距离约30千米</w:t>
            </w:r>
            <w:r>
              <w:rPr>
                <w:rFonts w:hint="default" w:ascii="Times New Roman" w:hAnsi="Times New Roman" w:eastAsia="仿宋" w:cs="Times New Roman"/>
                <w:color w:val="auto"/>
                <w:sz w:val="24"/>
                <w:szCs w:val="24"/>
                <w:lang w:eastAsia="zh-CN"/>
              </w:rPr>
              <w:t>处</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kern w:val="0"/>
                <w:sz w:val="24"/>
                <w:szCs w:val="24"/>
              </w:rPr>
              <w:t>根据《矿山生态环境保护与恢复治理技术规范（试行）》（HJ651-2013），禁止在依法划定自然保护区、风景名胜区、森林公园、饮用水水源保护区、重要湖泊周边、文物古迹所在地、地质遗迹保护区、基本农田保护区等重要生态保护地及其他法律法规规定禁采区内采矿；禁止在铁路、重要道路、航道两侧及重要生态敏感目标直观可视范围内进行对景观破坏明显的露天开采；禁止在地质灾害危险区内开采矿产资源。</w:t>
            </w:r>
          </w:p>
          <w:p>
            <w:pPr>
              <w:autoSpaceDE w:val="0"/>
              <w:autoSpaceDN w:val="0"/>
              <w:adjustRightInd w:val="0"/>
              <w:snapToGrid w:val="0"/>
              <w:ind w:firstLine="420"/>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新疆维吾尔自治区重点行业环境准入条件（修订）》（2017年1月）指出：“铁路、高速公路、国道、省道等重要交通干线两侧200米范围以内，居民聚集区1千米以内禁止建设非金属矿采选项目”，“重要河流源头区、水环境功能区划为Ⅰ、Ⅱ类和具有饮用功能的Ⅲ类水体岸边1000米以内，其它Ⅲ类水体岸边200米以内，禁止新建或改扩建非金属矿选矿工程”。</w:t>
            </w:r>
          </w:p>
          <w:p>
            <w:pPr>
              <w:autoSpaceDE w:val="0"/>
              <w:autoSpaceDN w:val="0"/>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《新疆维吾尔自治区矿产资源总体规划（20</w:t>
            </w:r>
            <w:r>
              <w:rPr>
                <w:rFonts w:hint="default" w:ascii="Times New Roman" w:hAnsi="Times New Roman" w:eastAsia="仿宋" w:cs="Times New Roman"/>
                <w:color w:val="auto"/>
                <w:kern w:val="0"/>
                <w:sz w:val="24"/>
                <w:szCs w:val="24"/>
                <w:lang w:val="en-US" w:eastAsia="zh-CN"/>
              </w:rPr>
              <w:t>21</w:t>
            </w:r>
            <w:r>
              <w:rPr>
                <w:rFonts w:hint="default" w:ascii="Times New Roman" w:hAnsi="Times New Roman" w:eastAsia="仿宋" w:cs="Times New Roman"/>
                <w:color w:val="auto"/>
                <w:kern w:val="0"/>
                <w:sz w:val="24"/>
                <w:szCs w:val="24"/>
              </w:rPr>
              <w:t>-202</w:t>
            </w:r>
            <w:r>
              <w:rPr>
                <w:rFonts w:hint="default" w:ascii="Times New Roman" w:hAnsi="Times New Roman" w:eastAsia="仿宋" w:cs="Times New Roman"/>
                <w:color w:val="auto"/>
                <w:kern w:val="0"/>
                <w:sz w:val="24"/>
                <w:szCs w:val="24"/>
                <w:lang w:val="en-US" w:eastAsia="zh-CN"/>
              </w:rPr>
              <w:t>5</w:t>
            </w:r>
            <w:r>
              <w:rPr>
                <w:rFonts w:hint="default" w:ascii="Times New Roman" w:hAnsi="Times New Roman" w:eastAsia="仿宋" w:cs="Times New Roman"/>
                <w:color w:val="auto"/>
                <w:kern w:val="0"/>
                <w:sz w:val="24"/>
                <w:szCs w:val="24"/>
              </w:rPr>
              <w:t>年）》中指出“加大《全国矿产资源规划（2016－2020年）》划定的35个国家规划矿区开发力度。加强阿尔泰山，塔里木盆地、准噶尔盆地、吐哈盆地及周边，西准噶尔，东准噶尔，西天山，东天山，西南天山，西昆仑，阿尔金山等9大区域矿产资源开发。重点矿区内新建矿山必须符合国家、自治区产业政策和规划，达到国家有关矿山企业准入条件；矿山采矿规模不低于本规划确定的矿山最低开采规模，矿山占有矿石资源储量与矿山开采规模及矿山服务年限相匹配，具备与矿山开采规模相配套的人才、资金、技术和管理资质条件。统筹安排重点矿区内的矿产资源勘查开发活动，争取国家相关优惠政策，引导和支持各类生产要素聚集，加强矿产资源整合开发力度，优化布局和矿山企业结构，促进规模开采和集约利用”</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rPr>
              <w:t>本项目位于</w:t>
            </w:r>
            <w:r>
              <w:rPr>
                <w:rFonts w:hint="eastAsia" w:eastAsia="仿宋" w:cs="Times New Roman"/>
                <w:color w:val="auto"/>
                <w:sz w:val="24"/>
                <w:szCs w:val="24"/>
                <w:lang w:val="en-US" w:eastAsia="zh-CN"/>
              </w:rPr>
              <w:t>新疆维吾尔自治区吐鲁番地区鄯善县北西280°方位，直线距离约30千米</w:t>
            </w:r>
            <w:r>
              <w:rPr>
                <w:rFonts w:hint="default" w:ascii="Times New Roman" w:hAnsi="Times New Roman" w:eastAsia="仿宋" w:cs="Times New Roman"/>
                <w:color w:val="auto"/>
                <w:kern w:val="0"/>
                <w:sz w:val="24"/>
                <w:szCs w:val="24"/>
              </w:rPr>
              <w:t>，远离建设规划范围，无任何矿业权纠纷，不在</w:t>
            </w:r>
            <w:r>
              <w:rPr>
                <w:rFonts w:hint="default" w:ascii="Times New Roman" w:hAnsi="Times New Roman" w:eastAsia="仿宋" w:cs="Times New Roman"/>
                <w:color w:val="auto"/>
                <w:kern w:val="0"/>
                <w:sz w:val="24"/>
                <w:szCs w:val="24"/>
                <w:lang w:val="en-US" w:eastAsia="zh-CN"/>
              </w:rPr>
              <w:t>鄯善县</w:t>
            </w:r>
            <w:r>
              <w:rPr>
                <w:rFonts w:hint="default" w:ascii="Times New Roman" w:hAnsi="Times New Roman" w:eastAsia="仿宋" w:cs="Times New Roman"/>
                <w:color w:val="auto"/>
                <w:kern w:val="0"/>
                <w:sz w:val="24"/>
                <w:szCs w:val="24"/>
              </w:rPr>
              <w:t>生态保护红线区范围内，符合当地矿产资源总体规划。</w:t>
            </w:r>
          </w:p>
          <w:p>
            <w:pPr>
              <w:autoSpaceDE w:val="0"/>
              <w:autoSpaceDN w:val="0"/>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根据现场勘查，本项目所在区域及周边附近区域内无国家级及自治区级珍稀濒危保护植物分布。项目区及周边附近区域内动物以啮齿类、爬行类、昆虫类、鸟类等为主，无国家及自治区级珍稀濒危保护动物活动。项目区周边附近主要为裸露岩砾石地，无自然保护区、风景名胜区、文化和自然遗产地、文物保护单位、大型集中办公居民区、军事基地等环境敏感区。项目区不在铁路、高速公路、国道、省道等重要交通干线两侧200m范围内，不在铁路、重要道路、航道两侧及重要生态敏感目标直观可视范围内，</w:t>
            </w:r>
            <w:r>
              <w:rPr>
                <w:rFonts w:hint="default" w:ascii="Times New Roman" w:hAnsi="Times New Roman" w:eastAsia="仿宋" w:cs="Times New Roman"/>
                <w:color w:val="auto"/>
                <w:kern w:val="0"/>
                <w:sz w:val="24"/>
                <w:szCs w:val="24"/>
                <w:highlight w:val="none"/>
              </w:rPr>
              <w:t>项目区周边3km范围内无地表水体。并</w:t>
            </w:r>
            <w:r>
              <w:rPr>
                <w:rFonts w:hint="default" w:ascii="Times New Roman" w:hAnsi="Times New Roman" w:eastAsia="仿宋" w:cs="Times New Roman"/>
                <w:color w:val="auto"/>
                <w:kern w:val="0"/>
                <w:sz w:val="24"/>
                <w:szCs w:val="24"/>
              </w:rPr>
              <w:t>且本项目服务期满闭矿后将采取地质环境保护与综合治理恢复措施、土地复垦措施、生态保护、减缓和恢复措施等恢复本项目所在区域景观；项目区不属于地质灾害危险区，项目区未占用基本农田、林地、办公居住用地、公共用地等，也未压覆矿藏、墓葬、文物古迹等。因此，本符合《矿山生态环境保护与恢复治理技术规范（试行）》（HJ651-2013）和《新疆维吾尔自治区重点行业环境准入条件（修订）》（2017年1月）要求。</w:t>
            </w:r>
          </w:p>
          <w:p>
            <w:pPr>
              <w:overflowPunct w:val="0"/>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rPr>
              <w:t>综上所述，本项目选址合理、可行，用地合法；本项目外环境没有明显的外环境制约因素，并且与区域环境具有相容性，因此，本项目选址合理可行。</w:t>
            </w:r>
          </w:p>
          <w:p>
            <w:pPr>
              <w:adjustRightInd w:val="0"/>
              <w:snapToGrid w:val="0"/>
              <w:ind w:firstLine="0" w:firstLineChars="0"/>
              <w:rPr>
                <w:rFonts w:hint="default" w:ascii="Times New Roman" w:hAnsi="Times New Roman" w:eastAsia="仿宋" w:cs="Times New Roman"/>
                <w:bCs/>
                <w:color w:val="auto"/>
                <w:szCs w:val="21"/>
              </w:rPr>
            </w:pPr>
          </w:p>
        </w:tc>
      </w:tr>
    </w:tbl>
    <w:p>
      <w:pPr>
        <w:pStyle w:val="20"/>
        <w:jc w:val="both"/>
        <w:rPr>
          <w:rFonts w:hint="default" w:ascii="Times New Roman" w:hAnsi="Times New Roman" w:eastAsia="仿宋" w:cs="Times New Roman"/>
          <w:snapToGrid w:val="0"/>
          <w:color w:val="auto"/>
          <w:sz w:val="36"/>
          <w:szCs w:val="36"/>
        </w:rPr>
        <w:sectPr>
          <w:pgSz w:w="11906" w:h="16838"/>
          <w:pgMar w:top="1417" w:right="1417" w:bottom="1417" w:left="1417" w:header="851" w:footer="964" w:gutter="0"/>
          <w:pgBorders>
            <w:top w:val="none" w:sz="0" w:space="0"/>
            <w:left w:val="none" w:sz="0" w:space="0"/>
            <w:bottom w:val="none" w:sz="0" w:space="0"/>
            <w:right w:val="none" w:sz="0" w:space="0"/>
          </w:pgBorders>
          <w:pgNumType w:fmt="numberInDash"/>
          <w:cols w:space="0" w:num="1"/>
          <w:docGrid w:linePitch="312" w:charSpace="0"/>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五、主要生态环境保护措施</w:t>
      </w:r>
    </w:p>
    <w:tbl>
      <w:tblPr>
        <w:tblStyle w:val="25"/>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8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753" w:type="dxa"/>
            <w:tcMar>
              <w:left w:w="28" w:type="dxa"/>
              <w:right w:w="28" w:type="dxa"/>
            </w:tcMar>
            <w:vAlign w:val="center"/>
          </w:tcPr>
          <w:p>
            <w:pPr>
              <w:adjustRightInd w:val="0"/>
              <w:snapToGrid w:val="0"/>
              <w:ind w:firstLine="0" w:firstLineChars="0"/>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pacing w:val="10"/>
                <w:szCs w:val="21"/>
              </w:rPr>
              <w:t>施工期生态环境保护措施</w:t>
            </w:r>
          </w:p>
        </w:tc>
        <w:tc>
          <w:tcPr>
            <w:tcW w:w="8457" w:type="dxa"/>
          </w:tcPr>
          <w:p>
            <w:pPr>
              <w:keepNext w:val="0"/>
              <w:keepLines w:val="0"/>
              <w:pageBreakBefore w:val="0"/>
              <w:widowControl w:val="0"/>
              <w:kinsoku/>
              <w:wordWrap/>
              <w:overflowPunct/>
              <w:topLinePunct w:val="0"/>
              <w:autoSpaceDE/>
              <w:autoSpaceDN/>
              <w:bidi w:val="0"/>
              <w:adjustRightInd w:val="0"/>
              <w:snapToGrid w:val="0"/>
              <w:spacing w:before="157" w:beforeLines="50"/>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1、生态环境保护措施</w:t>
            </w:r>
          </w:p>
          <w:p>
            <w:pPr>
              <w:pStyle w:val="19"/>
              <w:adjustRightInd w:val="0"/>
              <w:snapToGrid w:val="0"/>
              <w:spacing w:after="0"/>
              <w:ind w:left="0" w:leftChars="0"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生态环境影响的避免应通过采取适当的措施，尽可能在最大程度上避免潜在的不利生态影响。在施工期注意采取一定的生态环境保护措施，则有利于项目建成后的生态环境恢复和建设。</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①对于施工过程中产生的废弃土石，要合理堆入堆土场。不得将废弃土石任意裸露弃置，以免遇强降雨引起严重的水土流失。</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②合理制定施工计划，以便在暴雨前进行临时应急防护，减缓暴雨对开挖坡面的剧烈冲刷，防止水土流失。</w:t>
            </w:r>
          </w:p>
          <w:p>
            <w:pPr>
              <w:adjustRightInd w:val="0"/>
              <w:snapToGrid w:val="0"/>
              <w:ind w:firstLine="420"/>
              <w:jc w:val="lef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③在工程建设过程中，必须做好水土流失的预防工作，认真贯彻“谁造成水土流失，谁投资治理，谁造成新的危害，谁负责赔偿”和“治理与生产建设相结合”的原则。严格划定生产区域，加强管理，减少对土地的扰动作用，控制水土流失</w:t>
            </w:r>
            <w:r>
              <w:rPr>
                <w:rFonts w:hint="default" w:ascii="Times New Roman" w:hAnsi="Times New Roman" w:eastAsia="仿宋" w:cs="Times New Roman"/>
                <w:color w:val="auto"/>
                <w:sz w:val="24"/>
                <w:szCs w:val="24"/>
                <w:lang w:eastAsia="zh-CN"/>
              </w:rPr>
              <w:t>。</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④实际施工中要充分考虑本地风沙大的特点，在进行土方开挖时，应特别注意施工扬尘的防治问题，须制定必要的防治措施，以减少施工扬尘对周围环境的影响。</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⑤施工中应加强施工管理，尽量缩小施工范围，各种施工活动应严格控制在施工区域内，将临时占地面积控制在最低限度，尽可能地不破坏原有的地表植被和土壤，以免造成土壤与植被的大面积破坏，而使本来就脆弱的生态系统受到威胁。</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⑥加强施工期环境管理，强化施工人员环保意识，规范施工。教育职工爱护环境，保护施工场所周围的一草一木，不随意折木，严禁砍伐、破坏施工区以外的作物和树木。向职工发放施工手册并组织施工人员认真学习。</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⑦划定施工作业范围，不得随意扩大，按规定进行操作。严格控制和管理运输车辆及重型机械施工作业范围，尽可能减少对区域植被的破坏。严禁施工材料乱堆乱放，划定适宜的堆料场，以防对植物的破坏范围扩大。</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⑧提高工程施工效率，缩短施工时间，减少裸地的暴露时间。</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⑨对于堆土场和临时占地及新开辟的临时便道等破坏区，项目建设结束后应按照国务院《土地复垦条例》进行环境治理和植被重建工作。凡受到施工车辆、机械破坏的地方均要进行土地平整，有植被恢复条件的在适当季节进行植被恢复，以保持地表原有的稳定状态。</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⑩</w:t>
            </w:r>
            <w:r>
              <w:rPr>
                <w:rFonts w:hint="default" w:ascii="Times New Roman" w:hAnsi="Times New Roman" w:eastAsia="仿宋" w:cs="Times New Roman"/>
                <w:color w:val="auto"/>
                <w:sz w:val="24"/>
                <w:szCs w:val="24"/>
              </w:rPr>
              <w:t>施工完毕后，要及时运走废弃施工材料和多余土石方，在施工中破坏植被的地段，施工结束后，必须及时进行植被恢复工作。</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⑪本项目</w:t>
            </w:r>
            <w:r>
              <w:rPr>
                <w:rFonts w:hint="default" w:ascii="Times New Roman" w:hAnsi="Times New Roman" w:eastAsia="仿宋" w:cs="Times New Roman"/>
                <w:color w:val="auto"/>
                <w:sz w:val="24"/>
                <w:szCs w:val="24"/>
                <w:lang w:val="en-US" w:eastAsia="zh-CN"/>
              </w:rPr>
              <w:t>施工</w:t>
            </w:r>
            <w:r>
              <w:rPr>
                <w:rFonts w:hint="default" w:ascii="Times New Roman" w:hAnsi="Times New Roman" w:eastAsia="仿宋" w:cs="Times New Roman"/>
                <w:color w:val="auto"/>
                <w:sz w:val="24"/>
                <w:szCs w:val="24"/>
              </w:rPr>
              <w:t>过程中严格控制</w:t>
            </w:r>
            <w:r>
              <w:rPr>
                <w:rFonts w:hint="default" w:ascii="Times New Roman" w:hAnsi="Times New Roman" w:eastAsia="仿宋" w:cs="Times New Roman"/>
                <w:color w:val="auto"/>
                <w:sz w:val="24"/>
                <w:szCs w:val="24"/>
                <w:lang w:val="en-US" w:eastAsia="zh-CN"/>
              </w:rPr>
              <w:t>施工</w:t>
            </w:r>
            <w:r>
              <w:rPr>
                <w:rFonts w:hint="default" w:ascii="Times New Roman" w:hAnsi="Times New Roman" w:eastAsia="仿宋" w:cs="Times New Roman"/>
                <w:color w:val="auto"/>
                <w:sz w:val="24"/>
                <w:szCs w:val="24"/>
              </w:rPr>
              <w:t>范围和机械及人员活动范围，堆料场控制在</w:t>
            </w:r>
            <w:r>
              <w:rPr>
                <w:rFonts w:hint="default" w:ascii="Times New Roman" w:hAnsi="Times New Roman" w:eastAsia="仿宋" w:cs="Times New Roman"/>
                <w:color w:val="auto"/>
                <w:sz w:val="24"/>
                <w:szCs w:val="24"/>
                <w:lang w:val="en-US" w:eastAsia="zh-CN"/>
              </w:rPr>
              <w:t>永久占地</w:t>
            </w:r>
            <w:r>
              <w:rPr>
                <w:rFonts w:hint="default" w:ascii="Times New Roman" w:hAnsi="Times New Roman" w:eastAsia="仿宋" w:cs="Times New Roman"/>
                <w:color w:val="auto"/>
                <w:sz w:val="24"/>
                <w:szCs w:val="24"/>
              </w:rPr>
              <w:t>范围内，不新增占地，严格控制</w:t>
            </w:r>
            <w:r>
              <w:rPr>
                <w:rFonts w:hint="default" w:ascii="Times New Roman" w:hAnsi="Times New Roman" w:eastAsia="仿宋" w:cs="Times New Roman"/>
                <w:color w:val="auto"/>
                <w:sz w:val="24"/>
                <w:szCs w:val="24"/>
                <w:lang w:val="en-US" w:eastAsia="zh-CN"/>
              </w:rPr>
              <w:t>新增</w:t>
            </w:r>
            <w:r>
              <w:rPr>
                <w:rFonts w:hint="default" w:ascii="Times New Roman" w:hAnsi="Times New Roman" w:eastAsia="仿宋" w:cs="Times New Roman"/>
                <w:color w:val="auto"/>
                <w:sz w:val="24"/>
                <w:szCs w:val="24"/>
              </w:rPr>
              <w:t>占地，避免土地沙化加剧。</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⑫本项目</w:t>
            </w:r>
            <w:r>
              <w:rPr>
                <w:rFonts w:hint="default" w:ascii="Times New Roman" w:hAnsi="Times New Roman" w:eastAsia="仿宋" w:cs="Times New Roman"/>
                <w:color w:val="auto"/>
                <w:sz w:val="24"/>
                <w:szCs w:val="24"/>
                <w:lang w:val="en-US" w:eastAsia="zh-CN"/>
              </w:rPr>
              <w:t>施工生产区</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施工</w:t>
            </w:r>
            <w:r>
              <w:rPr>
                <w:rFonts w:hint="default" w:ascii="Times New Roman" w:hAnsi="Times New Roman" w:eastAsia="仿宋" w:cs="Times New Roman"/>
                <w:color w:val="auto"/>
                <w:sz w:val="24"/>
                <w:szCs w:val="24"/>
              </w:rPr>
              <w:t>道路等区域</w:t>
            </w:r>
            <w:r>
              <w:rPr>
                <w:rFonts w:hint="default" w:ascii="Times New Roman" w:hAnsi="Times New Roman" w:eastAsia="仿宋" w:cs="Times New Roman"/>
                <w:color w:val="auto"/>
                <w:sz w:val="24"/>
                <w:szCs w:val="24"/>
                <w:lang w:val="en-US" w:eastAsia="zh-CN"/>
              </w:rPr>
              <w:t>施工结束后</w:t>
            </w:r>
            <w:r>
              <w:rPr>
                <w:rFonts w:hint="default" w:ascii="Times New Roman" w:hAnsi="Times New Roman" w:eastAsia="仿宋" w:cs="Times New Roman"/>
                <w:color w:val="auto"/>
                <w:sz w:val="24"/>
                <w:szCs w:val="24"/>
              </w:rPr>
              <w:t>进行植被恢复，防治风蚀加剧，造成土地沙化。</w:t>
            </w:r>
          </w:p>
          <w:p>
            <w:pPr>
              <w:keepNext w:val="0"/>
              <w:keepLines w:val="0"/>
              <w:pageBreakBefore w:val="0"/>
              <w:widowControl w:val="0"/>
              <w:numPr>
                <w:ilvl w:val="0"/>
                <w:numId w:val="6"/>
              </w:numPr>
              <w:kinsoku/>
              <w:wordWrap/>
              <w:overflowPunct/>
              <w:topLinePunct w:val="0"/>
              <w:bidi w:val="0"/>
              <w:adjustRightInd/>
              <w:snapToGrid/>
              <w:ind w:firstLine="422"/>
              <w:jc w:val="left"/>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废气防治措施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（1）扬尘污染防治措施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为使施工过程中产生的粉尘对周围环境空气的影响降低到最小程度，建议采取以下防治措施：</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1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①</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项目在开挖土方和土方回填过程中会产</w:t>
            </w:r>
            <w:r>
              <w:rPr>
                <w:rFonts w:hint="default" w:ascii="Times New Roman" w:hAnsi="Times New Roman" w:eastAsia="仿宋" w:cs="Times New Roman"/>
                <w:bCs/>
                <w:color w:val="auto"/>
                <w:spacing w:val="10"/>
                <w:sz w:val="24"/>
                <w:szCs w:val="24"/>
                <w:lang w:val="en-US" w:eastAsia="zh-CN"/>
              </w:rPr>
              <w:t>生</w:t>
            </w:r>
            <w:r>
              <w:rPr>
                <w:rFonts w:hint="default" w:ascii="Times New Roman" w:hAnsi="Times New Roman" w:eastAsia="仿宋" w:cs="Times New Roman"/>
                <w:bCs/>
                <w:color w:val="auto"/>
                <w:spacing w:val="10"/>
                <w:sz w:val="24"/>
                <w:szCs w:val="24"/>
              </w:rPr>
              <w:t>一定的扬尘，在施工过程中应注意文明施工，做到洒水作业，减少扬尘对周围环境的污染。</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2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②</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加强施工过程中的防尘管理。驶出施工现场的机动车辆要冲洗干净底盘和车轮后方可上路行驶，严禁车辆带泥出场。运送土方、渣土和建筑垃圾的车辆必须加盖密闭运输，严禁道路遗撒；车辆进入施工场地后，车速应控制在20km/h以内，减少车辆碾压起尘量。</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3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③</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加强露天堆料场的防尘管理。对于建筑材料堆料场，应采用篷布遮盖，避免作业起尘和风蚀起尘。堆场露天装卸作业时，采取洒水抑尘措施。</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4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④</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加强对机械、车辆的维修保养，禁止以柴油为燃料的施工机械超负荷工作，减少烟尘和颗粒物排放。</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（2）机械废气</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主要来自施工机械和运输土方等原材料的汽车，其主要成分为CO、NO</w:t>
            </w:r>
            <w:r>
              <w:rPr>
                <w:rFonts w:hint="default" w:ascii="Times New Roman" w:hAnsi="Times New Roman" w:eastAsia="仿宋" w:cs="Times New Roman"/>
                <w:color w:val="auto"/>
                <w:sz w:val="24"/>
                <w:szCs w:val="24"/>
                <w:vertAlign w:val="subscript"/>
              </w:rPr>
              <w:t>X</w:t>
            </w:r>
            <w:r>
              <w:rPr>
                <w:rFonts w:hint="default" w:ascii="Times New Roman" w:hAnsi="Times New Roman" w:eastAsia="仿宋" w:cs="Times New Roman"/>
                <w:color w:val="auto"/>
                <w:sz w:val="24"/>
                <w:szCs w:val="24"/>
              </w:rPr>
              <w:t>以及未完全燃烧的HC等，其特点是排放量小，属间断性无组织排放。由于拟建项目所在地较为开阔，空气流通较好，汽车排放的废气能够较快地扩散，不会对当地的环境空气产生较大影响，但项目建设过程中仍应采取控制措施，加强施工机械的维护，使所有施工车辆、机械的尾气应达到国家规定的尾气排放标准，减小施工机械废气对环境空气的影响。</w:t>
            </w:r>
          </w:p>
          <w:p>
            <w:pPr>
              <w:pStyle w:val="35"/>
              <w:keepNext w:val="0"/>
              <w:keepLines w:val="0"/>
              <w:pageBreakBefore w:val="0"/>
              <w:widowControl w:val="0"/>
              <w:kinsoku/>
              <w:wordWrap/>
              <w:overflowPunct/>
              <w:topLinePunct w:val="0"/>
              <w:bidi w:val="0"/>
              <w:adjustRightInd/>
              <w:snapToGrid/>
              <w:ind w:firstLine="46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bCs/>
                <w:color w:val="auto"/>
                <w:spacing w:val="10"/>
                <w:sz w:val="24"/>
                <w:szCs w:val="24"/>
              </w:rPr>
              <w:t>采取上述防治措施，可有效控制施工废气对周围环境的影响，随着施工期的结束，该不利影响也会随之消失。</w:t>
            </w:r>
          </w:p>
          <w:p>
            <w:pPr>
              <w:keepNext w:val="0"/>
              <w:keepLines w:val="0"/>
              <w:pageBreakBefore w:val="0"/>
              <w:widowControl w:val="0"/>
              <w:kinsoku/>
              <w:wordWrap/>
              <w:overflowPunct/>
              <w:topLinePunct w:val="0"/>
              <w:bidi w:val="0"/>
              <w:adjustRightInd/>
              <w:snapToGrid/>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3、废水污染防治措施</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
                <w:bCs/>
                <w:color w:val="auto"/>
                <w:spacing w:val="10"/>
                <w:sz w:val="24"/>
                <w:szCs w:val="24"/>
                <w:highlight w:val="none"/>
              </w:rPr>
            </w:pPr>
            <w:r>
              <w:rPr>
                <w:rFonts w:hint="eastAsia" w:eastAsia="仿宋" w:cs="Times New Roman"/>
                <w:color w:val="auto"/>
                <w:sz w:val="24"/>
                <w:szCs w:val="24"/>
                <w:highlight w:val="none"/>
                <w:lang w:val="en-US" w:eastAsia="zh-CN"/>
              </w:rPr>
              <w:t>本项目不设施工营地</w:t>
            </w:r>
            <w:r>
              <w:rPr>
                <w:rFonts w:hint="default" w:ascii="Times New Roman" w:hAnsi="Times New Roman" w:eastAsia="仿宋" w:cs="Times New Roman"/>
                <w:color w:val="auto"/>
                <w:sz w:val="24"/>
                <w:szCs w:val="24"/>
                <w:highlight w:val="none"/>
                <w:lang w:val="en-US" w:eastAsia="zh-CN"/>
              </w:rPr>
              <w:t>，</w:t>
            </w:r>
            <w:r>
              <w:rPr>
                <w:rFonts w:hint="eastAsia" w:eastAsia="仿宋" w:cs="Times New Roman"/>
                <w:color w:val="auto"/>
                <w:sz w:val="24"/>
                <w:szCs w:val="24"/>
                <w:highlight w:val="none"/>
                <w:lang w:val="en-US" w:eastAsia="zh-CN"/>
              </w:rPr>
              <w:t>施工人员食宿租用鄯善县连木沁镇民房，</w:t>
            </w:r>
            <w:r>
              <w:rPr>
                <w:rFonts w:ascii="仿宋_GB2312" w:hAnsi="仿宋_GB2312" w:eastAsia="仿宋_GB2312" w:cs="仿宋_GB2312"/>
                <w:color w:val="auto"/>
                <w:kern w:val="0"/>
                <w:sz w:val="24"/>
                <w:szCs w:val="24"/>
                <w:lang w:val="en-US" w:eastAsia="zh-CN" w:bidi="ar"/>
              </w:rPr>
              <w:t>施工人员</w:t>
            </w:r>
            <w:r>
              <w:rPr>
                <w:rFonts w:hint="eastAsia" w:ascii="仿宋_GB2312" w:hAnsi="仿宋_GB2312" w:eastAsia="仿宋_GB2312" w:cs="仿宋_GB2312"/>
                <w:color w:val="auto"/>
                <w:kern w:val="0"/>
                <w:sz w:val="24"/>
                <w:szCs w:val="24"/>
                <w:lang w:val="en-US" w:eastAsia="zh-CN" w:bidi="ar"/>
              </w:rPr>
              <w:t>如厕废水较少，</w:t>
            </w:r>
            <w:r>
              <w:rPr>
                <w:rFonts w:ascii="仿宋_GB2312" w:hAnsi="仿宋_GB2312" w:eastAsia="仿宋_GB2312" w:cs="仿宋_GB2312"/>
                <w:color w:val="auto"/>
                <w:kern w:val="0"/>
                <w:sz w:val="24"/>
                <w:szCs w:val="24"/>
                <w:lang w:val="en-US" w:eastAsia="zh-CN" w:bidi="ar"/>
              </w:rPr>
              <w:t>现场设置移动式环保厕所供施工人员如厕使用</w:t>
            </w:r>
            <w:r>
              <w:rPr>
                <w:rFonts w:hint="eastAsia" w:ascii="仿宋_GB2312" w:hAnsi="仿宋_GB2312" w:eastAsia="仿宋_GB2312" w:cs="仿宋_GB2312"/>
                <w:color w:val="auto"/>
                <w:kern w:val="0"/>
                <w:sz w:val="24"/>
                <w:szCs w:val="24"/>
                <w:lang w:val="en-US" w:eastAsia="zh-CN" w:bidi="ar"/>
              </w:rPr>
              <w:t>。</w:t>
            </w:r>
            <w:r>
              <w:rPr>
                <w:rFonts w:hint="default" w:ascii="Times New Roman" w:hAnsi="Times New Roman" w:eastAsia="仿宋" w:cs="Times New Roman"/>
                <w:color w:val="auto"/>
                <w:sz w:val="24"/>
                <w:szCs w:val="24"/>
                <w:highlight w:val="none"/>
              </w:rPr>
              <w:t>施工期废水主要是施工废水</w:t>
            </w:r>
            <w:r>
              <w:rPr>
                <w:rFonts w:hint="eastAsia"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这部分废水除含有少量的</w:t>
            </w:r>
            <w:r>
              <w:rPr>
                <w:rFonts w:hint="default" w:ascii="Times New Roman" w:hAnsi="Times New Roman" w:eastAsia="仿宋" w:cs="Times New Roman"/>
                <w:color w:val="auto"/>
                <w:sz w:val="24"/>
                <w:szCs w:val="24"/>
                <w:highlight w:val="none"/>
                <w:lang w:eastAsia="zh-CN"/>
              </w:rPr>
              <w:t>泥沙</w:t>
            </w:r>
            <w:r>
              <w:rPr>
                <w:rFonts w:hint="default" w:ascii="Times New Roman" w:hAnsi="Times New Roman" w:eastAsia="仿宋" w:cs="Times New Roman"/>
                <w:color w:val="auto"/>
                <w:sz w:val="24"/>
                <w:szCs w:val="24"/>
                <w:highlight w:val="none"/>
              </w:rPr>
              <w:t>外，基本没有其他污染指标。施工废水用于施工场地洒水抑尘。</w:t>
            </w:r>
          </w:p>
          <w:p>
            <w:pPr>
              <w:keepNext w:val="0"/>
              <w:keepLines w:val="0"/>
              <w:pageBreakBefore w:val="0"/>
              <w:widowControl w:val="0"/>
              <w:kinsoku/>
              <w:wordWrap/>
              <w:overflowPunct/>
              <w:topLinePunct w:val="0"/>
              <w:bidi w:val="0"/>
              <w:adjustRightInd/>
              <w:snapToGrid/>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4、噪声防治措施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本项目施工时涉及的施工机械种类和数目较多，主要有挖掘机、推土机、装载机、卡车等建筑施工机械。项目施工期施工噪声会对周边环境造成一定影响，这种影响是暂时的，随着施工期的结束而消失。为了减轻施工期噪声对环境的影响，可采取以下控制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①合理布局施工场地：避免在同一地点安装大量动力机械设备，避免局部声级过高；</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2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②</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合理安排施工时间：制定施工计划时，应尽可能避免大量高噪声设备同时施工；</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③降低施工设备噪声：在不影响施工质量的前提下，应采用低噪声、低振动的设备与施工方式，如以液压机械代替燃油机械等；固定机械设备如挖掘机、推土机等，可通过安装排气筒消音器和隔离发动机振动部件的方法降低噪声；对施工设备要经常进行维修保养，保证其正常运行，避免因设备性能减退导致噪声增强的现象发生。</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④夜间运输材料的车辆进入施工现场，严禁鸣笛，装卸材料做到轻拿轻放。</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⑤施工期间应合理安排运输时间和运输路线，经过敏感区时应减速慢行，禁止鸣笛，尽量减少交通噪声影响。</w:t>
            </w:r>
          </w:p>
          <w:p>
            <w:pPr>
              <w:keepNext w:val="0"/>
              <w:keepLines w:val="0"/>
              <w:pageBreakBefore w:val="0"/>
              <w:widowControl w:val="0"/>
              <w:kinsoku/>
              <w:wordWrap/>
              <w:overflowPunct/>
              <w:topLinePunct w:val="0"/>
              <w:bidi w:val="0"/>
              <w:adjustRightInd/>
              <w:snapToGrid/>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5、固体废物污染防治措施</w:t>
            </w:r>
          </w:p>
          <w:p>
            <w:pPr>
              <w:pStyle w:val="36"/>
              <w:keepNext w:val="0"/>
              <w:keepLines w:val="0"/>
              <w:pageBreakBefore w:val="0"/>
              <w:widowControl w:val="0"/>
              <w:kinsoku/>
              <w:wordWrap/>
              <w:overflowPunct/>
              <w:topLinePunct w:val="0"/>
              <w:bidi w:val="0"/>
              <w:adjustRightInd/>
              <w:snapToGrid/>
              <w:spacing w:line="360" w:lineRule="auto"/>
              <w:ind w:firstLine="520" w:firstLineChars="200"/>
              <w:textAlignment w:val="auto"/>
              <w:rPr>
                <w:rFonts w:hint="default" w:ascii="Times New Roman" w:hAnsi="Times New Roman" w:eastAsia="仿宋" w:cs="Times New Roman"/>
                <w:bCs/>
                <w:color w:val="auto"/>
                <w:spacing w:val="10"/>
                <w:sz w:val="18"/>
                <w:szCs w:val="21"/>
              </w:rPr>
            </w:pPr>
            <w:r>
              <w:rPr>
                <w:rFonts w:hint="default" w:ascii="Times New Roman" w:hAnsi="Times New Roman" w:eastAsia="仿宋" w:cs="Times New Roman"/>
                <w:bCs/>
                <w:color w:val="auto"/>
                <w:spacing w:val="10"/>
                <w:sz w:val="24"/>
                <w:szCs w:val="24"/>
              </w:rPr>
              <w:t>本项目施工期产生的固体废物主要是施工人员生活垃圾</w:t>
            </w:r>
            <w:r>
              <w:rPr>
                <w:rFonts w:hint="eastAsia" w:eastAsia="仿宋" w:cs="Times New Roman"/>
                <w:bCs/>
                <w:color w:val="auto"/>
                <w:spacing w:val="10"/>
                <w:sz w:val="24"/>
                <w:szCs w:val="24"/>
                <w:lang w:eastAsia="zh-CN"/>
              </w:rPr>
              <w:t>，</w:t>
            </w:r>
            <w:r>
              <w:rPr>
                <w:rFonts w:hint="eastAsia" w:eastAsia="仿宋" w:cs="Times New Roman"/>
                <w:bCs/>
                <w:color w:val="auto"/>
                <w:spacing w:val="10"/>
                <w:sz w:val="24"/>
                <w:szCs w:val="24"/>
                <w:lang w:val="en-US" w:eastAsia="zh-CN"/>
              </w:rPr>
              <w:t>本环评提出</w:t>
            </w:r>
            <w:r>
              <w:rPr>
                <w:rFonts w:hint="default" w:ascii="Times New Roman" w:hAnsi="Times New Roman" w:eastAsia="仿宋" w:cs="Times New Roman"/>
                <w:bCs/>
                <w:color w:val="auto"/>
                <w:spacing w:val="10"/>
                <w:sz w:val="24"/>
                <w:szCs w:val="24"/>
              </w:rPr>
              <w:t>施工人员的生活垃圾及时收集到垃圾箱（桶）内，定期集中收集外运至</w:t>
            </w:r>
            <w:r>
              <w:rPr>
                <w:rFonts w:hint="default" w:ascii="Times New Roman" w:hAnsi="Times New Roman" w:eastAsia="仿宋" w:cs="Times New Roman"/>
                <w:bCs/>
                <w:color w:val="auto"/>
                <w:spacing w:val="10"/>
                <w:sz w:val="24"/>
                <w:szCs w:val="24"/>
                <w:lang w:val="en-US" w:eastAsia="zh-CN"/>
              </w:rPr>
              <w:t>鄯善县生活垃圾填埋场</w:t>
            </w:r>
            <w:r>
              <w:rPr>
                <w:rFonts w:hint="default" w:ascii="Times New Roman" w:hAnsi="Times New Roman" w:eastAsia="仿宋" w:cs="Times New Roman"/>
                <w:bCs/>
                <w:color w:val="auto"/>
                <w:spacing w:val="10"/>
                <w:sz w:val="24"/>
                <w:szCs w:val="24"/>
              </w:rPr>
              <w:t>处置</w:t>
            </w:r>
            <w:r>
              <w:rPr>
                <w:rFonts w:hint="eastAsia" w:eastAsia="仿宋" w:cs="Times New Roman"/>
                <w:bCs/>
                <w:color w:val="auto"/>
                <w:spacing w:val="10"/>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753" w:type="dxa"/>
            <w:tcMar>
              <w:left w:w="28" w:type="dxa"/>
              <w:right w:w="28" w:type="dxa"/>
            </w:tcMar>
            <w:vAlign w:val="center"/>
          </w:tcPr>
          <w:p>
            <w:pPr>
              <w:adjustRightInd w:val="0"/>
              <w:snapToGrid w:val="0"/>
              <w:spacing w:line="240" w:lineRule="auto"/>
              <w:ind w:firstLine="0" w:firstLineChars="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pacing w:val="10"/>
                <w:szCs w:val="21"/>
              </w:rPr>
              <w:t>运营期生态环境保护措施</w:t>
            </w:r>
          </w:p>
        </w:tc>
        <w:tc>
          <w:tcPr>
            <w:tcW w:w="8457" w:type="dxa"/>
          </w:tcPr>
          <w:p>
            <w:pPr>
              <w:adjustRightInd w:val="0"/>
              <w:snapToGrid w:val="0"/>
              <w:ind w:firstLine="462"/>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1、生态环境保护措施</w:t>
            </w:r>
          </w:p>
          <w:p>
            <w:pPr>
              <w:adjustRightInd w:val="0"/>
              <w:snapToGrid w:val="0"/>
              <w:ind w:firstLine="46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（1）生态保护措施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①建立严格保护的规章制度，建设单位必须在相关部门划定的临时占地范围内进行生产活动，不得在临时占用的土地上修建永久性建筑物。</w:t>
            </w:r>
          </w:p>
          <w:p>
            <w:pPr>
              <w:adjustRightInd w:val="0"/>
              <w:snapToGrid w:val="0"/>
              <w:ind w:firstLine="42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加强管理，严格限制开采机械设备和作业人员的活动范围，合理划定开采和活动范围，减少地表扰动面积；道路利用现有道路，减少新增工程量，降低地表扰动面积；服务期满项目区无用建筑设施拆除，平整地表，恢复原地貌。</w:t>
            </w:r>
          </w:p>
          <w:p>
            <w:pPr>
              <w:adjustRightInd w:val="0"/>
              <w:snapToGrid w:val="0"/>
              <w:ind w:firstLine="42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3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③</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减少占地，降低植被破坏量；道路出入口竖立保护植被警示牌，提醒区内人员勿破坏植被；道路铺筑避开植被，车辆在指定道路上行驶，严禁随意行驶以防碾压植被。</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4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④</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color w:val="auto"/>
                <w:sz w:val="24"/>
                <w:szCs w:val="24"/>
              </w:rPr>
              <w:t>项目开采过程中要剥离地表土壤植被层，对剥离的土壤单独堆放，用于复垦期植被恢复，建设单位应对回填的土壤层进行平整、防止雨水冲涮，减少土壤损失。</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（2）水土流失防治措施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在开采区四周设置截排水沟拦截洪水进入采场，减小洪水对露天采场的冲刷。</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采场内部设置临时排水沟，便于采场内雨水及时排出采场，也防止边坡受雨水浸泡而发生坍塌。</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3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在采场周边根据地形条件栽植防护林，控制采场区风速以减小风蚀，同时减缓采矿粉尘排放对空气环境的影响。</w:t>
            </w:r>
          </w:p>
          <w:p>
            <w:pPr>
              <w:pStyle w:val="35"/>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4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④</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及时关注天气变化，暴雨来临前对开采作业面、堆土场进行遮盖，减少水土流失量。</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（3）矿山地质环境保护</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对露天采场外围设置铁丝围栏和警示牌，并采取人工巡查、目视监测，设置警示标志，预防人身伤害。随时监测各帮边坡稳定性，采坑台阶出现裂隙增多、破碎等小规模崩塌隐患时，及时清理边坡破碎土石，若出现大规模的崩滑灾害时，应及时疏散采场内施工人员和设备，对产生崩塌处进行勘查，在地质灾害专项勘查、设计的基础上进行治理工程。</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严禁重载车辆在开采平台外缘行驶，防止压垮边坡。</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3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露天采矿过程中，严格按划定的矿区范围开挖，不得随意扩大开挖范围，按设计要求开挖采场边坡，禁止超过设计边坡稳定角。</w:t>
            </w:r>
          </w:p>
          <w:p>
            <w:pPr>
              <w:adjustRightInd w:val="0"/>
              <w:snapToGrid w:val="0"/>
              <w:ind w:firstLine="420"/>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（4）</w:t>
            </w:r>
            <w:r>
              <w:rPr>
                <w:rFonts w:hint="default" w:ascii="Times New Roman" w:hAnsi="Times New Roman" w:eastAsia="仿宋" w:cs="Times New Roman"/>
                <w:color w:val="auto"/>
                <w:sz w:val="24"/>
                <w:szCs w:val="24"/>
                <w:lang w:val="en-US" w:eastAsia="zh-CN"/>
              </w:rPr>
              <w:t>生态复垦方案</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①</w:t>
            </w:r>
            <w:r>
              <w:rPr>
                <w:rFonts w:hint="default" w:ascii="Times New Roman" w:hAnsi="Times New Roman" w:eastAsia="仿宋" w:cs="Times New Roman"/>
                <w:color w:val="auto"/>
                <w:sz w:val="24"/>
                <w:szCs w:val="24"/>
              </w:rPr>
              <w:t>根据采矿地质条件、发展远景及当地具体情况，制定矿山土地恢复计划。该计划要纳入矿山设计中的开采、排弃计划，其内容包括利用土地的方式、采矿恢复方法、回填岩石顺序等，且与生产建设统一规划，边开采边恢复。</w:t>
            </w:r>
          </w:p>
          <w:p>
            <w:pPr>
              <w:adjustRightInd w:val="0"/>
              <w:snapToGrid w:val="0"/>
              <w:ind w:firstLine="42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②矿山共占用及破坏土地面积</w:t>
            </w:r>
            <w:r>
              <w:rPr>
                <w:rFonts w:hint="default" w:ascii="Times New Roman" w:hAnsi="Times New Roman" w:eastAsia="仿宋" w:cs="Times New Roman"/>
                <w:color w:val="auto"/>
                <w:sz w:val="24"/>
                <w:szCs w:val="24"/>
              </w:rPr>
              <w:t>为</w:t>
            </w:r>
            <w:r>
              <w:rPr>
                <w:rFonts w:hint="eastAsia" w:eastAsia="仿宋" w:cs="Times New Roman"/>
                <w:color w:val="auto"/>
                <w:sz w:val="24"/>
                <w:szCs w:val="24"/>
                <w:lang w:val="en-US" w:eastAsia="zh-CN"/>
              </w:rPr>
              <w:t>63200</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复垦土地范围包括采矿场</w:t>
            </w:r>
            <w:r>
              <w:rPr>
                <w:rFonts w:hint="eastAsia" w:eastAsia="仿宋" w:cs="Times New Roman"/>
                <w:color w:val="auto"/>
                <w:sz w:val="24"/>
                <w:szCs w:val="24"/>
                <w:lang w:val="en-US" w:eastAsia="zh-CN"/>
              </w:rPr>
              <w:t>及</w:t>
            </w:r>
            <w:r>
              <w:rPr>
                <w:rFonts w:hint="default" w:ascii="Times New Roman" w:hAnsi="Times New Roman" w:eastAsia="仿宋" w:cs="Times New Roman"/>
                <w:color w:val="auto"/>
                <w:sz w:val="24"/>
                <w:szCs w:val="24"/>
                <w:lang w:val="en-US" w:eastAsia="zh-CN"/>
              </w:rPr>
              <w:t>矿山道路，复垦土地面积为</w:t>
            </w:r>
            <w:r>
              <w:rPr>
                <w:rFonts w:hint="eastAsia" w:eastAsia="仿宋" w:cs="Times New Roman"/>
                <w:color w:val="auto"/>
                <w:sz w:val="24"/>
                <w:szCs w:val="24"/>
                <w:lang w:val="en-US" w:eastAsia="zh-CN"/>
              </w:rPr>
              <w:t>63200</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lang w:val="en-US" w:eastAsia="zh-CN"/>
              </w:rPr>
              <w:t>。因此，本矿山闭坑后土地复垦率为100%</w:t>
            </w:r>
            <w:r>
              <w:rPr>
                <w:rFonts w:hint="eastAsia" w:eastAsia="仿宋" w:cs="Times New Roman"/>
                <w:color w:val="auto"/>
                <w:sz w:val="24"/>
                <w:szCs w:val="24"/>
                <w:lang w:val="en-US" w:eastAsia="zh-CN"/>
              </w:rPr>
              <w:t>，</w:t>
            </w:r>
            <w:r>
              <w:rPr>
                <w:rFonts w:hint="default" w:ascii="Times New Roman" w:hAnsi="Times New Roman" w:eastAsia="仿宋" w:cs="Times New Roman"/>
                <w:color w:val="auto"/>
                <w:sz w:val="24"/>
                <w:szCs w:val="24"/>
              </w:rPr>
              <w:t>边坡</w:t>
            </w:r>
            <w:r>
              <w:rPr>
                <w:rFonts w:hint="default" w:ascii="Times New Roman" w:hAnsi="Times New Roman" w:eastAsia="仿宋" w:cs="Times New Roman"/>
                <w:color w:val="auto"/>
                <w:sz w:val="24"/>
                <w:szCs w:val="24"/>
                <w:lang w:val="en-US" w:eastAsia="zh-CN"/>
              </w:rPr>
              <w:t>治理率应达到100%。</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土地复垦措施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原则</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按照“谁受益、谁保护、谁治理，边开采边治理恢复、终止采矿活动时必须完成治理恢复”总原则，矿山服务年限为</w:t>
            </w:r>
            <w:r>
              <w:rPr>
                <w:rFonts w:hint="eastAsia" w:eastAsia="仿宋" w:cs="Times New Roman"/>
                <w:color w:val="auto"/>
                <w:sz w:val="24"/>
                <w:szCs w:val="24"/>
                <w:lang w:val="en-US" w:eastAsia="zh-CN"/>
              </w:rPr>
              <w:t>2.62</w:t>
            </w:r>
            <w:r>
              <w:rPr>
                <w:rFonts w:hint="default" w:ascii="Times New Roman" w:hAnsi="Times New Roman" w:eastAsia="仿宋" w:cs="Times New Roman"/>
                <w:color w:val="auto"/>
                <w:sz w:val="24"/>
                <w:szCs w:val="24"/>
              </w:rPr>
              <w:t>年，根据矿区实际情况制定近期目标远期规划目标，保证矿区生态环境良性发展。具体原则为：</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A、“预防为主”的原则：针对存在的地质环境问题，制定矿区生态环境治理方案，以达到减灾的目的；</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B、“边开采边治理恢复”的原则：在开采过程中加强灾害的检测，对矿山开采造成的地质灾害隐患发现多少处理多少，保护矿区地质环境的安全;</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C、全面规划与重点防治相结合的原则，针对可能发生的地质灾害分布规律，合理规划矿山生产设施布局，对重点地段实施防治工程。</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D、“终止采矿时必须完成治理恢复”的原则：矿山开采结束后，要对矿山开采造成的对地质环境的破坏进行全面的治理恢复，最大限度降低矿业开发对地质环境的破坏。</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目标</w:t>
            </w:r>
          </w:p>
          <w:p>
            <w:pPr>
              <w:pStyle w:val="35"/>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在采矿过程中通过对地质灾害的防治与监测，防止其对采矿设备及人员造成伤害。最终要将采矿区恢复到安全状态，采坑边坡清理、削坡至安全状态（30°）将废渣石堆放场中废渣石回填采矿坑，恢复采场的部分地表形态。清理拆除废旧房屋并清理平整其占地，尽可能恢复原有的地形地貌；恢复治理工作必须符合矿山安全、水土保持和环境保护工作的有关规定。</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3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复垦责任范围</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w:t>
            </w:r>
            <w:r>
              <w:rPr>
                <w:rFonts w:hint="eastAsia" w:eastAsia="仿宋" w:cs="Times New Roman"/>
                <w:color w:val="auto"/>
                <w:sz w:val="24"/>
                <w:szCs w:val="24"/>
                <w:lang w:val="en-US" w:eastAsia="zh-CN"/>
              </w:rPr>
              <w:t>扰动区</w:t>
            </w:r>
            <w:r>
              <w:rPr>
                <w:rFonts w:hint="default" w:ascii="Times New Roman" w:hAnsi="Times New Roman" w:eastAsia="仿宋" w:cs="Times New Roman"/>
                <w:color w:val="auto"/>
                <w:sz w:val="24"/>
                <w:szCs w:val="24"/>
              </w:rPr>
              <w:t>面积为</w:t>
            </w:r>
            <w:r>
              <w:rPr>
                <w:rFonts w:hint="eastAsia" w:eastAsia="仿宋" w:cs="Times New Roman"/>
                <w:color w:val="auto"/>
                <w:sz w:val="24"/>
                <w:szCs w:val="24"/>
                <w:lang w:val="en-US" w:eastAsia="zh-CN"/>
              </w:rPr>
              <w:t>63200</w:t>
            </w:r>
            <w:r>
              <w:rPr>
                <w:rFonts w:hint="default" w:ascii="Times New Roman" w:hAnsi="Times New Roman" w:eastAsia="仿宋" w:cs="Times New Roman"/>
                <w:color w:val="auto"/>
                <w:sz w:val="24"/>
                <w:szCs w:val="24"/>
                <w:lang w:val="en-US" w:eastAsia="zh-CN"/>
              </w:rPr>
              <w:t>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rPr>
              <w:t>，对规划的地面建设工程主要包括</w:t>
            </w:r>
            <w:r>
              <w:rPr>
                <w:rFonts w:hint="eastAsia" w:eastAsia="仿宋" w:cs="Times New Roman"/>
                <w:color w:val="auto"/>
                <w:sz w:val="24"/>
                <w:szCs w:val="24"/>
                <w:lang w:val="en-US" w:eastAsia="zh-CN"/>
              </w:rPr>
              <w:t>开采区、</w:t>
            </w:r>
            <w:r>
              <w:rPr>
                <w:rFonts w:hint="default" w:ascii="Times New Roman" w:hAnsi="Times New Roman" w:eastAsia="仿宋" w:cs="Times New Roman"/>
                <w:color w:val="auto"/>
                <w:sz w:val="24"/>
                <w:szCs w:val="24"/>
              </w:rPr>
              <w:t>矿山道路，主要以占用土地为主，场地较为平整。</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4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④</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土地复垦适宜性</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土地的复垦方向为恢复土地的适用功能。土地复垦适宜性评价为不适宜。对于矿山开采形成采坑区，可恢复原有地形地貌，土地复垦适宜性为难利用。</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5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⑤</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土地复垦质量要求</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根据土地复垦适宜性评价得出，采坑区无植被覆盖。根据《土地复垦质量控制标准》（TD/T1036-2013），指定下列土地复垦质量标准。</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A首先应保证复垦区安全，杜绝地质灾害发生，防护工程要求满足《滑坡防治工程设计与施工技术规范》（DZ/T0220-2006）；</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B有效控制污染和水土流失，保证安全，复垦后无废石和污染物；</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C对露天开采采坑形成的坡面进行平整，禁止形成局部凸起或凹陷，有控制</w:t>
            </w:r>
            <w:r>
              <w:rPr>
                <w:rFonts w:hint="default" w:ascii="Times New Roman" w:hAnsi="Times New Roman" w:eastAsia="仿宋" w:cs="Times New Roman"/>
                <w:color w:val="auto"/>
                <w:sz w:val="24"/>
                <w:szCs w:val="24"/>
                <w:lang w:val="en-US" w:eastAsia="zh-CN"/>
              </w:rPr>
              <w:t>污染</w:t>
            </w:r>
            <w:r>
              <w:rPr>
                <w:rFonts w:hint="default" w:ascii="Times New Roman" w:hAnsi="Times New Roman" w:eastAsia="仿宋" w:cs="Times New Roman"/>
                <w:color w:val="auto"/>
                <w:sz w:val="24"/>
                <w:szCs w:val="24"/>
              </w:rPr>
              <w:t>和水土流失的措施；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D因地制宜，复垦后基本恢复与周边地貌景观相协调及土地使用功能。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6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⑥</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矿山地质灾害预防措施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矿山地质灾害主要表现在露天开采形成高陡边坡，可能遭受、引发和加剧的崩塌、滑坡。根据矿区地质灾害特点，有针对性的提出工程治理措施。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A严格控制工作面台段高度、工作面坡面角、安全平台宽度等，严格控废料场堆放高度、坡度等参数。</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B对露天采场外围设置铁丝围栏和警示牌，并采取人工巡查、目视监测，设置警示标志，预防人身伤害。随时监测各帮边坡稳定性，采坑台阶出现裂隙增多、破碎等小规模崩塌隐患时，及时清理边坡破碎土石，若出现大规模的崩滑灾害时，应及时疏散采场内施工人员和设备，对产生崩塌处进行勘查，在地质灾害专项勘查、设计的基础上进行治理工程。</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C严禁重载车辆在开采平台外缘行驶，防止压垮边坡。</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D露天采场开采前，按照开发利用方案设计的工作程序及要求，彻底清理矿山采场内外的废渣石，为下步开采设施提供场地。</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E本矿山运输公路充分利用周边原有的修护加固，如必须新建时，也要尽量避开土壤层，避免因修建压占更多土地。</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F完成采场修建周边铁丝网围栏及警示牌的设置，达到警示、避绕的目标。</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7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⑦</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土地复垦方案及措施</w:t>
            </w:r>
          </w:p>
          <w:p>
            <w:pPr>
              <w:pStyle w:val="35"/>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通过矿山开采对土地的破坏类型、破坏程度的调查预测，结合矿山所在地区的地址环境条件，矿山土地类型为裸岩石砾地。</w:t>
            </w:r>
          </w:p>
          <w:p>
            <w:pPr>
              <w:pStyle w:val="35"/>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项目闭矿期对矿区进行土地复垦，其中包括平整土地，基本恢复原始地貌状态。矿山开采过程中形成的矿坑，根据矿山地址环境现状及土地规划进行平整。土地复垦方案实施应做到以下几点：</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A组织管理</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矿山依据“谁破坏、谁复垦”的土地复垦原则，自觉承担矿区土地复垦的责任和义务。按照“统一规划、源头控制、防复结合”要求，尽量控制或减少对土地资源不必要的破坏，做到土地复垦与生产建设统一规划，把土地复垦指标纳入生产建设计划。建设单位法人代表即为土地复垦第一责任人，并派专人负责该矿的土地复垦工作。</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B技术服务</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在土地复垦方案实施阶段，对各种复垦措施进行专项技术施工设计，设计人员进入现场进行指导；土地复垦时采用先进的施工手段和合理的施工工序；加强复垦技术培训工作，提高复垦的管理能力，保证土地复垦工作顺利进行，在复垦方案实施后，加强其后期的管理抚育工作，充分体现复垦后的生态效益、经济效益和社会效益。</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B技术服务</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在土地复垦方案实施阶段，对各种复垦措施进行专项技术施工设计，设计人员进入现场进行指导；土地复垦时采用先进的施工手段和合理的施工工序；加强复垦技术培训工作，提高复垦的管理能力，保证土地复垦工作顺利进行，在复垦方案实施后，加强其后期的管理抚育工作，充分体现复垦后的生态效益、经济效益和社会效益。</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C土地整治</w:t>
            </w:r>
            <w:r>
              <w:rPr>
                <w:rFonts w:hint="eastAsia" w:eastAsia="仿宋" w:cs="Times New Roman"/>
                <w:color w:val="auto"/>
                <w:sz w:val="24"/>
                <w:szCs w:val="24"/>
                <w:lang w:eastAsia="zh-CN"/>
              </w:rPr>
              <w:t>（</w:t>
            </w:r>
            <w:r>
              <w:rPr>
                <w:rFonts w:hint="eastAsia" w:eastAsia="仿宋" w:cs="Times New Roman"/>
                <w:color w:val="auto"/>
                <w:sz w:val="24"/>
                <w:szCs w:val="24"/>
                <w:lang w:val="en-US" w:eastAsia="zh-CN"/>
              </w:rPr>
              <w:t>开采期满后</w:t>
            </w:r>
            <w:r>
              <w:rPr>
                <w:rFonts w:hint="eastAsia" w:eastAsia="仿宋" w:cs="Times New Roman"/>
                <w:color w:val="auto"/>
                <w:sz w:val="24"/>
                <w:szCs w:val="24"/>
                <w:lang w:eastAsia="zh-CN"/>
              </w:rPr>
              <w:t>）</w:t>
            </w:r>
            <w:r>
              <w:rPr>
                <w:rFonts w:hint="default" w:ascii="Times New Roman" w:hAnsi="Times New Roman" w:eastAsia="仿宋" w:cs="Times New Roman"/>
                <w:color w:val="auto"/>
                <w:sz w:val="24"/>
                <w:szCs w:val="24"/>
              </w:rPr>
              <w:t>：采用机械、人工等方式对采场边坡进行清理，清除松动、凸起的碎（块）石，对平台进行人工、机械平整，清除场地内较大石块，对建筑物进行拆除，对运输道路进行平整、回填等；</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D覆土</w:t>
            </w:r>
            <w:r>
              <w:rPr>
                <w:rFonts w:hint="eastAsia" w:eastAsia="仿宋" w:cs="Times New Roman"/>
                <w:color w:val="auto"/>
                <w:sz w:val="24"/>
                <w:szCs w:val="24"/>
                <w:lang w:eastAsia="zh-CN"/>
              </w:rPr>
              <w:t>（</w:t>
            </w:r>
            <w:r>
              <w:rPr>
                <w:rFonts w:hint="eastAsia" w:eastAsia="仿宋" w:cs="Times New Roman"/>
                <w:color w:val="auto"/>
                <w:sz w:val="24"/>
                <w:szCs w:val="24"/>
                <w:lang w:val="en-US" w:eastAsia="zh-CN"/>
              </w:rPr>
              <w:t>开采期满后</w:t>
            </w:r>
            <w:r>
              <w:rPr>
                <w:rFonts w:hint="eastAsia" w:eastAsia="仿宋" w:cs="Times New Roman"/>
                <w:color w:val="auto"/>
                <w:sz w:val="24"/>
                <w:szCs w:val="24"/>
                <w:lang w:eastAsia="zh-CN"/>
              </w:rPr>
              <w:t>）</w:t>
            </w:r>
            <w:r>
              <w:rPr>
                <w:rFonts w:hint="default" w:ascii="Times New Roman" w:hAnsi="Times New Roman" w:eastAsia="仿宋" w:cs="Times New Roman"/>
                <w:color w:val="auto"/>
                <w:sz w:val="24"/>
                <w:szCs w:val="24"/>
              </w:rPr>
              <w:t>：对平整后的平台场地穴状坑及采场边坡平台进行覆土，覆土来源为矿山开采时剥离的表土，也可购买一定量的营养土用于土地复垦；</w:t>
            </w:r>
          </w:p>
          <w:p>
            <w:pPr>
              <w:adjustRightInd w:val="0"/>
              <w:snapToGrid w:val="0"/>
              <w:ind w:firstLine="420"/>
              <w:jc w:val="left"/>
              <w:rPr>
                <w:rFonts w:hint="default" w:ascii="Times New Roman" w:hAnsi="Times New Roman" w:eastAsia="仿宋" w:cs="Times New Roman"/>
                <w:color w:val="auto"/>
                <w:sz w:val="24"/>
                <w:szCs w:val="24"/>
              </w:rPr>
            </w:pPr>
            <w:r>
              <w:rPr>
                <w:rFonts w:hint="eastAsia" w:eastAsia="仿宋" w:cs="Times New Roman"/>
                <w:color w:val="auto"/>
                <w:sz w:val="24"/>
                <w:szCs w:val="24"/>
                <w:lang w:val="en-US" w:eastAsia="zh-CN"/>
              </w:rPr>
              <w:t>E</w:t>
            </w:r>
            <w:r>
              <w:rPr>
                <w:rFonts w:hint="default" w:ascii="Times New Roman" w:hAnsi="Times New Roman" w:eastAsia="仿宋" w:cs="Times New Roman"/>
                <w:color w:val="auto"/>
                <w:sz w:val="24"/>
                <w:szCs w:val="24"/>
              </w:rPr>
              <w:t>预留复垦费用，建设单位必须留有足够的资金以备闭矿期的土地复垦工作，使</w:t>
            </w:r>
            <w:r>
              <w:rPr>
                <w:rFonts w:hint="eastAsia" w:eastAsia="仿宋" w:cs="Times New Roman"/>
                <w:color w:val="auto"/>
                <w:sz w:val="24"/>
                <w:szCs w:val="24"/>
                <w:lang w:eastAsia="zh-CN"/>
              </w:rPr>
              <w:t>受到破坏</w:t>
            </w:r>
            <w:r>
              <w:rPr>
                <w:rFonts w:hint="default" w:ascii="Times New Roman" w:hAnsi="Times New Roman" w:eastAsia="仿宋" w:cs="Times New Roman"/>
                <w:color w:val="auto"/>
                <w:sz w:val="24"/>
                <w:szCs w:val="24"/>
              </w:rPr>
              <w:t>的土地尽量恢复其本来功能，使矿区开采对区域生态的影响控制在可接受的范围内，保持区域内生态环境的平衡。</w:t>
            </w:r>
          </w:p>
          <w:p>
            <w:pPr>
              <w:adjustRightInd w:val="0"/>
              <w:snapToGrid w:val="0"/>
              <w:ind w:firstLine="42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（5）矿区开采期间的生态恢复建设</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采矿场占地是非经治理再无法使用的土地，恢复废弃地的生产力是维护</w:t>
            </w:r>
            <w:r>
              <w:rPr>
                <w:rFonts w:hint="default" w:ascii="Times New Roman" w:hAnsi="Times New Roman" w:eastAsia="仿宋" w:cs="Times New Roman"/>
                <w:color w:val="auto"/>
                <w:sz w:val="24"/>
                <w:szCs w:val="24"/>
                <w:lang w:eastAsia="zh-CN"/>
              </w:rPr>
              <w:t>砂石矿</w:t>
            </w:r>
            <w:r>
              <w:rPr>
                <w:rFonts w:hint="default" w:ascii="Times New Roman" w:hAnsi="Times New Roman" w:eastAsia="仿宋" w:cs="Times New Roman"/>
                <w:color w:val="auto"/>
                <w:sz w:val="24"/>
                <w:szCs w:val="24"/>
              </w:rPr>
              <w:t>可持续发展的重要内容。</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①高度重视原有地表对维护本区生态稳定的重要性，加强对施工队伍的宣传、教育和管理。作好施工组织规划工作，严禁将建设施工材料乱堆乱放。</w:t>
            </w:r>
          </w:p>
          <w:p>
            <w:pPr>
              <w:adjustRightInd w:val="0"/>
              <w:snapToGrid w:val="0"/>
              <w:ind w:firstLine="420"/>
              <w:jc w:val="left"/>
              <w:rPr>
                <w:rFonts w:hint="eastAsia"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②加强入厂车辆司机环保意识，严禁厂区机动车辆高速行驶，尽量避免二次扬尘的产生</w:t>
            </w:r>
            <w:r>
              <w:rPr>
                <w:rFonts w:hint="eastAsia" w:eastAsia="仿宋" w:cs="Times New Roman"/>
                <w:color w:val="auto"/>
                <w:sz w:val="24"/>
                <w:szCs w:val="24"/>
                <w:lang w:eastAsia="zh-CN"/>
              </w:rPr>
              <w:t>。</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③合理安排运输时间，避免夜间运送，限制汽车鸣笛，车辆经过敏感点时要慢行，并且禁鸣，减少车辆噪声对道路沿线的影响。</w:t>
            </w:r>
          </w:p>
          <w:p>
            <w:pPr>
              <w:adjustRightInd w:val="0"/>
              <w:snapToGrid w:val="0"/>
              <w:ind w:firstLine="462"/>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④在开采过程中要做到边开采边恢复，对坑洼地面进行平整，根据项目区特点尽量恢复原有状态。</w:t>
            </w:r>
          </w:p>
          <w:p>
            <w:pPr>
              <w:adjustRightInd w:val="0"/>
              <w:snapToGrid w:val="0"/>
              <w:ind w:firstLine="462"/>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6</w:t>
            </w:r>
            <w:r>
              <w:rPr>
                <w:rFonts w:hint="eastAsia" w:ascii="Times New Roman" w:hAnsi="Times New Roman" w:eastAsia="仿宋" w:cs="Times New Roman"/>
                <w:color w:val="auto"/>
                <w:sz w:val="24"/>
                <w:szCs w:val="24"/>
                <w:lang w:eastAsia="zh-CN"/>
              </w:rPr>
              <w:t>）闭矿期生态保护措施</w:t>
            </w:r>
          </w:p>
          <w:p>
            <w:pPr>
              <w:adjustRightInd w:val="0"/>
              <w:snapToGrid w:val="0"/>
              <w:ind w:firstLine="462"/>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开采结束即闭矿后为减缓矿区闭矿后的影响，提出如下措施：</w:t>
            </w:r>
          </w:p>
          <w:p>
            <w:pPr>
              <w:numPr>
                <w:ilvl w:val="0"/>
                <w:numId w:val="0"/>
              </w:numPr>
              <w:adjustRightInd w:val="0"/>
              <w:snapToGrid w:val="0"/>
              <w:ind w:firstLine="480" w:firstLineChars="200"/>
              <w:rPr>
                <w:rFonts w:hint="eastAsia" w:ascii="Times New Roman" w:hAnsi="Times New Roman" w:eastAsia="仿宋" w:cs="Times New Roman"/>
                <w:color w:val="auto"/>
                <w:sz w:val="24"/>
                <w:szCs w:val="24"/>
                <w:lang w:eastAsia="zh-CN"/>
              </w:rPr>
            </w:pPr>
            <w:r>
              <w:rPr>
                <w:rFonts w:hint="eastAsia" w:eastAsia="仿宋" w:cs="Times New Roman"/>
                <w:color w:val="auto"/>
                <w:sz w:val="24"/>
                <w:szCs w:val="24"/>
                <w:lang w:val="en-US" w:eastAsia="zh-CN"/>
              </w:rPr>
              <w:t>①</w:t>
            </w:r>
            <w:r>
              <w:rPr>
                <w:rFonts w:hint="eastAsia" w:ascii="Times New Roman" w:hAnsi="Times New Roman" w:eastAsia="仿宋" w:cs="Times New Roman"/>
                <w:color w:val="auto"/>
                <w:sz w:val="24"/>
                <w:szCs w:val="24"/>
                <w:lang w:eastAsia="zh-CN"/>
              </w:rPr>
              <w:t>项目闭场后，</w:t>
            </w:r>
            <w:r>
              <w:rPr>
                <w:rFonts w:hint="eastAsia" w:ascii="Times New Roman" w:hAnsi="Times New Roman" w:eastAsia="仿宋" w:cs="Times New Roman"/>
                <w:color w:val="auto"/>
                <w:sz w:val="24"/>
                <w:szCs w:val="24"/>
                <w:lang w:val="en-US" w:eastAsia="zh-CN"/>
              </w:rPr>
              <w:t>对露天采场采取场地平整，避免形成局部凸、凹地形，有效控制水土流失，对于边坡存在的凸出体或不稳定斜坡，及时采用机械定点清楚，减少地质灾害的发生。</w:t>
            </w:r>
          </w:p>
          <w:p>
            <w:pPr>
              <w:numPr>
                <w:ilvl w:val="0"/>
                <w:numId w:val="0"/>
              </w:numPr>
              <w:adjustRightInd w:val="0"/>
              <w:snapToGrid w:val="0"/>
              <w:ind w:firstLine="480" w:firstLineChars="200"/>
              <w:rPr>
                <w:rFonts w:hint="eastAsia" w:ascii="Times New Roman" w:hAnsi="Times New Roman" w:eastAsia="仿宋" w:cs="Times New Roman"/>
                <w:color w:val="auto"/>
                <w:sz w:val="24"/>
                <w:szCs w:val="24"/>
                <w:lang w:eastAsia="zh-CN"/>
              </w:rPr>
            </w:pPr>
            <w:r>
              <w:rPr>
                <w:rFonts w:hint="eastAsia" w:eastAsia="仿宋" w:cs="Times New Roman"/>
                <w:color w:val="auto"/>
                <w:sz w:val="24"/>
                <w:szCs w:val="24"/>
                <w:lang w:val="en-US" w:eastAsia="zh-CN"/>
              </w:rPr>
              <w:t>②</w:t>
            </w:r>
            <w:r>
              <w:rPr>
                <w:rFonts w:hint="eastAsia" w:ascii="Times New Roman" w:hAnsi="Times New Roman" w:eastAsia="仿宋" w:cs="Times New Roman"/>
                <w:color w:val="auto"/>
                <w:sz w:val="24"/>
                <w:szCs w:val="24"/>
                <w:lang w:eastAsia="zh-CN"/>
              </w:rPr>
              <w:t>在可能诱发的坍塌、塌陷、滑坡、泥石流的区域外围设立多文字的警示标志和防护网，禁止靠近。</w:t>
            </w:r>
          </w:p>
          <w:p>
            <w:pPr>
              <w:adjustRightInd w:val="0"/>
              <w:snapToGrid w:val="0"/>
              <w:ind w:firstLine="462"/>
              <w:rPr>
                <w:rFonts w:hint="default"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③</w:t>
            </w:r>
            <w:r>
              <w:rPr>
                <w:rFonts w:hint="eastAsia" w:ascii="Times New Roman" w:hAnsi="Times New Roman" w:eastAsia="仿宋" w:cs="Times New Roman"/>
                <w:color w:val="auto"/>
                <w:sz w:val="24"/>
                <w:szCs w:val="24"/>
                <w:lang w:val="en-US" w:eastAsia="zh-CN"/>
              </w:rPr>
              <w:t>临建</w:t>
            </w:r>
            <w:r>
              <w:rPr>
                <w:rFonts w:hint="eastAsia" w:ascii="Times New Roman" w:hAnsi="Times New Roman" w:eastAsia="仿宋" w:cs="Times New Roman"/>
                <w:color w:val="auto"/>
                <w:sz w:val="24"/>
                <w:szCs w:val="24"/>
                <w:lang w:eastAsia="zh-CN"/>
              </w:rPr>
              <w:t>道路</w:t>
            </w:r>
            <w:r>
              <w:rPr>
                <w:rFonts w:hint="eastAsia" w:ascii="Times New Roman" w:hAnsi="Times New Roman" w:eastAsia="仿宋" w:cs="Times New Roman"/>
                <w:color w:val="auto"/>
                <w:sz w:val="24"/>
                <w:szCs w:val="24"/>
                <w:lang w:val="en-US" w:eastAsia="zh-CN"/>
              </w:rPr>
              <w:t>进度土地平整，避免形成局部凸起或凹陷，有效控制水土流失，详见图4-1：生态措施保护图。</w:t>
            </w:r>
          </w:p>
          <w:p>
            <w:pPr>
              <w:adjustRightInd w:val="0"/>
              <w:snapToGrid w:val="0"/>
              <w:ind w:firstLine="462"/>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采取以上措施后，闭矿期对环境影响较小。</w:t>
            </w:r>
          </w:p>
          <w:p>
            <w:pPr>
              <w:adjustRightInd w:val="0"/>
              <w:snapToGrid w:val="0"/>
              <w:ind w:firstLine="462"/>
              <w:rPr>
                <w:rFonts w:hint="default" w:ascii="Times New Roman" w:hAnsi="Times New Roman" w:eastAsia="仿宋" w:cs="Times New Roman"/>
                <w:b/>
                <w:bCs/>
                <w:color w:val="auto"/>
                <w:spacing w:val="10"/>
                <w:sz w:val="24"/>
                <w:szCs w:val="24"/>
                <w:highlight w:val="none"/>
              </w:rPr>
            </w:pPr>
            <w:r>
              <w:rPr>
                <w:rFonts w:hint="default" w:ascii="Times New Roman" w:hAnsi="Times New Roman" w:eastAsia="仿宋" w:cs="Times New Roman"/>
                <w:b/>
                <w:bCs/>
                <w:color w:val="auto"/>
                <w:spacing w:val="10"/>
                <w:sz w:val="24"/>
                <w:szCs w:val="24"/>
                <w:highlight w:val="none"/>
              </w:rPr>
              <w:t>2、大气环境保护措施</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eastAsia" w:eastAsia="仿宋" w:cs="Times New Roman"/>
                <w:bCs/>
                <w:color w:val="auto"/>
                <w:spacing w:val="10"/>
                <w:sz w:val="24"/>
                <w:szCs w:val="24"/>
                <w:highlight w:val="none"/>
                <w:lang w:eastAsia="zh-CN"/>
              </w:rPr>
              <w:t>（</w:t>
            </w:r>
            <w:r>
              <w:rPr>
                <w:rFonts w:hint="eastAsia" w:eastAsia="仿宋" w:cs="Times New Roman"/>
                <w:bCs/>
                <w:color w:val="auto"/>
                <w:spacing w:val="10"/>
                <w:sz w:val="24"/>
                <w:szCs w:val="24"/>
                <w:highlight w:val="none"/>
                <w:lang w:val="en-US" w:eastAsia="zh-CN"/>
              </w:rPr>
              <w:t>1</w:t>
            </w:r>
            <w:r>
              <w:rPr>
                <w:rFonts w:hint="eastAsia"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开采粉尘</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开采过程中产生的粉尘，建设单位拟通过设置2台雾炮机在采矿作业时进行洒水，采取湿式作业的方式来降低粉尘的产生量，可实现抑尘率达80%，不会对环境造成明显的影响，处理措施可行。</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eastAsia" w:eastAsia="仿宋" w:cs="Times New Roman"/>
                <w:bCs/>
                <w:color w:val="auto"/>
                <w:spacing w:val="10"/>
                <w:sz w:val="24"/>
                <w:szCs w:val="24"/>
                <w:highlight w:val="none"/>
                <w:lang w:eastAsia="zh-CN"/>
              </w:rPr>
              <w:t>（</w:t>
            </w:r>
            <w:r>
              <w:rPr>
                <w:rFonts w:hint="eastAsia" w:eastAsia="仿宋" w:cs="Times New Roman"/>
                <w:bCs/>
                <w:color w:val="auto"/>
                <w:spacing w:val="10"/>
                <w:sz w:val="24"/>
                <w:szCs w:val="24"/>
                <w:highlight w:val="none"/>
                <w:lang w:val="en-US" w:eastAsia="zh-CN"/>
              </w:rPr>
              <w:t>2</w:t>
            </w:r>
            <w:r>
              <w:rPr>
                <w:rFonts w:hint="eastAsia"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道路扬尘</w:t>
            </w:r>
          </w:p>
          <w:p>
            <w:pPr>
              <w:adjustRightInd w:val="0"/>
              <w:snapToGrid w:val="0"/>
              <w:ind w:firstLine="460"/>
              <w:jc w:val="left"/>
              <w:rPr>
                <w:rFonts w:hint="default" w:ascii="Times New Roman" w:hAnsi="Times New Roman" w:eastAsia="仿宋" w:cs="Times New Roman"/>
                <w:bCs/>
                <w:color w:val="auto"/>
                <w:spacing w:val="10"/>
                <w:sz w:val="24"/>
                <w:szCs w:val="24"/>
                <w:highlight w:val="yellow"/>
              </w:rPr>
            </w:pPr>
            <w:r>
              <w:rPr>
                <w:rFonts w:hint="default" w:ascii="Times New Roman" w:hAnsi="Times New Roman" w:eastAsia="仿宋" w:cs="Times New Roman"/>
                <w:bCs/>
                <w:color w:val="auto"/>
                <w:spacing w:val="10"/>
                <w:sz w:val="24"/>
                <w:szCs w:val="24"/>
                <w:highlight w:val="none"/>
              </w:rPr>
              <w:t>本项目</w:t>
            </w:r>
            <w:r>
              <w:rPr>
                <w:rFonts w:hint="default" w:ascii="Times New Roman" w:hAnsi="Times New Roman" w:eastAsia="仿宋" w:cs="Times New Roman"/>
                <w:bCs/>
                <w:color w:val="auto"/>
                <w:spacing w:val="10"/>
                <w:sz w:val="24"/>
                <w:szCs w:val="24"/>
                <w:highlight w:val="none"/>
                <w:lang w:eastAsia="zh-CN"/>
              </w:rPr>
              <w:t>砂石矿</w:t>
            </w:r>
            <w:r>
              <w:rPr>
                <w:rFonts w:hint="default" w:ascii="Times New Roman" w:hAnsi="Times New Roman" w:eastAsia="仿宋" w:cs="Times New Roman"/>
                <w:bCs/>
                <w:color w:val="auto"/>
                <w:spacing w:val="10"/>
                <w:sz w:val="24"/>
                <w:szCs w:val="24"/>
                <w:highlight w:val="none"/>
              </w:rPr>
              <w:t>采用自卸汽车运输，在运输及装卸车过程中会有扬尘产生，其产生量与物料湿度、大气状况等有关，特别是在少雨、干燥、风速较大时，这类扬尘对空气环境影响较大。本项目对运输道路采用碎石硬化，并用洒水车每日洒水</w:t>
            </w:r>
            <w:r>
              <w:rPr>
                <w:rFonts w:hint="eastAsia" w:ascii="Times New Roman" w:hAnsi="Times New Roman" w:eastAsia="仿宋" w:cs="Times New Roman"/>
                <w:bCs/>
                <w:color w:val="auto"/>
                <w:spacing w:val="10"/>
                <w:sz w:val="24"/>
                <w:szCs w:val="24"/>
                <w:highlight w:val="none"/>
                <w:lang w:val="en-US" w:eastAsia="zh-CN"/>
              </w:rPr>
              <w:t>2</w:t>
            </w:r>
            <w:r>
              <w:rPr>
                <w:rFonts w:hint="default" w:ascii="Times New Roman" w:hAnsi="Times New Roman" w:eastAsia="仿宋" w:cs="Times New Roman"/>
                <w:bCs/>
                <w:color w:val="auto"/>
                <w:spacing w:val="10"/>
                <w:sz w:val="24"/>
                <w:szCs w:val="24"/>
                <w:highlight w:val="none"/>
              </w:rPr>
              <w:t>次，对道路洒水保持润湿，矿石运输时采用</w:t>
            </w:r>
            <w:r>
              <w:rPr>
                <w:rFonts w:hint="default" w:ascii="Times New Roman" w:hAnsi="Times New Roman" w:eastAsia="仿宋" w:cs="Times New Roman"/>
                <w:bCs/>
                <w:color w:val="auto"/>
                <w:spacing w:val="10"/>
                <w:sz w:val="24"/>
                <w:szCs w:val="24"/>
                <w:highlight w:val="none"/>
                <w:lang w:eastAsia="zh-CN"/>
              </w:rPr>
              <w:t>篷布</w:t>
            </w:r>
            <w:r>
              <w:rPr>
                <w:rFonts w:hint="default" w:ascii="Times New Roman" w:hAnsi="Times New Roman" w:eastAsia="仿宋" w:cs="Times New Roman"/>
                <w:bCs/>
                <w:color w:val="auto"/>
                <w:spacing w:val="10"/>
                <w:sz w:val="24"/>
                <w:szCs w:val="24"/>
                <w:highlight w:val="none"/>
              </w:rPr>
              <w:t>遮盖，限制超载，保持低速行驶，在采取以上防治措施后，抑尘率可达80%。</w:t>
            </w:r>
          </w:p>
          <w:p>
            <w:pPr>
              <w:adjustRightInd w:val="0"/>
              <w:snapToGrid w:val="0"/>
              <w:ind w:firstLine="420"/>
              <w:jc w:val="left"/>
              <w:rPr>
                <w:rFonts w:hint="default" w:ascii="Times New Roman" w:hAnsi="Times New Roman" w:eastAsia="仿宋" w:cs="Times New Roman"/>
                <w:bCs/>
                <w:color w:val="auto"/>
                <w:spacing w:val="10"/>
                <w:sz w:val="24"/>
                <w:szCs w:val="24"/>
                <w:highlight w:val="none"/>
              </w:rPr>
            </w:pPr>
            <w:r>
              <w:rPr>
                <w:rFonts w:hint="eastAsia" w:eastAsia="仿宋" w:cs="Times New Roman"/>
                <w:bCs/>
                <w:color w:val="auto"/>
                <w:spacing w:val="10"/>
                <w:sz w:val="24"/>
                <w:szCs w:val="24"/>
                <w:highlight w:val="none"/>
                <w:lang w:eastAsia="zh-CN"/>
              </w:rPr>
              <w:t>（</w:t>
            </w:r>
            <w:r>
              <w:rPr>
                <w:rFonts w:hint="eastAsia" w:eastAsia="仿宋" w:cs="Times New Roman"/>
                <w:bCs/>
                <w:color w:val="auto"/>
                <w:spacing w:val="10"/>
                <w:sz w:val="24"/>
                <w:szCs w:val="24"/>
                <w:highlight w:val="none"/>
                <w:lang w:val="en-US" w:eastAsia="zh-CN"/>
              </w:rPr>
              <w:t>3</w:t>
            </w:r>
            <w:r>
              <w:rPr>
                <w:rFonts w:hint="eastAsia"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装卸车扬尘</w:t>
            </w:r>
          </w:p>
          <w:p>
            <w:pPr>
              <w:pStyle w:val="35"/>
              <w:ind w:firstLine="460"/>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装、卸车扬尘均是由于装、卸过程中的落差产生的。对于大粒径的扬尘来说，扩散的距离不大。建设单位在装卸车时采用雾炮机喷洒降尘，除尘效率约为80%，可明显降低粉尘的产生量。</w:t>
            </w:r>
          </w:p>
          <w:p>
            <w:pPr>
              <w:pStyle w:val="35"/>
              <w:ind w:firstLine="420"/>
              <w:rPr>
                <w:rFonts w:hint="default" w:ascii="Times New Roman" w:hAnsi="Times New Roman" w:eastAsia="仿宋" w:cs="Times New Roman"/>
                <w:bCs/>
                <w:color w:val="auto"/>
                <w:spacing w:val="10"/>
                <w:sz w:val="24"/>
                <w:szCs w:val="24"/>
                <w:highlight w:val="none"/>
              </w:rPr>
            </w:pPr>
            <w:r>
              <w:rPr>
                <w:rFonts w:hint="eastAsia" w:ascii="Times New Roman" w:hAnsi="Times New Roman" w:eastAsia="仿宋" w:cs="Times New Roman"/>
                <w:bCs/>
                <w:color w:val="auto"/>
                <w:spacing w:val="10"/>
                <w:sz w:val="24"/>
                <w:szCs w:val="24"/>
                <w:highlight w:val="none"/>
                <w:lang w:eastAsia="zh-CN"/>
              </w:rPr>
              <w:t>（</w:t>
            </w:r>
            <w:r>
              <w:rPr>
                <w:rFonts w:hint="eastAsia" w:ascii="Times New Roman" w:hAnsi="Times New Roman" w:eastAsia="仿宋" w:cs="Times New Roman"/>
                <w:bCs/>
                <w:color w:val="auto"/>
                <w:spacing w:val="10"/>
                <w:sz w:val="24"/>
                <w:szCs w:val="24"/>
                <w:highlight w:val="none"/>
                <w:lang w:val="en-US" w:eastAsia="zh-CN"/>
              </w:rPr>
              <w:t>4</w:t>
            </w:r>
            <w:r>
              <w:rPr>
                <w:rFonts w:hint="eastAsia"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加强对采矿机械和运输车辆的维护保养，确保燃油的充分燃烧，减少尾气中污染物的排放量。</w:t>
            </w:r>
          </w:p>
          <w:p>
            <w:pPr>
              <w:pStyle w:val="35"/>
              <w:ind w:firstLine="420"/>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3、防沙治沙措施</w:t>
            </w:r>
          </w:p>
          <w:p>
            <w:pPr>
              <w:pStyle w:val="35"/>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本项目在施工期、运营期及闭矿期要严格按照《中华人民共和国防沙治沙法》（2018）中有关规定执行防沙治沙措施：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露天开采过程中发现土地沙化或者沙化程度加重的，应当及时报告当地人民政府，采取措施，防止土地沙化加剧。</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加强封禁的保护力度，切实加强开采区的监管力度，对开采过程进行严格把控，对开采区及时进行洒水，防止由风引起的沙尘；</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3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本项目开采过程中严格控制开采范围和机械及人员活动范围，堆料场控制在开采范围内，不新增占地，严格控制项目占地，避免土地沙化加剧。</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4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④</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本项目运矿道路等区域闭矿期全部进行植被恢复，防治风蚀加剧，造成土地沙化。</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5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⑤</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道路施工时，划定施工活动范围，严格控制和管理车辆及重型机械的运行范围，所有车辆采用“一”字型作业法，不开辟新路，以减少风蚀沙化活动的范围。</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6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⑥</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大雾、大雨、大风</w:t>
            </w:r>
            <w:r>
              <w:rPr>
                <w:rFonts w:hint="eastAsia"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暴风雨时应停止施工</w:t>
            </w:r>
            <w:r>
              <w:rPr>
                <w:rFonts w:hint="eastAsia" w:ascii="Times New Roman" w:hAnsi="Times New Roman" w:eastAsia="仿宋" w:cs="Times New Roman"/>
                <w:color w:val="auto"/>
                <w:sz w:val="24"/>
                <w:szCs w:val="24"/>
                <w:lang w:val="en-US" w:eastAsia="zh-CN"/>
              </w:rPr>
              <w:t>。</w:t>
            </w:r>
          </w:p>
          <w:p>
            <w:pPr>
              <w:ind w:firstLine="420"/>
              <w:rPr>
                <w:rFonts w:hint="default" w:ascii="Times New Roman" w:hAnsi="Times New Roman" w:eastAsia="仿宋" w:cs="Times New Roman"/>
                <w:color w:val="auto"/>
                <w:sz w:val="24"/>
                <w:szCs w:val="24"/>
              </w:rPr>
            </w:pPr>
            <w:r>
              <w:rPr>
                <w:rFonts w:hint="eastAsia" w:eastAsia="仿宋" w:cs="Times New Roman"/>
                <w:color w:val="auto"/>
                <w:sz w:val="24"/>
                <w:szCs w:val="24"/>
                <w:lang w:val="en-US" w:eastAsia="zh-CN"/>
              </w:rPr>
              <w:t>⑦</w:t>
            </w:r>
            <w:r>
              <w:rPr>
                <w:rFonts w:hint="default" w:ascii="Times New Roman" w:hAnsi="Times New Roman" w:eastAsia="仿宋" w:cs="Times New Roman"/>
                <w:color w:val="auto"/>
                <w:sz w:val="24"/>
                <w:szCs w:val="24"/>
              </w:rPr>
              <w:t>按照“谁受益、谁保护、谁治理，边开采边治理恢复、终止采矿活动时必须完成治理恢复”总原则，根据砂石料场实际情况制定近期目标远期规划目标，保证砂石料场生态环境良性发展。具体为：针对存在的环境问题，制定砂石料场生态环境治理方案；砂石料场开采结束后，要对砂石料场开采造成的对环境的破坏进行全面的治理恢复。</w:t>
            </w:r>
          </w:p>
          <w:p>
            <w:pPr>
              <w:adjustRightInd w:val="0"/>
              <w:snapToGrid w:val="0"/>
              <w:ind w:firstLine="462"/>
              <w:rPr>
                <w:rFonts w:hint="default" w:ascii="Times New Roman" w:hAnsi="Times New Roman" w:eastAsia="仿宋" w:cs="Times New Roman"/>
                <w:b/>
                <w:bCs/>
                <w:color w:val="auto"/>
                <w:spacing w:val="10"/>
                <w:sz w:val="24"/>
                <w:szCs w:val="24"/>
                <w:highlight w:val="none"/>
              </w:rPr>
            </w:pPr>
            <w:r>
              <w:rPr>
                <w:rFonts w:hint="default" w:ascii="Times New Roman" w:hAnsi="Times New Roman" w:eastAsia="仿宋" w:cs="Times New Roman"/>
                <w:b/>
                <w:bCs/>
                <w:color w:val="auto"/>
                <w:spacing w:val="10"/>
                <w:sz w:val="24"/>
                <w:szCs w:val="24"/>
                <w:highlight w:val="none"/>
              </w:rPr>
              <w:t>4、水环境保护措施与污染对策</w:t>
            </w:r>
          </w:p>
          <w:p>
            <w:pPr>
              <w:pStyle w:val="21"/>
              <w:spacing w:line="360" w:lineRule="auto"/>
              <w:ind w:firstLine="520" w:firstLineChars="200"/>
              <w:jc w:val="both"/>
              <w:rPr>
                <w:rFonts w:hint="default" w:ascii="Times New Roman" w:hAnsi="Times New Roman" w:eastAsia="仿宋" w:cs="Times New Roman"/>
                <w:color w:val="auto"/>
                <w:lang w:val="en-US" w:eastAsia="zh-CN"/>
              </w:rPr>
            </w:pPr>
            <w:r>
              <w:rPr>
                <w:rFonts w:hint="default" w:ascii="Times New Roman" w:hAnsi="Times New Roman" w:eastAsia="仿宋" w:cs="Times New Roman"/>
                <w:bCs/>
                <w:color w:val="auto"/>
                <w:spacing w:val="10"/>
                <w:sz w:val="24"/>
                <w:szCs w:val="24"/>
                <w:highlight w:val="none"/>
              </w:rPr>
              <w:t>本项目生产废水主要为降尘废水，经矿石吸收、自然蒸发后排放</w:t>
            </w:r>
            <w:r>
              <w:rPr>
                <w:rFonts w:hint="eastAsia" w:eastAsia="仿宋" w:cs="Times New Roman"/>
                <w:bCs/>
                <w:color w:val="auto"/>
                <w:spacing w:val="10"/>
                <w:sz w:val="24"/>
                <w:szCs w:val="24"/>
                <w:highlight w:val="none"/>
                <w:lang w:eastAsia="zh-CN"/>
              </w:rPr>
              <w:t>，</w:t>
            </w:r>
            <w:r>
              <w:rPr>
                <w:rFonts w:hint="eastAsia" w:eastAsia="仿宋" w:cs="Times New Roman"/>
                <w:bCs/>
                <w:color w:val="auto"/>
                <w:spacing w:val="10"/>
                <w:sz w:val="24"/>
                <w:szCs w:val="24"/>
                <w:highlight w:val="none"/>
                <w:lang w:val="en-US" w:eastAsia="zh-CN"/>
              </w:rPr>
              <w:t>无其他外排废水，</w:t>
            </w:r>
            <w:r>
              <w:rPr>
                <w:rFonts w:hint="default" w:ascii="Times New Roman" w:hAnsi="Times New Roman" w:eastAsia="仿宋" w:cs="Times New Roman"/>
                <w:bCs/>
                <w:color w:val="auto"/>
                <w:kern w:val="2"/>
                <w:sz w:val="24"/>
                <w:szCs w:val="24"/>
                <w:lang w:val="en-US" w:eastAsia="zh-CN" w:bidi="ar-SA"/>
              </w:rPr>
              <w:t>矿井涌水经经沉淀池处理后部分用于矿井生产，剩余部分外排导流沟</w:t>
            </w:r>
            <w:r>
              <w:rPr>
                <w:rFonts w:hint="eastAsia" w:ascii="Times New Roman" w:hAnsi="Times New Roman" w:eastAsia="仿宋" w:cs="Times New Roman"/>
                <w:bCs/>
                <w:color w:val="auto"/>
                <w:kern w:val="2"/>
                <w:sz w:val="24"/>
                <w:szCs w:val="24"/>
                <w:lang w:val="en-US" w:eastAsia="zh-CN" w:bidi="ar-SA"/>
              </w:rPr>
              <w:t>；</w:t>
            </w:r>
            <w:r>
              <w:rPr>
                <w:rFonts w:ascii="仿宋_GB2312" w:hAnsi="仿宋_GB2312" w:eastAsia="仿宋_GB2312" w:cs="仿宋_GB2312"/>
                <w:color w:val="auto"/>
                <w:kern w:val="0"/>
                <w:sz w:val="24"/>
                <w:szCs w:val="24"/>
                <w:lang w:val="en-US" w:eastAsia="zh-CN" w:bidi="ar"/>
              </w:rPr>
              <w:t>施工人员</w:t>
            </w:r>
            <w:r>
              <w:rPr>
                <w:rFonts w:hint="eastAsia" w:ascii="仿宋_GB2312" w:hAnsi="仿宋_GB2312" w:eastAsia="仿宋_GB2312" w:cs="仿宋_GB2312"/>
                <w:color w:val="auto"/>
                <w:kern w:val="0"/>
                <w:sz w:val="24"/>
                <w:szCs w:val="24"/>
                <w:lang w:val="en-US" w:eastAsia="zh-CN" w:bidi="ar"/>
              </w:rPr>
              <w:t>如厕废水较少，</w:t>
            </w:r>
            <w:r>
              <w:rPr>
                <w:rFonts w:ascii="仿宋_GB2312" w:hAnsi="仿宋_GB2312" w:eastAsia="仿宋_GB2312" w:cs="仿宋_GB2312"/>
                <w:color w:val="auto"/>
                <w:kern w:val="0"/>
                <w:sz w:val="24"/>
                <w:szCs w:val="24"/>
                <w:lang w:val="en-US" w:eastAsia="zh-CN" w:bidi="ar"/>
              </w:rPr>
              <w:t>现场设置移动式环保厕所供施工人员如厕使用</w:t>
            </w:r>
            <w:r>
              <w:rPr>
                <w:rFonts w:hint="eastAsia" w:ascii="仿宋_GB2312" w:hAnsi="仿宋_GB2312" w:eastAsia="仿宋_GB2312" w:cs="仿宋_GB2312"/>
                <w:color w:val="auto"/>
                <w:kern w:val="0"/>
                <w:sz w:val="24"/>
                <w:szCs w:val="24"/>
                <w:lang w:val="en-US" w:eastAsia="zh-CN" w:bidi="ar"/>
              </w:rPr>
              <w:t>。</w:t>
            </w:r>
          </w:p>
          <w:p>
            <w:pPr>
              <w:adjustRightInd w:val="0"/>
              <w:snapToGrid w:val="0"/>
              <w:ind w:firstLine="422"/>
              <w:jc w:val="left"/>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5、声环境保护措施与污染对策</w:t>
            </w:r>
          </w:p>
          <w:p>
            <w:pPr>
              <w:adjustRightInd w:val="0"/>
              <w:snapToGrid w:val="0"/>
              <w:ind w:firstLine="460"/>
              <w:jc w:val="left"/>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Cs/>
                <w:color w:val="auto"/>
                <w:spacing w:val="10"/>
                <w:sz w:val="24"/>
                <w:szCs w:val="24"/>
              </w:rPr>
              <w:t>项目噪声源主要为挖掘机、装载机、自卸卡车等。其源强值一般在80-90dB（A）之间。针对</w:t>
            </w:r>
            <w:r>
              <w:rPr>
                <w:rFonts w:hint="default" w:ascii="Times New Roman" w:hAnsi="Times New Roman" w:eastAsia="仿宋" w:cs="Times New Roman"/>
                <w:bCs/>
                <w:color w:val="auto"/>
                <w:spacing w:val="10"/>
                <w:sz w:val="24"/>
                <w:szCs w:val="24"/>
                <w:lang w:eastAsia="zh-CN"/>
              </w:rPr>
              <w:t>砂石矿</w:t>
            </w:r>
            <w:r>
              <w:rPr>
                <w:rFonts w:hint="default" w:ascii="Times New Roman" w:hAnsi="Times New Roman" w:eastAsia="仿宋" w:cs="Times New Roman"/>
                <w:bCs/>
                <w:color w:val="auto"/>
                <w:spacing w:val="10"/>
                <w:sz w:val="24"/>
                <w:szCs w:val="24"/>
              </w:rPr>
              <w:t>开采及运输过程产生的噪声，本项目拟采取以下噪声治理措施：</w:t>
            </w:r>
          </w:p>
          <w:p>
            <w:pPr>
              <w:adjustRightInd w:val="0"/>
              <w:snapToGrid w:val="0"/>
              <w:ind w:firstLine="42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1</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选用低噪声设备</w:t>
            </w:r>
          </w:p>
          <w:p>
            <w:pPr>
              <w:adjustRightInd w:val="0"/>
              <w:snapToGrid w:val="0"/>
              <w:ind w:firstLine="46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目前各设备生产厂家已把低噪声作为衡量设备质量的重要标志。在满足工艺生产的前提下，设计中考虑选用设备精度高、装配质量好、低噪声的设备是必要且可行的，特别是噪声较大的设备如挖掘机、运输车辆等，更应尽可能选用低噪声设备。</w:t>
            </w:r>
          </w:p>
          <w:p>
            <w:pPr>
              <w:adjustRightInd w:val="0"/>
              <w:snapToGrid w:val="0"/>
              <w:ind w:firstLine="42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2</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加强生产管理，降低噪声</w:t>
            </w:r>
          </w:p>
          <w:p>
            <w:pPr>
              <w:adjustRightInd w:val="0"/>
              <w:snapToGrid w:val="0"/>
              <w:ind w:firstLine="46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如</w:t>
            </w:r>
            <w:r>
              <w:rPr>
                <w:rFonts w:hint="default" w:ascii="Times New Roman" w:hAnsi="Times New Roman" w:eastAsia="仿宋" w:cs="Times New Roman"/>
                <w:bCs/>
                <w:color w:val="auto"/>
                <w:spacing w:val="10"/>
                <w:sz w:val="24"/>
                <w:szCs w:val="24"/>
                <w:lang w:eastAsia="zh-CN"/>
              </w:rPr>
              <w:t>砂石矿</w:t>
            </w:r>
            <w:r>
              <w:rPr>
                <w:rFonts w:hint="default" w:ascii="Times New Roman" w:hAnsi="Times New Roman" w:eastAsia="仿宋" w:cs="Times New Roman"/>
                <w:bCs/>
                <w:color w:val="auto"/>
                <w:spacing w:val="10"/>
                <w:sz w:val="24"/>
                <w:szCs w:val="24"/>
              </w:rPr>
              <w:t>装卸避免较高落差和直接撞击，注意轻放轻移，减弱撞击声。运输车辆限速行驶，禁止场内鸣笛，制定合理的作业时间表和实行严格的环境管理，削减噪声对外环境的干扰。对设备进行日常维护，保障设备的正常运行，并且要求操作人员严格规范操作，防止因设备故障或者操作不当带来的额外噪声。</w:t>
            </w:r>
          </w:p>
          <w:p>
            <w:pPr>
              <w:adjustRightInd w:val="0"/>
              <w:snapToGrid w:val="0"/>
              <w:ind w:firstLine="462"/>
              <w:jc w:val="left"/>
              <w:rPr>
                <w:rFonts w:hint="default" w:ascii="Times New Roman" w:hAnsi="Times New Roman" w:eastAsia="仿宋" w:cs="Times New Roman"/>
                <w:b/>
                <w:bCs/>
                <w:color w:val="auto"/>
                <w:spacing w:val="10"/>
                <w:sz w:val="24"/>
                <w:szCs w:val="24"/>
                <w:highlight w:val="none"/>
              </w:rPr>
            </w:pPr>
            <w:r>
              <w:rPr>
                <w:rFonts w:hint="default" w:ascii="Times New Roman" w:hAnsi="Times New Roman" w:eastAsia="仿宋" w:cs="Times New Roman"/>
                <w:b/>
                <w:bCs/>
                <w:color w:val="auto"/>
                <w:spacing w:val="10"/>
                <w:sz w:val="24"/>
                <w:szCs w:val="24"/>
                <w:highlight w:val="none"/>
              </w:rPr>
              <w:t>6、固体废物处置措施</w:t>
            </w:r>
          </w:p>
          <w:p>
            <w:pPr>
              <w:adjustRightInd w:val="0"/>
              <w:snapToGrid w:val="0"/>
              <w:ind w:firstLine="462"/>
              <w:jc w:val="left"/>
              <w:rPr>
                <w:rFonts w:hint="eastAsia" w:eastAsia="仿宋" w:cs="Times New Roman"/>
                <w:bCs/>
                <w:color w:val="auto"/>
                <w:spacing w:val="10"/>
                <w:sz w:val="24"/>
                <w:szCs w:val="24"/>
                <w:highlight w:val="none"/>
                <w:lang w:val="en-US" w:eastAsia="zh-CN"/>
              </w:rPr>
            </w:pPr>
            <w:r>
              <w:rPr>
                <w:rFonts w:hint="eastAsia" w:eastAsia="仿宋" w:cs="Times New Roman"/>
                <w:bCs/>
                <w:color w:val="auto"/>
                <w:spacing w:val="10"/>
                <w:sz w:val="24"/>
                <w:szCs w:val="24"/>
                <w:highlight w:val="none"/>
                <w:lang w:val="en-US" w:eastAsia="zh-CN"/>
              </w:rPr>
              <w:t>本项目运营期固废主要为</w:t>
            </w:r>
            <w:r>
              <w:rPr>
                <w:rFonts w:hint="default" w:ascii="Times New Roman" w:hAnsi="Times New Roman" w:eastAsia="仿宋" w:cs="Times New Roman"/>
                <w:bCs/>
                <w:color w:val="auto"/>
                <w:spacing w:val="10"/>
                <w:sz w:val="24"/>
                <w:szCs w:val="24"/>
                <w:highlight w:val="none"/>
              </w:rPr>
              <w:t>生活垃圾</w:t>
            </w:r>
            <w:r>
              <w:rPr>
                <w:rFonts w:hint="eastAsia" w:eastAsia="仿宋" w:cs="Times New Roman"/>
                <w:bCs/>
                <w:color w:val="auto"/>
                <w:spacing w:val="10"/>
                <w:sz w:val="24"/>
                <w:szCs w:val="24"/>
                <w:highlight w:val="none"/>
                <w:lang w:val="en-US" w:eastAsia="zh-CN"/>
              </w:rPr>
              <w:t>及沉淀池污泥</w:t>
            </w:r>
            <w:r>
              <w:rPr>
                <w:rFonts w:hint="eastAsia"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生活垃圾统一收集到垃圾收集箱，</w:t>
            </w:r>
            <w:r>
              <w:rPr>
                <w:rFonts w:hint="default" w:ascii="Times New Roman" w:hAnsi="Times New Roman" w:eastAsia="仿宋" w:cs="Times New Roman"/>
                <w:bCs/>
                <w:color w:val="auto"/>
                <w:spacing w:val="10"/>
                <w:sz w:val="24"/>
                <w:szCs w:val="24"/>
                <w:highlight w:val="none"/>
                <w:lang w:val="en-US" w:eastAsia="zh-CN"/>
              </w:rPr>
              <w:t>拉运至环卫部门指定地点处置</w:t>
            </w:r>
            <w:r>
              <w:rPr>
                <w:rFonts w:hint="eastAsia" w:eastAsia="仿宋" w:cs="Times New Roman"/>
                <w:bCs/>
                <w:color w:val="auto"/>
                <w:spacing w:val="10"/>
                <w:sz w:val="24"/>
                <w:szCs w:val="24"/>
                <w:highlight w:val="none"/>
                <w:lang w:eastAsia="zh-CN"/>
              </w:rPr>
              <w:t>，</w:t>
            </w:r>
            <w:r>
              <w:rPr>
                <w:rFonts w:hint="eastAsia" w:eastAsia="仿宋" w:cs="Times New Roman"/>
                <w:bCs/>
                <w:color w:val="auto"/>
                <w:spacing w:val="10"/>
                <w:sz w:val="24"/>
                <w:szCs w:val="24"/>
                <w:highlight w:val="none"/>
                <w:lang w:val="en-US" w:eastAsia="zh-CN"/>
              </w:rPr>
              <w:t>防渗沉淀池的泥沙自然风干后定期回填至采坑。</w:t>
            </w:r>
          </w:p>
          <w:p>
            <w:pPr>
              <w:adjustRightInd w:val="0"/>
              <w:snapToGrid w:val="0"/>
              <w:ind w:firstLine="462"/>
              <w:jc w:val="left"/>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7、环境风险</w:t>
            </w:r>
          </w:p>
          <w:p>
            <w:pPr>
              <w:adjustRightInd w:val="0"/>
              <w:snapToGrid w:val="0"/>
              <w:ind w:firstLine="420"/>
              <w:jc w:val="left"/>
              <w:rPr>
                <w:rFonts w:hint="default" w:ascii="Times New Roman" w:hAnsi="Times New Roman" w:eastAsia="仿宋" w:cs="Times New Roman"/>
                <w:b/>
                <w:bCs w:val="0"/>
                <w:color w:val="auto"/>
                <w:spacing w:val="10"/>
                <w:sz w:val="24"/>
                <w:szCs w:val="24"/>
                <w:lang w:eastAsia="zh-CN"/>
              </w:rPr>
            </w:pPr>
            <w:r>
              <w:rPr>
                <w:rFonts w:hint="default" w:ascii="Times New Roman" w:hAnsi="Times New Roman" w:eastAsia="仿宋" w:cs="Times New Roman"/>
                <w:b/>
                <w:bCs w:val="0"/>
                <w:color w:val="auto"/>
                <w:spacing w:val="10"/>
                <w:sz w:val="24"/>
                <w:szCs w:val="24"/>
                <w:lang w:val="en-US" w:eastAsia="zh-CN"/>
              </w:rPr>
              <w:t>7.</w:t>
            </w:r>
            <w:r>
              <w:rPr>
                <w:rFonts w:hint="default" w:ascii="Times New Roman" w:hAnsi="Times New Roman" w:eastAsia="仿宋" w:cs="Times New Roman"/>
                <w:b/>
                <w:bCs w:val="0"/>
                <w:color w:val="auto"/>
                <w:spacing w:val="10"/>
                <w:sz w:val="24"/>
                <w:szCs w:val="24"/>
                <w:lang w:eastAsia="zh-CN"/>
              </w:rPr>
              <w:t>1风险调查</w:t>
            </w:r>
          </w:p>
          <w:p>
            <w:pPr>
              <w:adjustRightInd w:val="0"/>
              <w:snapToGrid w:val="0"/>
              <w:ind w:firstLine="420"/>
              <w:jc w:val="left"/>
              <w:rPr>
                <w:rFonts w:hint="default" w:ascii="Times New Roman" w:hAnsi="Times New Roman" w:eastAsia="仿宋" w:cs="Times New Roman"/>
                <w:bCs/>
                <w:color w:val="auto"/>
                <w:spacing w:val="10"/>
                <w:sz w:val="24"/>
                <w:szCs w:val="24"/>
                <w:lang w:eastAsia="zh-CN"/>
              </w:rPr>
            </w:pPr>
            <w:r>
              <w:rPr>
                <w:rFonts w:hint="default" w:ascii="Times New Roman" w:hAnsi="Times New Roman" w:eastAsia="仿宋" w:cs="Times New Roman"/>
                <w:bCs/>
                <w:color w:val="auto"/>
                <w:spacing w:val="10"/>
                <w:sz w:val="24"/>
                <w:szCs w:val="24"/>
                <w:lang w:eastAsia="zh-CN"/>
              </w:rPr>
              <w:t>参照《建设项目环境风险评价技术导则》(HJ/T169-2018)，本项目不涉及高温、高压、易燃易爆工艺，项目所在地不属于环境敏感地区；项目营运期的废气主要为TSP，无废水产生，</w:t>
            </w:r>
            <w:r>
              <w:rPr>
                <w:rFonts w:hint="default" w:ascii="Times New Roman" w:hAnsi="Times New Roman" w:eastAsia="仿宋" w:cs="Times New Roman"/>
                <w:color w:val="auto"/>
                <w:sz w:val="24"/>
                <w:szCs w:val="24"/>
                <w:lang w:val="en-US" w:eastAsia="zh-CN"/>
              </w:rPr>
              <w:t>矿山不</w:t>
            </w:r>
            <w:r>
              <w:rPr>
                <w:rFonts w:hint="eastAsia" w:ascii="Times New Roman" w:eastAsia="仿宋" w:cs="Times New Roman"/>
                <w:color w:val="auto"/>
                <w:sz w:val="24"/>
                <w:szCs w:val="24"/>
                <w:lang w:val="en-US" w:eastAsia="zh-CN"/>
              </w:rPr>
              <w:t>设置</w:t>
            </w:r>
            <w:r>
              <w:rPr>
                <w:rFonts w:hint="default" w:ascii="Times New Roman" w:hAnsi="Times New Roman" w:eastAsia="仿宋" w:cs="Times New Roman"/>
                <w:color w:val="auto"/>
                <w:sz w:val="24"/>
                <w:szCs w:val="24"/>
                <w:lang w:val="en-US" w:eastAsia="zh-CN"/>
              </w:rPr>
              <w:t>设备修理间</w:t>
            </w:r>
            <w:r>
              <w:rPr>
                <w:rFonts w:hint="eastAsia" w:eastAsia="仿宋" w:cs="Times New Roman"/>
                <w:color w:val="auto"/>
                <w:sz w:val="24"/>
                <w:szCs w:val="24"/>
                <w:lang w:val="en-US" w:eastAsia="zh-CN"/>
              </w:rPr>
              <w:t>，因此无废机油产生，</w:t>
            </w:r>
            <w:r>
              <w:rPr>
                <w:rFonts w:hint="default" w:ascii="Times New Roman" w:hAnsi="Times New Roman" w:eastAsia="仿宋" w:cs="Times New Roman"/>
                <w:bCs/>
                <w:color w:val="auto"/>
                <w:spacing w:val="10"/>
                <w:sz w:val="24"/>
                <w:szCs w:val="24"/>
                <w:lang w:eastAsia="zh-CN"/>
              </w:rPr>
              <w:t>不设置柴油储罐，采用罐车拉运方式。</w:t>
            </w:r>
          </w:p>
          <w:p>
            <w:pPr>
              <w:adjustRightInd w:val="0"/>
              <w:snapToGrid w:val="0"/>
              <w:ind w:firstLine="420"/>
              <w:jc w:val="left"/>
              <w:rPr>
                <w:rFonts w:hint="default" w:ascii="Times New Roman" w:hAnsi="Times New Roman" w:eastAsia="仿宋" w:cs="Times New Roman"/>
                <w:bCs/>
                <w:color w:val="auto"/>
                <w:spacing w:val="10"/>
                <w:sz w:val="24"/>
                <w:szCs w:val="24"/>
                <w:lang w:eastAsia="zh-CN"/>
              </w:rPr>
            </w:pPr>
            <w:r>
              <w:rPr>
                <w:rFonts w:hint="default" w:ascii="Times New Roman" w:hAnsi="Times New Roman" w:eastAsia="仿宋" w:cs="Times New Roman"/>
                <w:bCs/>
                <w:color w:val="auto"/>
                <w:spacing w:val="10"/>
                <w:sz w:val="24"/>
                <w:szCs w:val="24"/>
                <w:lang w:eastAsia="zh-CN"/>
              </w:rPr>
              <w:t>因此项目可能发生的环境风险事故为矿山地质灾害、地面塌陷</w:t>
            </w:r>
            <w:r>
              <w:rPr>
                <w:rFonts w:hint="eastAsia" w:eastAsia="仿宋" w:cs="Times New Roman"/>
                <w:bCs/>
                <w:color w:val="auto"/>
                <w:spacing w:val="10"/>
                <w:sz w:val="24"/>
                <w:szCs w:val="24"/>
                <w:lang w:eastAsia="zh-CN"/>
              </w:rPr>
              <w:t>事故等</w:t>
            </w:r>
            <w:r>
              <w:rPr>
                <w:rFonts w:hint="default" w:ascii="Times New Roman" w:hAnsi="Times New Roman" w:eastAsia="仿宋" w:cs="Times New Roman"/>
                <w:bCs/>
                <w:color w:val="auto"/>
                <w:spacing w:val="10"/>
                <w:sz w:val="24"/>
                <w:szCs w:val="24"/>
                <w:lang w:eastAsia="zh-CN"/>
              </w:rPr>
              <w:t>，对事故区域及下游环境质量及人员健康安全产生的影响。</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bCs w:val="0"/>
                <w:color w:val="auto"/>
                <w:spacing w:val="-2"/>
              </w:rPr>
            </w:pPr>
            <w:r>
              <w:rPr>
                <w:rFonts w:hint="default" w:ascii="Times New Roman" w:hAnsi="Times New Roman" w:eastAsia="仿宋" w:cs="Times New Roman"/>
                <w:b/>
                <w:bCs w:val="0"/>
                <w:color w:val="auto"/>
                <w:spacing w:val="10"/>
                <w:sz w:val="24"/>
                <w:szCs w:val="24"/>
                <w:lang w:val="en-US" w:eastAsia="zh-CN"/>
              </w:rPr>
              <w:t>7.2</w:t>
            </w:r>
            <w:r>
              <w:rPr>
                <w:rFonts w:hint="default" w:ascii="Times New Roman" w:hAnsi="Times New Roman" w:eastAsia="仿宋" w:cs="Times New Roman"/>
                <w:b/>
                <w:bCs w:val="0"/>
                <w:color w:val="auto"/>
                <w:spacing w:val="-2"/>
              </w:rPr>
              <w:t>环境风险影响分析</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1"/>
              </w:rPr>
            </w:pPr>
            <w:r>
              <w:rPr>
                <w:rFonts w:hint="default" w:ascii="Times New Roman" w:hAnsi="Times New Roman" w:eastAsia="仿宋" w:cs="Times New Roman"/>
                <w:color w:val="auto"/>
                <w:spacing w:val="3"/>
              </w:rPr>
              <w:t>地质灾害主要是由于采挖等作业造成的滑坡现象。滑坡是因边坡开挖后，破坏了</w:t>
            </w:r>
            <w:r>
              <w:rPr>
                <w:rFonts w:hint="default" w:ascii="Times New Roman" w:hAnsi="Times New Roman" w:eastAsia="仿宋" w:cs="Times New Roman"/>
                <w:color w:val="auto"/>
                <w:spacing w:val="3"/>
                <w:lang w:eastAsia="zh-CN"/>
              </w:rPr>
              <w:t>砂石</w:t>
            </w:r>
            <w:r>
              <w:rPr>
                <w:rFonts w:hint="default" w:ascii="Times New Roman" w:hAnsi="Times New Roman" w:eastAsia="仿宋" w:cs="Times New Roman"/>
                <w:color w:val="auto"/>
                <w:spacing w:val="3"/>
              </w:rPr>
              <w:t>内部初始应力的平衡引起</w:t>
            </w:r>
            <w:r>
              <w:rPr>
                <w:rFonts w:hint="default" w:ascii="Times New Roman" w:hAnsi="Times New Roman" w:eastAsia="仿宋" w:cs="Times New Roman"/>
                <w:color w:val="auto"/>
                <w:spacing w:val="3"/>
                <w:lang w:eastAsia="zh-CN"/>
              </w:rPr>
              <w:t>砂石</w:t>
            </w:r>
            <w:r>
              <w:rPr>
                <w:rFonts w:hint="default" w:ascii="Times New Roman" w:hAnsi="Times New Roman" w:eastAsia="仿宋" w:cs="Times New Roman"/>
                <w:color w:val="auto"/>
                <w:spacing w:val="3"/>
              </w:rPr>
              <w:t>大规模位移的现象。按破坏形式，滑坡可分为塌落和倾倒式破坏。滑坡发生时对处于危险区的</w:t>
            </w:r>
            <w:r>
              <w:rPr>
                <w:rFonts w:hint="default" w:ascii="Times New Roman" w:hAnsi="Times New Roman" w:eastAsia="仿宋" w:cs="Times New Roman"/>
                <w:color w:val="auto"/>
                <w:spacing w:val="-1"/>
              </w:rPr>
              <w:t>设备、设施可能造成破坏，对处于危险区人员可能构成伤亡。</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2"/>
              </w:rPr>
              <w:t>引起滑坡的主要原因有：不良地质条件；地压过高；</w:t>
            </w:r>
            <w:r>
              <w:rPr>
                <w:rFonts w:hint="default" w:ascii="Times New Roman" w:hAnsi="Times New Roman" w:eastAsia="仿宋" w:cs="Times New Roman"/>
                <w:color w:val="auto"/>
                <w:spacing w:val="3"/>
              </w:rPr>
              <w:t>降水影响；维护加固不当；边坡过高过陡等</w:t>
            </w:r>
            <w:r>
              <w:rPr>
                <w:rFonts w:hint="eastAsia" w:ascii="Times New Roman" w:hAnsi="Times New Roman" w:eastAsia="仿宋" w:cs="Times New Roman"/>
                <w:color w:val="auto"/>
                <w:spacing w:val="3"/>
                <w:lang w:eastAsia="zh-CN"/>
              </w:rPr>
              <w:t>，</w:t>
            </w:r>
            <w:r>
              <w:rPr>
                <w:rFonts w:hint="default" w:ascii="Times New Roman" w:hAnsi="Times New Roman" w:eastAsia="仿宋" w:cs="Times New Roman"/>
                <w:color w:val="auto"/>
                <w:spacing w:val="3"/>
              </w:rPr>
              <w:t>本项目</w:t>
            </w:r>
            <w:r>
              <w:rPr>
                <w:rFonts w:hint="eastAsia" w:ascii="Times New Roman" w:hAnsi="Times New Roman" w:eastAsia="仿宋" w:cs="Times New Roman"/>
                <w:color w:val="auto"/>
                <w:spacing w:val="3"/>
                <w:lang w:val="en-US" w:eastAsia="zh-CN"/>
              </w:rPr>
              <w:t>开采后不进行加工。直接装车外运，无废石产生。</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2"/>
              <w:rPr>
                <w:rFonts w:hint="default" w:ascii="Times New Roman" w:hAnsi="Times New Roman" w:eastAsia="仿宋" w:cs="Times New Roman"/>
                <w:b/>
                <w:bCs/>
                <w:color w:val="auto"/>
                <w:spacing w:val="4"/>
                <w:kern w:val="2"/>
                <w:sz w:val="24"/>
                <w:szCs w:val="24"/>
                <w:lang w:val="en-US" w:eastAsia="zh-CN" w:bidi="ar-SA"/>
              </w:rPr>
            </w:pPr>
            <w:r>
              <w:rPr>
                <w:rFonts w:hint="eastAsia" w:ascii="Times New Roman" w:hAnsi="Times New Roman" w:eastAsia="仿宋" w:cs="Times New Roman"/>
                <w:b/>
                <w:bCs/>
                <w:color w:val="auto"/>
                <w:spacing w:val="4"/>
                <w:kern w:val="2"/>
                <w:sz w:val="24"/>
                <w:szCs w:val="24"/>
                <w:lang w:val="en-US" w:eastAsia="zh-CN" w:bidi="ar-SA"/>
              </w:rPr>
              <w:t>7.3</w:t>
            </w:r>
            <w:r>
              <w:rPr>
                <w:rFonts w:hint="default" w:ascii="Times New Roman" w:hAnsi="Times New Roman" w:eastAsia="仿宋" w:cs="Times New Roman"/>
                <w:b/>
                <w:bCs/>
                <w:color w:val="auto"/>
                <w:spacing w:val="4"/>
                <w:kern w:val="2"/>
                <w:sz w:val="24"/>
                <w:szCs w:val="24"/>
                <w:lang w:val="en-US" w:eastAsia="zh-CN" w:bidi="ar-SA"/>
              </w:rPr>
              <w:t>环境风险防范措施</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1）采取公共安全防范措施</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矿区应在总体规划布局时，建立健全的规章制度，加强管理，尤其是要严格开采坡脚防护设施的管理和安全检查，保证安全运行。</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2）地质灾害事故防范措施</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firstLine="483"/>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highlight w:val="none"/>
                <w:lang w:val="en-US" w:eastAsia="zh-CN" w:bidi="ar-SA"/>
              </w:rPr>
              <w:t>项目区</w:t>
            </w:r>
            <w:r>
              <w:rPr>
                <w:rFonts w:hint="default" w:ascii="Times New Roman" w:hAnsi="Times New Roman" w:eastAsia="仿宋" w:cs="Times New Roman"/>
                <w:color w:val="auto"/>
                <w:sz w:val="24"/>
                <w:szCs w:val="24"/>
                <w:highlight w:val="none"/>
                <w:lang w:val="en-US" w:eastAsia="zh-CN"/>
              </w:rPr>
              <w:t>年降雨量为0.8-5.2㎜，年蒸发量为降雨量的100倍以上</w:t>
            </w:r>
            <w:r>
              <w:rPr>
                <w:rFonts w:hint="default" w:ascii="Times New Roman" w:hAnsi="Times New Roman" w:eastAsia="仿宋" w:cs="Times New Roman"/>
                <w:b w:val="0"/>
                <w:bCs w:val="0"/>
                <w:color w:val="auto"/>
                <w:spacing w:val="4"/>
                <w:kern w:val="2"/>
                <w:sz w:val="24"/>
                <w:szCs w:val="24"/>
                <w:highlight w:val="none"/>
                <w:lang w:val="en-US" w:eastAsia="zh-CN" w:bidi="ar-SA"/>
              </w:rPr>
              <w:t>。</w:t>
            </w:r>
            <w:r>
              <w:rPr>
                <w:rFonts w:hint="default" w:ascii="Times New Roman" w:hAnsi="Times New Roman" w:eastAsia="仿宋" w:cs="Times New Roman"/>
                <w:b w:val="0"/>
                <w:bCs w:val="0"/>
                <w:color w:val="auto"/>
                <w:spacing w:val="4"/>
                <w:kern w:val="2"/>
                <w:sz w:val="24"/>
                <w:szCs w:val="24"/>
                <w:lang w:val="en-US" w:eastAsia="zh-CN" w:bidi="ar-SA"/>
              </w:rPr>
              <w:t>虽然项目区降雨稀少，考虑在夏季有可能发生暴雨。本项目采矿场开采、废料、产品堆放过程中有可能引发采场滑坡、塌方、泥石流等地质灾害，现提出以下地质灾害预防措施：</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①采取边开采边恢复的方式，缩短堆放时间。</w:t>
            </w:r>
          </w:p>
          <w:p>
            <w:pPr>
              <w:pStyle w:val="85"/>
              <w:keepNext w:val="0"/>
              <w:keepLines w:val="0"/>
              <w:pageBreakBefore w:val="0"/>
              <w:widowControl w:val="0"/>
              <w:kinsoku/>
              <w:wordWrap/>
              <w:overflowPunct/>
              <w:topLinePunct w:val="0"/>
              <w:autoSpaceDE/>
              <w:autoSpaceDN/>
              <w:bidi w:val="0"/>
              <w:adjustRightInd/>
              <w:snapToGrid/>
              <w:spacing w:line="360" w:lineRule="auto"/>
              <w:ind w:left="0" w:leftChars="0" w:right="0" w:firstLine="496" w:firstLineChars="20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②及时削减边坡角，清理危岩体，定期加强对不稳定边坡的监测，在危险地段设置警示牌及铁丝围栏。</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③矿山开采期间需严格按照设计规范要求开采，并加强边坡稳定巡查排险，及时处理高陡边坡。</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④在可能发生地质灾害区段设置警示标志。</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⑤不超挖坡底，不留伞檐，进行科学、合理的采剥。</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⑥严禁采场内台阶上下垂直方向双层作业。</w:t>
            </w:r>
          </w:p>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⑦在台阶坡面作业时，必须佩戴安全带。</w:t>
            </w:r>
          </w:p>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⑧大雾、大雨、暴风雨时应停止作业。</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2"/>
              <w:rPr>
                <w:rFonts w:hint="default" w:ascii="Times New Roman" w:hAnsi="Times New Roman" w:eastAsia="仿宋" w:cs="Times New Roman"/>
                <w:b/>
                <w:bCs/>
                <w:color w:val="auto"/>
                <w:spacing w:val="4"/>
                <w:kern w:val="2"/>
                <w:sz w:val="24"/>
                <w:szCs w:val="24"/>
                <w:lang w:val="en-US" w:eastAsia="zh-CN" w:bidi="ar-SA"/>
              </w:rPr>
            </w:pPr>
            <w:r>
              <w:rPr>
                <w:rFonts w:hint="eastAsia" w:ascii="Times New Roman" w:hAnsi="Times New Roman" w:eastAsia="仿宋" w:cs="Times New Roman"/>
                <w:b/>
                <w:bCs/>
                <w:color w:val="auto"/>
                <w:spacing w:val="4"/>
                <w:kern w:val="2"/>
                <w:sz w:val="24"/>
                <w:szCs w:val="24"/>
                <w:lang w:val="en-US" w:eastAsia="zh-CN" w:bidi="ar-SA"/>
              </w:rPr>
              <w:t>7.4</w:t>
            </w:r>
            <w:r>
              <w:rPr>
                <w:rFonts w:hint="default" w:ascii="Times New Roman" w:hAnsi="Times New Roman" w:eastAsia="仿宋" w:cs="Times New Roman"/>
                <w:b/>
                <w:bCs/>
                <w:color w:val="auto"/>
                <w:spacing w:val="4"/>
                <w:kern w:val="2"/>
                <w:sz w:val="24"/>
                <w:szCs w:val="24"/>
                <w:lang w:val="en-US" w:eastAsia="zh-CN" w:bidi="ar-SA"/>
              </w:rPr>
              <w:t>分析结论</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firstLine="481"/>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根据《建设项目环境风险评价技术导则》（HJ169-2018）中判定原则，本项目环境风险潜势为Ⅰ</w:t>
            </w:r>
            <w:r>
              <w:rPr>
                <w:rFonts w:hint="eastAsia" w:ascii="Times New Roman" w:hAnsi="Times New Roman" w:eastAsia="仿宋" w:cs="Times New Roman"/>
                <w:b w:val="0"/>
                <w:bCs w:val="0"/>
                <w:color w:val="auto"/>
                <w:spacing w:val="4"/>
                <w:kern w:val="2"/>
                <w:sz w:val="24"/>
                <w:szCs w:val="24"/>
                <w:lang w:val="en-US" w:eastAsia="zh-CN" w:bidi="ar-SA"/>
              </w:rPr>
              <w:t>，</w:t>
            </w:r>
            <w:r>
              <w:rPr>
                <w:rFonts w:hint="default" w:ascii="Times New Roman" w:hAnsi="Times New Roman" w:eastAsia="仿宋" w:cs="Times New Roman"/>
                <w:b w:val="0"/>
                <w:bCs w:val="0"/>
                <w:color w:val="auto"/>
                <w:spacing w:val="4"/>
                <w:kern w:val="2"/>
                <w:sz w:val="24"/>
                <w:szCs w:val="24"/>
                <w:lang w:val="en-US" w:eastAsia="zh-CN" w:bidi="ar-SA"/>
              </w:rPr>
              <w:t>故进行简单分析。本项目环境风险主要来自开采、堆放过程造成的滑坡风险等。在进一步采取安全防范措施、在落实各项环保措施和采取本报告书提出的有关建议的前提下，基本满足国家相关环境保护和安全法规、标准的要求，该项目发生风险事故的可能进一步降低，其潜在的环境风险是可以接受的。但企业仍需要提高风险管理水平和强化风险防范措施，降低环境风险事故发生的概率。建设项目环境风险简单分析内容见表</w:t>
            </w:r>
            <w:r>
              <w:rPr>
                <w:rFonts w:hint="eastAsia" w:ascii="Times New Roman" w:hAnsi="Times New Roman" w:eastAsia="仿宋" w:cs="Times New Roman"/>
                <w:b w:val="0"/>
                <w:bCs w:val="0"/>
                <w:color w:val="auto"/>
                <w:spacing w:val="4"/>
                <w:kern w:val="2"/>
                <w:sz w:val="24"/>
                <w:szCs w:val="24"/>
                <w:lang w:val="en-US" w:eastAsia="zh-CN" w:bidi="ar-SA"/>
              </w:rPr>
              <w:t>5-1</w:t>
            </w:r>
            <w:r>
              <w:rPr>
                <w:rFonts w:hint="default" w:ascii="Times New Roman" w:hAnsi="Times New Roman" w:eastAsia="仿宋" w:cs="Times New Roman"/>
                <w:b w:val="0"/>
                <w:bCs w:val="0"/>
                <w:color w:val="auto"/>
                <w:spacing w:val="4"/>
                <w:kern w:val="2"/>
                <w:sz w:val="24"/>
                <w:szCs w:val="24"/>
                <w:lang w:val="en-US" w:eastAsia="zh-CN" w:bidi="ar-SA"/>
              </w:rPr>
              <w:t>。</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firstLine="481"/>
              <w:jc w:val="center"/>
              <w:textAlignment w:val="auto"/>
              <w:rPr>
                <w:rFonts w:hint="default" w:ascii="Times New Roman" w:hAnsi="Times New Roman" w:eastAsia="仿宋" w:cs="Times New Roman"/>
                <w:b/>
                <w:bCs/>
                <w:color w:val="auto"/>
                <w:spacing w:val="4"/>
                <w:kern w:val="2"/>
                <w:sz w:val="21"/>
                <w:szCs w:val="21"/>
                <w:lang w:val="en-US" w:eastAsia="zh-CN" w:bidi="ar-SA"/>
              </w:rPr>
            </w:pPr>
            <w:r>
              <w:rPr>
                <w:rFonts w:hint="eastAsia" w:ascii="Times New Roman" w:hAnsi="Times New Roman" w:eastAsia="仿宋" w:cs="Times New Roman"/>
                <w:b/>
                <w:bCs/>
                <w:color w:val="auto"/>
                <w:spacing w:val="4"/>
                <w:kern w:val="2"/>
                <w:sz w:val="21"/>
                <w:szCs w:val="21"/>
                <w:lang w:val="en-US" w:eastAsia="zh-CN" w:bidi="ar-SA"/>
              </w:rPr>
              <w:t>表5-1</w:t>
            </w:r>
            <w:r>
              <w:rPr>
                <w:rFonts w:hint="default" w:ascii="Times New Roman" w:hAnsi="Times New Roman" w:eastAsia="仿宋" w:cs="Times New Roman"/>
                <w:b/>
                <w:bCs/>
                <w:color w:val="auto"/>
                <w:spacing w:val="4"/>
                <w:kern w:val="2"/>
                <w:sz w:val="21"/>
                <w:szCs w:val="21"/>
                <w:lang w:val="en-US" w:eastAsia="zh-CN" w:bidi="ar-SA"/>
              </w:rPr>
              <w:t>建设项目环境风险简单分析内容表</w:t>
            </w:r>
          </w:p>
          <w:tbl>
            <w:tblPr>
              <w:tblStyle w:val="86"/>
              <w:tblW w:w="823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48"/>
              <w:gridCol w:w="6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7"/>
                      <w:sz w:val="21"/>
                      <w:szCs w:val="21"/>
                      <w:highlight w:val="none"/>
                    </w:rPr>
                    <w:t>建设项目名称</w:t>
                  </w:r>
                </w:p>
              </w:tc>
              <w:tc>
                <w:tcPr>
                  <w:tcW w:w="3998" w:type="pct"/>
                  <w:tcBorders>
                    <w:right w:val="single" w:color="000000" w:sz="6"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eastAsia="zh-CN"/>
                    </w:rPr>
                    <w:t>新疆鄯善县连木沁镇连木沁坎村北砂石料矿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6"/>
                      <w:sz w:val="21"/>
                      <w:szCs w:val="21"/>
                      <w:highlight w:val="none"/>
                    </w:rPr>
                    <w:t>建设地点</w:t>
                  </w:r>
                </w:p>
              </w:tc>
              <w:tc>
                <w:tcPr>
                  <w:tcW w:w="3998" w:type="pct"/>
                  <w:tcBorders>
                    <w:right w:val="single" w:color="000000" w:sz="6"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新疆维吾尔自治区吐鲁番地区鄯善县北西280°方位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pacing w:val="7"/>
                      <w:sz w:val="21"/>
                      <w:szCs w:val="21"/>
                      <w:highlight w:val="none"/>
                    </w:rPr>
                  </w:pPr>
                  <w:r>
                    <w:rPr>
                      <w:rFonts w:hint="default" w:ascii="Times New Roman" w:hAnsi="Times New Roman" w:eastAsia="仿宋" w:cs="Times New Roman"/>
                      <w:color w:val="auto"/>
                      <w:spacing w:val="7"/>
                      <w:sz w:val="21"/>
                      <w:szCs w:val="21"/>
                      <w:highlight w:val="none"/>
                    </w:rPr>
                    <w:t>地理</w:t>
                  </w:r>
                  <w:bookmarkStart w:id="7" w:name="_GoBack"/>
                  <w:bookmarkEnd w:id="7"/>
                  <w:r>
                    <w:rPr>
                      <w:rFonts w:hint="default" w:ascii="Times New Roman" w:hAnsi="Times New Roman" w:eastAsia="仿宋" w:cs="Times New Roman"/>
                      <w:color w:val="auto"/>
                      <w:spacing w:val="7"/>
                      <w:sz w:val="21"/>
                      <w:szCs w:val="21"/>
                      <w:highlight w:val="none"/>
                    </w:rPr>
                    <w:t>坐标</w:t>
                  </w:r>
                </w:p>
              </w:tc>
              <w:tc>
                <w:tcPr>
                  <w:tcW w:w="3998" w:type="pct"/>
                  <w:tcBorders>
                    <w:right w:val="single" w:color="000000" w:sz="6"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pacing w:val="7"/>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7"/>
                      <w:sz w:val="21"/>
                      <w:szCs w:val="21"/>
                      <w:highlight w:val="none"/>
                    </w:rPr>
                    <w:t>主要危险物质及分布</w:t>
                  </w:r>
                </w:p>
              </w:tc>
              <w:tc>
                <w:tcPr>
                  <w:tcW w:w="3998" w:type="pct"/>
                  <w:tcBorders>
                    <w:right w:val="single" w:color="000000" w:sz="6"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eastAsia" w:ascii="Times New Roman" w:hAnsi="Times New Roman" w:eastAsia="仿宋" w:cs="Times New Roman"/>
                      <w:color w:val="auto"/>
                      <w:sz w:val="21"/>
                      <w:szCs w:val="21"/>
                      <w:highlight w:val="none"/>
                      <w:lang w:eastAsia="zh-CN"/>
                    </w:rPr>
                  </w:pPr>
                  <w:r>
                    <w:rPr>
                      <w:rFonts w:hint="eastAsia" w:ascii="Times New Roman" w:hAnsi="Times New Roman" w:eastAsia="仿宋" w:cs="Times New Roman"/>
                      <w:color w:val="auto"/>
                      <w:spacing w:val="9"/>
                      <w:sz w:val="21"/>
                      <w:szCs w:val="21"/>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环境影响途径</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及危害后果</w:t>
                  </w:r>
                </w:p>
              </w:tc>
              <w:tc>
                <w:tcPr>
                  <w:tcW w:w="3998" w:type="pct"/>
                  <w:tcBorders>
                    <w:right w:val="single" w:color="000000" w:sz="6"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大气途径：</w:t>
                  </w:r>
                  <w:r>
                    <w:rPr>
                      <w:rFonts w:hint="default" w:ascii="Times New Roman" w:hAnsi="Times New Roman" w:eastAsia="仿宋" w:cs="Times New Roman"/>
                      <w:color w:val="auto"/>
                      <w:spacing w:val="7"/>
                      <w:sz w:val="21"/>
                      <w:szCs w:val="21"/>
                      <w:highlight w:val="none"/>
                    </w:rPr>
                    <w:t>无</w:t>
                  </w:r>
                  <w:r>
                    <w:rPr>
                      <w:rFonts w:hint="default" w:ascii="Times New Roman" w:hAnsi="Times New Roman" w:eastAsia="仿宋" w:cs="Times New Roman"/>
                      <w:color w:val="auto"/>
                      <w:spacing w:val="8"/>
                      <w:sz w:val="21"/>
                      <w:szCs w:val="21"/>
                      <w:highlight w:val="none"/>
                    </w:rPr>
                    <w:t>；</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7"/>
                      <w:sz w:val="21"/>
                      <w:szCs w:val="21"/>
                      <w:highlight w:val="none"/>
                    </w:rPr>
                    <w:t>地表水途径：无；</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9"/>
                      <w:sz w:val="21"/>
                      <w:szCs w:val="21"/>
                      <w:highlight w:val="none"/>
                    </w:rPr>
                    <w:t>地下水途径：</w:t>
                  </w:r>
                  <w:r>
                    <w:rPr>
                      <w:rFonts w:hint="default" w:ascii="Times New Roman" w:hAnsi="Times New Roman" w:eastAsia="仿宋" w:cs="Times New Roman"/>
                      <w:color w:val="auto"/>
                      <w:spacing w:val="7"/>
                      <w:sz w:val="21"/>
                      <w:szCs w:val="21"/>
                      <w:highlight w:val="none"/>
                    </w:rPr>
                    <w:t>无</w:t>
                  </w:r>
                  <w:r>
                    <w:rPr>
                      <w:rFonts w:hint="default" w:ascii="Times New Roman" w:hAnsi="Times New Roman" w:eastAsia="仿宋" w:cs="Times New Roman"/>
                      <w:color w:val="auto"/>
                      <w:spacing w:val="9"/>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风险防范措施</w:t>
                  </w:r>
                  <w:r>
                    <w:rPr>
                      <w:rFonts w:hint="default" w:ascii="Times New Roman" w:hAnsi="Times New Roman" w:eastAsia="仿宋" w:cs="Times New Roman"/>
                      <w:color w:val="auto"/>
                      <w:spacing w:val="4"/>
                      <w:sz w:val="21"/>
                      <w:szCs w:val="21"/>
                      <w:highlight w:val="none"/>
                    </w:rPr>
                    <w:t>要求</w:t>
                  </w:r>
                </w:p>
              </w:tc>
              <w:tc>
                <w:tcPr>
                  <w:tcW w:w="3998" w:type="pct"/>
                  <w:tcBorders>
                    <w:bottom w:val="single" w:color="000000" w:sz="6" w:space="0"/>
                    <w:right w:val="single" w:color="000000" w:sz="6"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pacing w:val="9"/>
                      <w:sz w:val="21"/>
                      <w:szCs w:val="21"/>
                      <w:highlight w:val="none"/>
                    </w:rPr>
                  </w:pPr>
                  <w:r>
                    <w:rPr>
                      <w:rFonts w:hint="default" w:ascii="Times New Roman" w:hAnsi="Times New Roman" w:eastAsia="仿宋" w:cs="Times New Roman"/>
                      <w:color w:val="auto"/>
                      <w:spacing w:val="9"/>
                      <w:sz w:val="21"/>
                      <w:szCs w:val="21"/>
                      <w:highlight w:val="none"/>
                      <w:lang w:val="en-US" w:eastAsia="zh-CN"/>
                    </w:rPr>
                    <w:t>年降雨量为0.8-5.2㎜，年蒸发量为降雨量的100倍以上</w:t>
                  </w:r>
                  <w:r>
                    <w:rPr>
                      <w:rFonts w:hint="default" w:ascii="Times New Roman" w:hAnsi="Times New Roman" w:eastAsia="仿宋" w:cs="Times New Roman"/>
                      <w:color w:val="auto"/>
                      <w:spacing w:val="8"/>
                      <w:sz w:val="21"/>
                      <w:szCs w:val="21"/>
                      <w:highlight w:val="none"/>
                    </w:rPr>
                    <w:t>。虽然项目区降雨稀</w:t>
                  </w:r>
                  <w:r>
                    <w:rPr>
                      <w:rFonts w:hint="default" w:ascii="Times New Roman" w:hAnsi="Times New Roman" w:eastAsia="仿宋" w:cs="Times New Roman"/>
                      <w:color w:val="auto"/>
                      <w:spacing w:val="7"/>
                      <w:sz w:val="21"/>
                      <w:szCs w:val="21"/>
                      <w:highlight w:val="none"/>
                    </w:rPr>
                    <w:t>少，考虑在夏季有可能发生暴雨。本项目采矿场开采中有可能引发滑坡、塌方、泥石流等地质灾害</w:t>
                  </w:r>
                  <w:r>
                    <w:rPr>
                      <w:rFonts w:hint="default" w:ascii="Times New Roman" w:hAnsi="Times New Roman" w:eastAsia="仿宋" w:cs="Times New Roman"/>
                      <w:color w:val="auto"/>
                      <w:spacing w:val="6"/>
                      <w:sz w:val="21"/>
                      <w:szCs w:val="21"/>
                      <w:highlight w:val="none"/>
                    </w:rPr>
                    <w:t>，现提出</w:t>
                  </w:r>
                  <w:r>
                    <w:rPr>
                      <w:rFonts w:hint="default" w:ascii="Times New Roman" w:hAnsi="Times New Roman" w:eastAsia="仿宋" w:cs="Times New Roman"/>
                      <w:color w:val="auto"/>
                      <w:spacing w:val="8"/>
                      <w:sz w:val="21"/>
                      <w:szCs w:val="21"/>
                      <w:highlight w:val="none"/>
                    </w:rPr>
                    <w:t>以下地质灾害预防措施：</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position w:val="4"/>
                      <w:sz w:val="21"/>
                      <w:szCs w:val="21"/>
                      <w:highlight w:val="none"/>
                    </w:rPr>
                    <w:t>1）采取边开采边恢复的方式，缩短堆放时间</w:t>
                  </w:r>
                  <w:r>
                    <w:rPr>
                      <w:rFonts w:hint="eastAsia" w:ascii="Times New Roman" w:hAnsi="Times New Roman" w:eastAsia="仿宋" w:cs="Times New Roman"/>
                      <w:color w:val="auto"/>
                      <w:spacing w:val="8"/>
                      <w:position w:val="4"/>
                      <w:sz w:val="21"/>
                      <w:szCs w:val="21"/>
                      <w:highlight w:val="none"/>
                      <w:lang w:eastAsia="zh-CN"/>
                    </w:rPr>
                    <w:t>；</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pacing w:val="8"/>
                      <w:sz w:val="21"/>
                      <w:szCs w:val="21"/>
                      <w:highlight w:val="none"/>
                      <w:lang w:val="en-US" w:eastAsia="zh-CN"/>
                    </w:rPr>
                    <w:t>2</w:t>
                  </w:r>
                  <w:r>
                    <w:rPr>
                      <w:rFonts w:hint="default" w:ascii="Times New Roman" w:hAnsi="Times New Roman" w:eastAsia="仿宋" w:cs="Times New Roman"/>
                      <w:color w:val="auto"/>
                      <w:spacing w:val="8"/>
                      <w:sz w:val="21"/>
                      <w:szCs w:val="21"/>
                      <w:highlight w:val="none"/>
                    </w:rPr>
                    <w:t>）及时削减边坡角，清理危岩体，定期加强对不稳定边坡的监测，在危险地段设置警示牌及铁丝围栏；</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pacing w:val="10"/>
                      <w:sz w:val="21"/>
                      <w:szCs w:val="21"/>
                      <w:highlight w:val="none"/>
                      <w:lang w:val="en-US" w:eastAsia="zh-CN"/>
                    </w:rPr>
                    <w:t>3</w:t>
                  </w:r>
                  <w:r>
                    <w:rPr>
                      <w:rFonts w:hint="default" w:ascii="Times New Roman" w:hAnsi="Times New Roman" w:eastAsia="仿宋" w:cs="Times New Roman"/>
                      <w:color w:val="auto"/>
                      <w:spacing w:val="10"/>
                      <w:sz w:val="21"/>
                      <w:szCs w:val="21"/>
                      <w:highlight w:val="none"/>
                    </w:rPr>
                    <w:t>）矿山开采期间需严格按照设计规范要求开采，并加强边坡稳定巡</w:t>
                  </w:r>
                  <w:r>
                    <w:rPr>
                      <w:rFonts w:hint="default" w:ascii="Times New Roman" w:hAnsi="Times New Roman" w:eastAsia="仿宋" w:cs="Times New Roman"/>
                      <w:color w:val="auto"/>
                      <w:spacing w:val="8"/>
                      <w:sz w:val="21"/>
                      <w:szCs w:val="21"/>
                      <w:highlight w:val="none"/>
                    </w:rPr>
                    <w:t>查排险，及时处理高陡边坡；</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pacing w:val="8"/>
                      <w:sz w:val="21"/>
                      <w:szCs w:val="21"/>
                      <w:highlight w:val="none"/>
                      <w:lang w:val="en-US" w:eastAsia="zh-CN"/>
                    </w:rPr>
                    <w:t>4</w:t>
                  </w:r>
                  <w:r>
                    <w:rPr>
                      <w:rFonts w:hint="default" w:ascii="Times New Roman" w:hAnsi="Times New Roman" w:eastAsia="仿宋" w:cs="Times New Roman"/>
                      <w:color w:val="auto"/>
                      <w:spacing w:val="8"/>
                      <w:sz w:val="21"/>
                      <w:szCs w:val="21"/>
                      <w:highlight w:val="none"/>
                    </w:rPr>
                    <w:t>）在可能发生地质灾害区段设置警示标志；</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pacing w:val="9"/>
                      <w:position w:val="4"/>
                      <w:sz w:val="21"/>
                      <w:szCs w:val="21"/>
                      <w:highlight w:val="none"/>
                      <w:lang w:val="en-US" w:eastAsia="zh-CN"/>
                    </w:rPr>
                    <w:t>5</w:t>
                  </w:r>
                  <w:r>
                    <w:rPr>
                      <w:rFonts w:hint="default" w:ascii="Times New Roman" w:hAnsi="Times New Roman" w:eastAsia="仿宋" w:cs="Times New Roman"/>
                      <w:color w:val="auto"/>
                      <w:spacing w:val="9"/>
                      <w:position w:val="4"/>
                      <w:sz w:val="21"/>
                      <w:szCs w:val="21"/>
                      <w:highlight w:val="none"/>
                    </w:rPr>
                    <w:t>）不超挖坡底，不留伞檐，进行科学、合理的</w:t>
                  </w:r>
                  <w:r>
                    <w:rPr>
                      <w:rFonts w:hint="default" w:ascii="Times New Roman" w:hAnsi="Times New Roman" w:eastAsia="仿宋" w:cs="Times New Roman"/>
                      <w:color w:val="auto"/>
                      <w:spacing w:val="8"/>
                      <w:position w:val="4"/>
                      <w:sz w:val="21"/>
                      <w:szCs w:val="21"/>
                      <w:highlight w:val="none"/>
                    </w:rPr>
                    <w:t>采剥；</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pacing w:val="8"/>
                      <w:sz w:val="21"/>
                      <w:szCs w:val="21"/>
                      <w:highlight w:val="none"/>
                      <w:lang w:val="en-US" w:eastAsia="zh-CN"/>
                    </w:rPr>
                    <w:t>6</w:t>
                  </w:r>
                  <w:r>
                    <w:rPr>
                      <w:rFonts w:hint="default" w:ascii="Times New Roman" w:hAnsi="Times New Roman" w:eastAsia="仿宋" w:cs="Times New Roman"/>
                      <w:color w:val="auto"/>
                      <w:spacing w:val="8"/>
                      <w:sz w:val="21"/>
                      <w:szCs w:val="21"/>
                      <w:highlight w:val="none"/>
                    </w:rPr>
                    <w:t>）严禁采场内台阶上下垂直方向双层作业；</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pacing w:val="8"/>
                      <w:position w:val="4"/>
                      <w:sz w:val="21"/>
                      <w:szCs w:val="21"/>
                      <w:highlight w:val="none"/>
                      <w:lang w:val="en-US" w:eastAsia="zh-CN"/>
                    </w:rPr>
                    <w:t>7</w:t>
                  </w:r>
                  <w:r>
                    <w:rPr>
                      <w:rFonts w:hint="default" w:ascii="Times New Roman" w:hAnsi="Times New Roman" w:eastAsia="仿宋" w:cs="Times New Roman"/>
                      <w:color w:val="auto"/>
                      <w:spacing w:val="8"/>
                      <w:position w:val="4"/>
                      <w:sz w:val="21"/>
                      <w:szCs w:val="21"/>
                      <w:highlight w:val="none"/>
                    </w:rPr>
                    <w:t>）在台阶坡面作业时，必须佩戴安全带；</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snapToGrid w:val="0"/>
                      <w:color w:val="auto"/>
                      <w:kern w:val="0"/>
                      <w:sz w:val="21"/>
                      <w:szCs w:val="21"/>
                      <w:highlight w:val="none"/>
                      <w:lang w:val="en-US" w:eastAsia="en-US" w:bidi="ar-SA"/>
                    </w:rPr>
                  </w:pPr>
                  <w:r>
                    <w:rPr>
                      <w:rFonts w:hint="eastAsia" w:ascii="Times New Roman" w:hAnsi="Times New Roman" w:eastAsia="仿宋" w:cs="Times New Roman"/>
                      <w:color w:val="auto"/>
                      <w:spacing w:val="8"/>
                      <w:sz w:val="21"/>
                      <w:szCs w:val="21"/>
                      <w:highlight w:val="none"/>
                      <w:lang w:val="en-US" w:eastAsia="zh-CN"/>
                    </w:rPr>
                    <w:t>8</w:t>
                  </w:r>
                  <w:r>
                    <w:rPr>
                      <w:rFonts w:hint="default" w:ascii="Times New Roman" w:hAnsi="Times New Roman" w:eastAsia="仿宋" w:cs="Times New Roman"/>
                      <w:color w:val="auto"/>
                      <w:spacing w:val="8"/>
                      <w:sz w:val="21"/>
                      <w:szCs w:val="21"/>
                      <w:highlight w:val="none"/>
                    </w:rPr>
                    <w:t>）大雾、大雨、暴风雨时应停止作业。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000" w:type="pct"/>
                  <w:gridSpan w:val="2"/>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pacing w:val="9"/>
                      <w:sz w:val="21"/>
                      <w:szCs w:val="21"/>
                      <w:highlight w:val="none"/>
                    </w:rPr>
                  </w:pPr>
                  <w:r>
                    <w:rPr>
                      <w:rFonts w:hint="default" w:ascii="Times New Roman" w:hAnsi="Times New Roman" w:eastAsia="仿宋" w:cs="Times New Roman"/>
                      <w:color w:val="auto"/>
                      <w:spacing w:val="7"/>
                      <w:sz w:val="21"/>
                      <w:szCs w:val="21"/>
                      <w:highlight w:val="none"/>
                    </w:rPr>
                    <w:t>填表说明（列出项目相关信息及评价说明</w:t>
                  </w:r>
                  <w:r>
                    <w:rPr>
                      <w:rFonts w:hint="default" w:ascii="Times New Roman" w:hAnsi="Times New Roman" w:eastAsia="仿宋" w:cs="Times New Roman"/>
                      <w:color w:val="auto"/>
                      <w:spacing w:val="26"/>
                      <w:sz w:val="21"/>
                      <w:szCs w:val="21"/>
                      <w:highlight w:val="none"/>
                    </w:rPr>
                    <w:t>）：</w:t>
                  </w:r>
                  <w:r>
                    <w:rPr>
                      <w:rFonts w:hint="default" w:ascii="Times New Roman" w:hAnsi="Times New Roman" w:eastAsia="仿宋" w:cs="Times New Roman"/>
                      <w:color w:val="auto"/>
                      <w:spacing w:val="7"/>
                      <w:sz w:val="21"/>
                      <w:szCs w:val="21"/>
                      <w:highlight w:val="none"/>
                    </w:rPr>
                    <w:t>项目涉及危险物质为废矿物油，Q&lt;1，</w:t>
                  </w:r>
                  <w:r>
                    <w:rPr>
                      <w:rFonts w:hint="default" w:ascii="Times New Roman" w:hAnsi="Times New Roman" w:eastAsia="仿宋" w:cs="Times New Roman"/>
                      <w:color w:val="auto"/>
                      <w:spacing w:val="4"/>
                      <w:sz w:val="21"/>
                      <w:szCs w:val="21"/>
                      <w:highlight w:val="none"/>
                    </w:rPr>
                    <w:t>环境风险潜势为Ⅰ</w:t>
                  </w:r>
                  <w:r>
                    <w:rPr>
                      <w:rFonts w:hint="eastAsia" w:ascii="Times New Roman" w:hAnsi="Times New Roman" w:eastAsia="仿宋" w:cs="Times New Roman"/>
                      <w:color w:val="auto"/>
                      <w:spacing w:val="4"/>
                      <w:sz w:val="21"/>
                      <w:szCs w:val="21"/>
                      <w:highlight w:val="none"/>
                      <w:lang w:eastAsia="zh-CN"/>
                    </w:rPr>
                    <w:t>，</w:t>
                  </w:r>
                  <w:r>
                    <w:rPr>
                      <w:rFonts w:hint="default" w:ascii="Times New Roman" w:hAnsi="Times New Roman" w:eastAsia="仿宋" w:cs="Times New Roman"/>
                      <w:color w:val="auto"/>
                      <w:spacing w:val="4"/>
                      <w:sz w:val="21"/>
                      <w:szCs w:val="21"/>
                      <w:highlight w:val="none"/>
                    </w:rPr>
                    <w:t>仅需进行简单分析。</w:t>
                  </w:r>
                </w:p>
              </w:tc>
            </w:tr>
          </w:tbl>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8、环境监测</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val="en-US" w:eastAsia="zh-CN"/>
              </w:rPr>
              <w:t>根据《排污单位自行监测技术指南总则HJ819-201》及</w:t>
            </w:r>
            <w:r>
              <w:rPr>
                <w:rFonts w:hint="default" w:ascii="Times New Roman" w:hAnsi="Times New Roman" w:eastAsia="仿宋" w:cs="Times New Roman"/>
                <w:bCs/>
                <w:color w:val="auto"/>
                <w:spacing w:val="10"/>
                <w:sz w:val="24"/>
                <w:szCs w:val="24"/>
              </w:rPr>
              <w:t>项目内容和企业实际情况，制定相应切实可行的方案。</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1</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监测项目</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本项目污染源的污染物排放状况以及附近关心点、敏感点的污染物浓度状况监测项目：</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1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①</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场界</w:t>
            </w:r>
            <w:r>
              <w:rPr>
                <w:rFonts w:hint="default" w:ascii="Times New Roman" w:hAnsi="Times New Roman" w:eastAsia="仿宋" w:cs="Times New Roman"/>
                <w:bCs/>
                <w:color w:val="auto"/>
                <w:spacing w:val="10"/>
                <w:sz w:val="24"/>
                <w:szCs w:val="24"/>
                <w:lang w:val="en-US" w:eastAsia="zh-CN"/>
              </w:rPr>
              <w:t>有组织、无组织</w:t>
            </w:r>
            <w:r>
              <w:rPr>
                <w:rFonts w:hint="default" w:ascii="Times New Roman" w:hAnsi="Times New Roman" w:eastAsia="仿宋" w:cs="Times New Roman"/>
                <w:bCs/>
                <w:color w:val="auto"/>
                <w:spacing w:val="10"/>
                <w:sz w:val="24"/>
                <w:szCs w:val="24"/>
              </w:rPr>
              <w:t>粉尘；</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2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②</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场界噪声；</w:t>
            </w:r>
          </w:p>
          <w:p>
            <w:pPr>
              <w:pStyle w:val="4"/>
              <w:spacing w:line="360" w:lineRule="auto"/>
              <w:rPr>
                <w:rFonts w:hint="default" w:ascii="Times New Roman" w:hAnsi="Times New Roman" w:eastAsia="仿宋" w:cs="Times New Roman"/>
                <w:b w:val="0"/>
                <w:bCs/>
                <w:color w:val="auto"/>
                <w:spacing w:val="10"/>
                <w:kern w:val="2"/>
                <w:sz w:val="24"/>
                <w:szCs w:val="24"/>
                <w:lang w:val="en-US" w:eastAsia="zh-CN" w:bidi="ar-SA"/>
              </w:rPr>
            </w:pPr>
            <w:r>
              <w:rPr>
                <w:rFonts w:hint="eastAsia" w:ascii="Times New Roman" w:hAnsi="Times New Roman" w:eastAsia="仿宋" w:cs="Times New Roman"/>
                <w:b w:val="0"/>
                <w:bCs/>
                <w:color w:val="auto"/>
                <w:spacing w:val="10"/>
                <w:kern w:val="2"/>
                <w:sz w:val="24"/>
                <w:szCs w:val="24"/>
                <w:lang w:val="en-US" w:eastAsia="zh-CN" w:bidi="ar-SA"/>
              </w:rPr>
              <w:t>③土壤：镉、汞、砷、铅、铬、铜、镍、锌；</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2</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监测布点</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①</w:t>
            </w:r>
            <w:r>
              <w:rPr>
                <w:rFonts w:hint="default" w:ascii="Times New Roman" w:hAnsi="Times New Roman" w:eastAsia="仿宋" w:cs="Times New Roman"/>
                <w:bCs/>
                <w:color w:val="auto"/>
                <w:spacing w:val="10"/>
                <w:sz w:val="24"/>
                <w:szCs w:val="24"/>
                <w:lang w:val="en-US" w:eastAsia="zh-CN"/>
              </w:rPr>
              <w:t>粉尘无组织监测点：</w:t>
            </w:r>
            <w:r>
              <w:rPr>
                <w:rFonts w:hint="default" w:ascii="Times New Roman" w:hAnsi="Times New Roman" w:eastAsia="仿宋" w:cs="Times New Roman"/>
                <w:bCs/>
                <w:color w:val="auto"/>
                <w:spacing w:val="10"/>
                <w:sz w:val="24"/>
                <w:szCs w:val="24"/>
              </w:rPr>
              <w:t>矿区场界下风向设1个点；</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②噪声监测点：矿区场界四周各1个点；</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lang w:val="en-US" w:eastAsia="zh-CN"/>
              </w:rPr>
            </w:pPr>
            <w:r>
              <w:rPr>
                <w:rFonts w:hint="eastAsia" w:eastAsia="仿宋" w:cs="Times New Roman"/>
                <w:bCs/>
                <w:color w:val="auto"/>
                <w:spacing w:val="10"/>
                <w:sz w:val="24"/>
                <w:szCs w:val="24"/>
                <w:lang w:val="en-US" w:eastAsia="zh-CN"/>
              </w:rPr>
              <w:t>③土壤监测点：首采区，后续土壤监测根据矿区实际开拓，在矿区边界地带边缘布置</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3</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监测频率</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①</w:t>
            </w:r>
            <w:r>
              <w:rPr>
                <w:rFonts w:hint="default" w:ascii="Times New Roman" w:hAnsi="Times New Roman" w:eastAsia="仿宋" w:cs="Times New Roman"/>
                <w:bCs/>
                <w:color w:val="auto"/>
                <w:spacing w:val="10"/>
                <w:sz w:val="24"/>
                <w:szCs w:val="24"/>
                <w:lang w:val="en-US" w:eastAsia="zh-CN"/>
              </w:rPr>
              <w:t>粉尘无组织监测：</w:t>
            </w:r>
            <w:r>
              <w:rPr>
                <w:rFonts w:hint="default" w:ascii="Times New Roman" w:hAnsi="Times New Roman" w:eastAsia="仿宋" w:cs="Times New Roman"/>
                <w:bCs/>
                <w:color w:val="auto"/>
                <w:spacing w:val="10"/>
                <w:sz w:val="24"/>
                <w:szCs w:val="24"/>
              </w:rPr>
              <w:t>每</w:t>
            </w:r>
            <w:r>
              <w:rPr>
                <w:rFonts w:hint="eastAsia" w:eastAsia="仿宋" w:cs="Times New Roman"/>
                <w:bCs/>
                <w:color w:val="auto"/>
                <w:spacing w:val="10"/>
                <w:sz w:val="24"/>
                <w:szCs w:val="24"/>
                <w:lang w:val="en-US" w:eastAsia="zh-CN"/>
              </w:rPr>
              <w:t>一年</w:t>
            </w:r>
            <w:r>
              <w:rPr>
                <w:rFonts w:hint="default" w:ascii="Times New Roman" w:hAnsi="Times New Roman" w:eastAsia="仿宋" w:cs="Times New Roman"/>
                <w:bCs/>
                <w:color w:val="auto"/>
                <w:spacing w:val="10"/>
                <w:sz w:val="24"/>
                <w:szCs w:val="24"/>
              </w:rPr>
              <w:t>监测一次；</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eastAsia" w:ascii="Times New Roman" w:hAnsi="Times New Roman" w:eastAsia="仿宋" w:cs="Times New Roman"/>
                <w:bCs/>
                <w:color w:val="auto"/>
                <w:spacing w:val="10"/>
                <w:sz w:val="24"/>
                <w:szCs w:val="24"/>
                <w:lang w:eastAsia="zh-CN"/>
              </w:rPr>
            </w:pPr>
            <w:r>
              <w:rPr>
                <w:rFonts w:hint="default" w:ascii="Times New Roman" w:hAnsi="Times New Roman" w:eastAsia="仿宋" w:cs="Times New Roman"/>
                <w:bCs/>
                <w:color w:val="auto"/>
                <w:spacing w:val="10"/>
                <w:sz w:val="24"/>
                <w:szCs w:val="24"/>
              </w:rPr>
              <w:t>②噪声监测：每</w:t>
            </w:r>
            <w:r>
              <w:rPr>
                <w:rFonts w:hint="default" w:ascii="Times New Roman" w:hAnsi="Times New Roman" w:eastAsia="仿宋" w:cs="Times New Roman"/>
                <w:bCs/>
                <w:color w:val="auto"/>
                <w:spacing w:val="10"/>
                <w:sz w:val="24"/>
                <w:szCs w:val="24"/>
                <w:lang w:val="en-US" w:eastAsia="zh-CN"/>
              </w:rPr>
              <w:t>季度</w:t>
            </w:r>
            <w:r>
              <w:rPr>
                <w:rFonts w:hint="default" w:ascii="Times New Roman" w:hAnsi="Times New Roman" w:eastAsia="仿宋" w:cs="Times New Roman"/>
                <w:bCs/>
                <w:color w:val="auto"/>
                <w:spacing w:val="10"/>
                <w:sz w:val="24"/>
                <w:szCs w:val="24"/>
              </w:rPr>
              <w:t>监测一次</w:t>
            </w:r>
            <w:r>
              <w:rPr>
                <w:rFonts w:hint="eastAsia" w:eastAsia="仿宋" w:cs="Times New Roman"/>
                <w:bCs/>
                <w:color w:val="auto"/>
                <w:spacing w:val="1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lang w:val="en-US" w:eastAsia="zh-CN"/>
              </w:rPr>
            </w:pPr>
            <w:r>
              <w:rPr>
                <w:rFonts w:hint="eastAsia" w:eastAsia="仿宋" w:cs="Times New Roman"/>
                <w:bCs/>
                <w:color w:val="auto"/>
                <w:spacing w:val="10"/>
                <w:sz w:val="24"/>
                <w:szCs w:val="24"/>
                <w:lang w:val="en-US" w:eastAsia="zh-CN"/>
              </w:rPr>
              <w:t>③土壤监测：每五年内开展一次；详见图5-1：监测计划点位图。</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4</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监测结果反馈</w:t>
            </w:r>
          </w:p>
          <w:p>
            <w:pPr>
              <w:pStyle w:val="35"/>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对监测结果进行统计汇总，上报有关领导和上级主管部门，监测结果如有异常，应及时反馈生产管理部门，查找原因，及时解决。</w:t>
            </w:r>
          </w:p>
          <w:p>
            <w:pPr>
              <w:rPr>
                <w:rFonts w:hint="eastAsia" w:eastAsia="仿宋" w:cs="Times New Roman"/>
                <w:b/>
                <w:bCs w:val="0"/>
                <w:color w:val="auto"/>
                <w:spacing w:val="10"/>
                <w:sz w:val="24"/>
                <w:szCs w:val="24"/>
                <w:lang w:val="en-US" w:eastAsia="zh-CN"/>
              </w:rPr>
            </w:pPr>
            <w:r>
              <w:rPr>
                <w:rFonts w:hint="eastAsia" w:eastAsia="仿宋" w:cs="Times New Roman"/>
                <w:b/>
                <w:bCs w:val="0"/>
                <w:color w:val="auto"/>
                <w:spacing w:val="10"/>
                <w:sz w:val="24"/>
                <w:szCs w:val="24"/>
                <w:lang w:val="en-US" w:eastAsia="zh-CN"/>
              </w:rPr>
              <w:t>9、排污许可证</w:t>
            </w:r>
          </w:p>
          <w:p>
            <w:pPr>
              <w:rPr>
                <w:rFonts w:hint="eastAsia" w:eastAsia="仿宋" w:cs="Times New Roman"/>
                <w:bCs/>
                <w:color w:val="auto"/>
                <w:spacing w:val="10"/>
                <w:sz w:val="24"/>
                <w:szCs w:val="24"/>
                <w:lang w:val="en-US" w:eastAsia="zh-CN"/>
              </w:rPr>
            </w:pPr>
            <w:r>
              <w:rPr>
                <w:rFonts w:hint="eastAsia" w:eastAsia="仿宋" w:cs="Times New Roman"/>
                <w:bCs/>
                <w:color w:val="auto"/>
                <w:spacing w:val="10"/>
                <w:sz w:val="24"/>
                <w:szCs w:val="24"/>
                <w:lang w:val="en-US" w:eastAsia="zh-CN"/>
              </w:rPr>
              <w:t>（1）根据《固定污染源排污许可分类管理名录》（2019年版），本项目为“六、非金属矿采选业”-“7.土砂石开采”，由于本项目不涉及“通用工序重点管理的”以及“通用工序简化管理”，因此本项目属于“其他”类别，应实行登记管理，不需要申请取得排污许可证，生产前应当在全国排污许可证管理信息平台填报排污登记表，登记基本信息、污染物排放去向、执行的污染物排放标准以及采取的污染防治措施等信息。</w:t>
            </w:r>
          </w:p>
          <w:p>
            <w:pPr>
              <w:pStyle w:val="87"/>
              <w:ind w:firstLine="480"/>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2）设置标志牌环境保护图形标志牌由生态环境部统一定点制作，并由市环境监察部门根据企业排污情况统一向生态环境部订购。企业排污口分布图由市环境监察部门统一绘制。标志牌设置位置在排污口（采样点）附近醒目处，高度为标志牌上边缘离地面2米。排污口附近1米范围内有建筑物的，设平面式标志牌，无建筑物的设立式标志牌。规范排污口的有关设置（如图形标牌、计量装置等）均属于环保设施，排污单位必须负责日常的维护保养，任何单位和个人不得擅自拆除，如需要变更的须报环境监察部门同意并办理变更手续。</w:t>
            </w:r>
          </w:p>
          <w:p>
            <w:pPr>
              <w:widowControl/>
              <w:jc w:val="center"/>
              <w:rPr>
                <w:rFonts w:hint="default" w:ascii="Times New Roman" w:hAnsi="Times New Roman" w:eastAsia="仿宋" w:cs="Times New Roman"/>
                <w:b/>
                <w:bCs/>
                <w:color w:val="auto"/>
                <w:spacing w:val="4"/>
                <w:kern w:val="2"/>
                <w:sz w:val="21"/>
                <w:szCs w:val="21"/>
                <w:lang w:val="en-US" w:eastAsia="zh-CN" w:bidi="ar-SA"/>
              </w:rPr>
            </w:pPr>
            <w:r>
              <w:rPr>
                <w:rFonts w:hint="default" w:ascii="Times New Roman" w:hAnsi="Times New Roman" w:eastAsia="仿宋" w:cs="Times New Roman"/>
                <w:b/>
                <w:bCs/>
                <w:color w:val="auto"/>
                <w:spacing w:val="4"/>
                <w:kern w:val="2"/>
                <w:sz w:val="21"/>
                <w:szCs w:val="21"/>
                <w:lang w:val="en-US" w:eastAsia="zh-CN" w:bidi="ar-SA"/>
              </w:rPr>
              <w:t>表</w:t>
            </w:r>
            <w:r>
              <w:rPr>
                <w:rFonts w:hint="eastAsia" w:ascii="Times New Roman" w:hAnsi="Times New Roman" w:eastAsia="仿宋" w:cs="Times New Roman"/>
                <w:b/>
                <w:bCs/>
                <w:color w:val="auto"/>
                <w:spacing w:val="4"/>
                <w:kern w:val="2"/>
                <w:sz w:val="21"/>
                <w:szCs w:val="21"/>
                <w:lang w:val="en-US" w:eastAsia="zh-CN" w:bidi="ar-SA"/>
              </w:rPr>
              <w:t>5-2</w:t>
            </w:r>
            <w:r>
              <w:rPr>
                <w:rFonts w:hint="default" w:ascii="Times New Roman" w:hAnsi="Times New Roman" w:eastAsia="仿宋" w:cs="Times New Roman"/>
                <w:b/>
                <w:bCs/>
                <w:color w:val="auto"/>
                <w:spacing w:val="4"/>
                <w:kern w:val="2"/>
                <w:sz w:val="21"/>
                <w:szCs w:val="21"/>
                <w:lang w:val="en-US" w:eastAsia="zh-CN" w:bidi="ar-SA"/>
              </w:rPr>
              <w:t>境保护图形标志设置图形表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2054"/>
              <w:gridCol w:w="2130"/>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69"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排放口</w:t>
                  </w:r>
                </w:p>
              </w:tc>
              <w:tc>
                <w:tcPr>
                  <w:tcW w:w="124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废气排口</w:t>
                  </w:r>
                </w:p>
              </w:tc>
              <w:tc>
                <w:tcPr>
                  <w:tcW w:w="1294"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固废</w:t>
                  </w:r>
                </w:p>
              </w:tc>
              <w:tc>
                <w:tcPr>
                  <w:tcW w:w="128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噪声源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16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图形符号</w:t>
                  </w:r>
                </w:p>
              </w:tc>
              <w:tc>
                <w:tcPr>
                  <w:tcW w:w="124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drawing>
                      <wp:inline distT="0" distB="0" distL="114300" distR="114300">
                        <wp:extent cx="640715" cy="640715"/>
                        <wp:effectExtent l="0" t="0" r="6985" b="6985"/>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2"/>
                                <a:stretch>
                                  <a:fillRect/>
                                </a:stretch>
                              </pic:blipFill>
                              <pic:spPr>
                                <a:xfrm>
                                  <a:off x="0" y="0"/>
                                  <a:ext cx="640715" cy="640715"/>
                                </a:xfrm>
                                <a:prstGeom prst="rect">
                                  <a:avLst/>
                                </a:prstGeom>
                                <a:noFill/>
                                <a:ln>
                                  <a:noFill/>
                                </a:ln>
                              </pic:spPr>
                            </pic:pic>
                          </a:graphicData>
                        </a:graphic>
                      </wp:inline>
                    </w:drawing>
                  </w:r>
                </w:p>
              </w:tc>
              <w:tc>
                <w:tcPr>
                  <w:tcW w:w="129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drawing>
                      <wp:inline distT="0" distB="0" distL="114300" distR="114300">
                        <wp:extent cx="669290" cy="642620"/>
                        <wp:effectExtent l="0" t="0" r="16510" b="508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3"/>
                                <a:stretch>
                                  <a:fillRect/>
                                </a:stretch>
                              </pic:blipFill>
                              <pic:spPr>
                                <a:xfrm>
                                  <a:off x="0" y="0"/>
                                  <a:ext cx="669290" cy="642620"/>
                                </a:xfrm>
                                <a:prstGeom prst="rect">
                                  <a:avLst/>
                                </a:prstGeom>
                                <a:noFill/>
                                <a:ln>
                                  <a:noFill/>
                                </a:ln>
                              </pic:spPr>
                            </pic:pic>
                          </a:graphicData>
                        </a:graphic>
                      </wp:inline>
                    </w:drawing>
                  </w:r>
                </w:p>
              </w:tc>
              <w:tc>
                <w:tcPr>
                  <w:tcW w:w="128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drawing>
                      <wp:inline distT="0" distB="0" distL="114300" distR="114300">
                        <wp:extent cx="659130" cy="645160"/>
                        <wp:effectExtent l="0" t="0" r="7620" b="2540"/>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pic:cNvPicPr>
                                  <a:picLocks noChangeAspect="1"/>
                                </pic:cNvPicPr>
                              </pic:nvPicPr>
                              <pic:blipFill>
                                <a:blip r:embed="rId24"/>
                                <a:stretch>
                                  <a:fillRect/>
                                </a:stretch>
                              </pic:blipFill>
                              <pic:spPr>
                                <a:xfrm>
                                  <a:off x="0" y="0"/>
                                  <a:ext cx="659130" cy="6451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6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背景颜色</w:t>
                  </w:r>
                </w:p>
              </w:tc>
              <w:tc>
                <w:tcPr>
                  <w:tcW w:w="3830"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6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图形颜色</w:t>
                  </w:r>
                </w:p>
              </w:tc>
              <w:tc>
                <w:tcPr>
                  <w:tcW w:w="3830"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白色</w:t>
                  </w:r>
                </w:p>
              </w:tc>
            </w:tr>
          </w:tbl>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rPr>
                <w:rFonts w:hint="eastAsia" w:ascii="Times New Roman" w:hAnsi="Times New Roman" w:eastAsia="仿宋" w:cs="Times New Roman"/>
                <w:b/>
                <w:bCs w:val="0"/>
                <w:color w:val="auto"/>
                <w:spacing w:val="10"/>
                <w:kern w:val="2"/>
                <w:sz w:val="24"/>
                <w:szCs w:val="24"/>
                <w:lang w:val="en-US" w:eastAsia="zh-CN" w:bidi="ar-SA"/>
              </w:rPr>
            </w:pPr>
            <w:r>
              <w:rPr>
                <w:rFonts w:hint="eastAsia" w:ascii="Times New Roman" w:hAnsi="Times New Roman" w:eastAsia="仿宋" w:cs="Times New Roman"/>
                <w:b/>
                <w:bCs w:val="0"/>
                <w:color w:val="auto"/>
                <w:spacing w:val="10"/>
                <w:kern w:val="2"/>
                <w:sz w:val="24"/>
                <w:szCs w:val="24"/>
                <w:lang w:val="en-US" w:eastAsia="zh-CN" w:bidi="ar-SA"/>
              </w:rPr>
              <w:t>10、环境管理</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20" w:firstLineChars="200"/>
              <w:jc w:val="both"/>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项目运营期应设专人进行环境管理工作，正确处理发展生产与环境保护的关系，监控环保工程的运行，并检查其效果，了解厂内环境质量与影响环境质量的污染因子变化情况，建立健全环保档案，为保护和改善区域环境质量做好组织和监督工作，环境管理具体内容如下：</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20" w:firstLineChars="200"/>
              <w:jc w:val="both"/>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（1）合理安排运输时间，选择最佳进场道路，运输车辆尽量保持良好车况，合理调度，尽可能匀速慢行，车辆出入现场时低速、禁鸣。</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20" w:firstLineChars="200"/>
              <w:jc w:val="both"/>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（2）严格运输过程的管理，运输时间避开居民休息时间(22.00-06.00)，路过村庄时应降低车速(20km/h以下)、严禁鸣笛。</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20" w:firstLineChars="200"/>
              <w:jc w:val="both"/>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（3）严格执行国家环境保护有关政策和法规，及时协助有关环保部门进行项目环境保护设施的验收工作。</w:t>
            </w:r>
          </w:p>
          <w:p>
            <w:pPr>
              <w:pStyle w:val="35"/>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（4）建立、健全环境管理制度，设置专职或兼职环保人员，负责日常环保安全，定期检查环保管理和环境监测工作。</w:t>
            </w:r>
          </w:p>
          <w:p>
            <w:pPr>
              <w:pStyle w:val="35"/>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（5）制定各种可能发生事故的应急计划，定期对职工进行培训演练，配备各种必要的维护、抢修器材和设备，保证发生事故时能及时到位。</w:t>
            </w:r>
          </w:p>
          <w:p>
            <w:pPr>
              <w:pStyle w:val="35"/>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（6）主管环保人员应参加企业管理和生产调度会议，及时汇报、处理生产运行中存在的环境污染问题。</w:t>
            </w:r>
          </w:p>
          <w:p>
            <w:pPr>
              <w:pStyle w:val="35"/>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（7）应加强与环保部门的联系，取得帮助和指导，共同做好本公司的环保工作。</w:t>
            </w:r>
          </w:p>
          <w:p>
            <w:pPr>
              <w:pStyle w:val="35"/>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（8）定期检查监督环保法规执行情况，及时和有关部门联系落实各方面的环保措施，使之正常运行。</w:t>
            </w:r>
          </w:p>
          <w:p>
            <w:pPr>
              <w:pStyle w:val="35"/>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default" w:ascii="Times New Roman" w:hAnsi="Times New Roman" w:eastAsia="仿宋" w:cs="Times New Roman"/>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adjustRightInd w:val="0"/>
              <w:snapToGrid w:val="0"/>
              <w:spacing w:line="240" w:lineRule="auto"/>
              <w:ind w:firstLine="0" w:firstLineChars="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zCs w:val="21"/>
              </w:rPr>
              <w:t>其他</w:t>
            </w:r>
          </w:p>
        </w:tc>
        <w:tc>
          <w:tcPr>
            <w:tcW w:w="8457" w:type="dxa"/>
            <w:vAlign w:val="center"/>
          </w:tcPr>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pStyle w:val="9"/>
              <w:rPr>
                <w:rFonts w:hint="default" w:ascii="Times New Roman" w:hAnsi="Times New Roman" w:eastAsia="仿宋" w:cs="Times New Roman"/>
                <w:bCs/>
                <w:color w:val="auto"/>
                <w:spacing w:val="10"/>
                <w:szCs w:val="21"/>
              </w:rPr>
            </w:pPr>
          </w:p>
          <w:p>
            <w:pPr>
              <w:pStyle w:val="10"/>
              <w:rPr>
                <w:rFonts w:hint="default" w:ascii="Times New Roman" w:hAnsi="Times New Roman" w:eastAsia="仿宋" w:cs="Times New Roman"/>
                <w:bCs/>
                <w:color w:val="auto"/>
                <w:spacing w:val="10"/>
                <w:szCs w:val="21"/>
              </w:rPr>
            </w:pPr>
          </w:p>
          <w:p>
            <w:pPr>
              <w:pStyle w:val="10"/>
              <w:rPr>
                <w:rFonts w:hint="default" w:ascii="Times New Roman" w:hAnsi="Times New Roman" w:eastAsia="仿宋" w:cs="Times New Roman"/>
                <w:bCs/>
                <w:color w:val="auto"/>
                <w:spacing w:val="10"/>
                <w:szCs w:val="21"/>
              </w:rPr>
            </w:pPr>
          </w:p>
          <w:p>
            <w:pPr>
              <w:pStyle w:val="10"/>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pacing w:val="10"/>
                <w:szCs w:val="21"/>
              </w:rPr>
              <w:t>无</w:t>
            </w: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pStyle w:val="24"/>
              <w:rPr>
                <w:rFonts w:hint="default" w:ascii="Times New Roman" w:hAnsi="Times New Roman" w:eastAsia="仿宋" w:cs="Times New Roman"/>
                <w:bCs/>
                <w:color w:val="auto"/>
                <w:spacing w:val="10"/>
                <w:szCs w:val="21"/>
              </w:rPr>
            </w:pPr>
          </w:p>
          <w:p>
            <w:pPr>
              <w:pStyle w:val="18"/>
              <w:rPr>
                <w:rFonts w:hint="default" w:ascii="Times New Roman" w:hAnsi="Times New Roman" w:eastAsia="仿宋" w:cs="Times New Roman"/>
                <w:bCs/>
                <w:color w:val="auto"/>
                <w:spacing w:val="10"/>
                <w:szCs w:val="21"/>
              </w:rPr>
            </w:pPr>
          </w:p>
          <w:p>
            <w:pPr>
              <w:rPr>
                <w:rFonts w:hint="default" w:ascii="Times New Roman" w:hAnsi="Times New Roman" w:eastAsia="仿宋" w:cs="Times New Roman"/>
                <w:bCs/>
                <w:color w:val="auto"/>
                <w:spacing w:val="10"/>
                <w:szCs w:val="21"/>
              </w:rPr>
            </w:pPr>
          </w:p>
          <w:p>
            <w:pPr>
              <w:pStyle w:val="9"/>
              <w:rPr>
                <w:rFonts w:hint="default"/>
                <w:color w:val="auto"/>
              </w:rPr>
            </w:pPr>
          </w:p>
          <w:p>
            <w:pPr>
              <w:pStyle w:val="10"/>
              <w:rPr>
                <w:rFonts w:hint="default"/>
                <w:color w:val="auto"/>
              </w:rPr>
            </w:pPr>
          </w:p>
          <w:p>
            <w:pPr>
              <w:pStyle w:val="10"/>
              <w:rPr>
                <w:rFonts w:hint="default"/>
                <w:color w:val="auto"/>
              </w:rPr>
            </w:pPr>
          </w:p>
          <w:p>
            <w:pPr>
              <w:pStyle w:val="10"/>
              <w:rPr>
                <w:rFonts w:hint="default"/>
                <w:color w:val="auto"/>
              </w:rPr>
            </w:pPr>
          </w:p>
          <w:p>
            <w:pPr>
              <w:rPr>
                <w:rFonts w:hint="default" w:ascii="Times New Roman" w:hAnsi="Times New Roman" w:eastAsia="仿宋" w:cs="Times New Roman"/>
                <w:bCs/>
                <w:color w:val="auto"/>
                <w:spacing w:val="10"/>
                <w:szCs w:val="21"/>
              </w:rPr>
            </w:pPr>
          </w:p>
          <w:p>
            <w:pPr>
              <w:pStyle w:val="18"/>
              <w:ind w:left="0" w:leftChars="0" w:firstLine="0" w:firstLineChars="0"/>
              <w:rPr>
                <w:rFonts w:hint="default"/>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73" w:hRule="atLeast"/>
          <w:jc w:val="center"/>
        </w:trPr>
        <w:tc>
          <w:tcPr>
            <w:tcW w:w="753" w:type="dxa"/>
            <w:vAlign w:val="center"/>
          </w:tcPr>
          <w:p>
            <w:pPr>
              <w:adjustRightInd w:val="0"/>
              <w:snapToGrid w:val="0"/>
              <w:spacing w:line="240" w:lineRule="auto"/>
              <w:ind w:firstLine="0" w:firstLineChars="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zCs w:val="21"/>
              </w:rPr>
              <w:t>环保投资</w:t>
            </w:r>
          </w:p>
        </w:tc>
        <w:tc>
          <w:tcPr>
            <w:tcW w:w="8457" w:type="dxa"/>
          </w:tcPr>
          <w:p>
            <w:pPr>
              <w:keepNext w:val="0"/>
              <w:keepLines w:val="0"/>
              <w:pageBreakBefore w:val="0"/>
              <w:widowControl w:val="0"/>
              <w:kinsoku/>
              <w:wordWrap/>
              <w:overflowPunct w:val="0"/>
              <w:topLinePunct w:val="0"/>
              <w:autoSpaceDE/>
              <w:autoSpaceDN/>
              <w:bidi w:val="0"/>
              <w:adjustRightInd w:val="0"/>
              <w:snapToGrid w:val="0"/>
              <w:spacing w:before="157" w:beforeLines="50"/>
              <w:ind w:firstLine="482"/>
              <w:textAlignment w:val="auto"/>
              <w:rPr>
                <w:rFonts w:hint="default" w:ascii="Times New Roman" w:hAnsi="Times New Roman" w:eastAsia="仿宋" w:cs="Times New Roman"/>
                <w:b/>
                <w:color w:val="auto"/>
                <w:kern w:val="0"/>
                <w:sz w:val="24"/>
                <w:highlight w:val="none"/>
              </w:rPr>
            </w:pPr>
            <w:r>
              <w:rPr>
                <w:rFonts w:hint="eastAsia" w:eastAsia="仿宋" w:cs="Times New Roman"/>
                <w:b/>
                <w:color w:val="auto"/>
                <w:kern w:val="0"/>
                <w:sz w:val="24"/>
                <w:highlight w:val="none"/>
                <w:lang w:val="en-US" w:eastAsia="zh-CN"/>
              </w:rPr>
              <w:t>1、</w:t>
            </w:r>
            <w:r>
              <w:rPr>
                <w:rFonts w:hint="default" w:ascii="Times New Roman" w:hAnsi="Times New Roman" w:eastAsia="仿宋" w:cs="Times New Roman"/>
                <w:b/>
                <w:color w:val="auto"/>
                <w:kern w:val="0"/>
                <w:sz w:val="24"/>
                <w:highlight w:val="none"/>
              </w:rPr>
              <w:t>环保投资估算</w:t>
            </w:r>
          </w:p>
          <w:p>
            <w:pPr>
              <w:topLinePunct/>
              <w:adjustRightInd w:val="0"/>
              <w:snapToGrid w:val="0"/>
              <w:ind w:firstLine="420"/>
              <w:rPr>
                <w:rFonts w:hint="default" w:ascii="Times New Roman" w:hAnsi="Times New Roman" w:eastAsia="仿宋" w:cs="Times New Roman"/>
                <w:snapToGrid w:val="0"/>
                <w:color w:val="auto"/>
                <w:kern w:val="0"/>
                <w:sz w:val="24"/>
                <w:szCs w:val="24"/>
                <w:highlight w:val="none"/>
              </w:rPr>
            </w:pPr>
            <w:r>
              <w:rPr>
                <w:rFonts w:hint="default" w:ascii="Times New Roman" w:hAnsi="Times New Roman" w:eastAsia="仿宋" w:cs="Times New Roman"/>
                <w:snapToGrid w:val="0"/>
                <w:color w:val="auto"/>
                <w:kern w:val="0"/>
                <w:sz w:val="24"/>
                <w:szCs w:val="24"/>
                <w:highlight w:val="none"/>
              </w:rPr>
              <w:t>本项目总投资</w:t>
            </w:r>
            <w:r>
              <w:rPr>
                <w:rFonts w:hint="eastAsia" w:eastAsia="仿宋" w:cs="Times New Roman"/>
                <w:snapToGrid w:val="0"/>
                <w:color w:val="auto"/>
                <w:kern w:val="0"/>
                <w:sz w:val="24"/>
                <w:szCs w:val="24"/>
                <w:highlight w:val="none"/>
                <w:lang w:val="en-US" w:eastAsia="zh-CN"/>
              </w:rPr>
              <w:t>284.23</w:t>
            </w:r>
            <w:r>
              <w:rPr>
                <w:rFonts w:hint="default" w:ascii="Times New Roman" w:hAnsi="Times New Roman" w:eastAsia="仿宋" w:cs="Times New Roman"/>
                <w:snapToGrid w:val="0"/>
                <w:color w:val="auto"/>
                <w:kern w:val="0"/>
                <w:sz w:val="24"/>
                <w:szCs w:val="24"/>
                <w:highlight w:val="none"/>
              </w:rPr>
              <w:t>万元，环保投资</w:t>
            </w:r>
            <w:r>
              <w:rPr>
                <w:rFonts w:hint="eastAsia" w:eastAsia="仿宋" w:cs="Times New Roman"/>
                <w:snapToGrid w:val="0"/>
                <w:color w:val="auto"/>
                <w:kern w:val="0"/>
                <w:sz w:val="24"/>
                <w:szCs w:val="24"/>
                <w:highlight w:val="none"/>
                <w:lang w:val="en-US" w:eastAsia="zh-CN"/>
              </w:rPr>
              <w:t>31.85</w:t>
            </w:r>
            <w:r>
              <w:rPr>
                <w:rFonts w:hint="default" w:ascii="Times New Roman" w:hAnsi="Times New Roman" w:eastAsia="仿宋" w:cs="Times New Roman"/>
                <w:snapToGrid w:val="0"/>
                <w:color w:val="auto"/>
                <w:kern w:val="0"/>
                <w:sz w:val="24"/>
                <w:szCs w:val="24"/>
                <w:highlight w:val="none"/>
              </w:rPr>
              <w:t>万元，占总投资的</w:t>
            </w:r>
            <w:r>
              <w:rPr>
                <w:rFonts w:hint="eastAsia" w:eastAsia="仿宋" w:cs="Times New Roman"/>
                <w:snapToGrid w:val="0"/>
                <w:color w:val="auto"/>
                <w:kern w:val="0"/>
                <w:sz w:val="24"/>
                <w:szCs w:val="24"/>
                <w:highlight w:val="none"/>
                <w:lang w:val="en-US" w:eastAsia="zh-CN"/>
              </w:rPr>
              <w:t>11.21</w:t>
            </w:r>
            <w:r>
              <w:rPr>
                <w:rFonts w:hint="default" w:ascii="Times New Roman" w:hAnsi="Times New Roman" w:eastAsia="仿宋" w:cs="Times New Roman"/>
                <w:snapToGrid w:val="0"/>
                <w:color w:val="auto"/>
                <w:kern w:val="0"/>
                <w:sz w:val="24"/>
                <w:szCs w:val="24"/>
                <w:highlight w:val="none"/>
              </w:rPr>
              <w:t>％，见表5-</w:t>
            </w:r>
            <w:r>
              <w:rPr>
                <w:rFonts w:hint="eastAsia" w:eastAsia="仿宋" w:cs="Times New Roman"/>
                <w:snapToGrid w:val="0"/>
                <w:color w:val="auto"/>
                <w:kern w:val="0"/>
                <w:sz w:val="24"/>
                <w:szCs w:val="24"/>
                <w:highlight w:val="none"/>
                <w:lang w:val="en-US" w:eastAsia="zh-CN"/>
              </w:rPr>
              <w:t>2</w:t>
            </w:r>
            <w:r>
              <w:rPr>
                <w:rFonts w:hint="default" w:ascii="Times New Roman" w:hAnsi="Times New Roman" w:eastAsia="仿宋" w:cs="Times New Roman"/>
                <w:snapToGrid w:val="0"/>
                <w:color w:val="auto"/>
                <w:kern w:val="0"/>
                <w:sz w:val="24"/>
                <w:szCs w:val="24"/>
                <w:highlight w:val="none"/>
              </w:rPr>
              <w:t>。</w:t>
            </w:r>
          </w:p>
          <w:p>
            <w:pPr>
              <w:keepNext w:val="0"/>
              <w:keepLines w:val="0"/>
              <w:pageBreakBefore w:val="0"/>
              <w:widowControl w:val="0"/>
              <w:kinsoku/>
              <w:wordWrap/>
              <w:overflowPunct w:val="0"/>
              <w:topLinePunct w:val="0"/>
              <w:autoSpaceDE/>
              <w:autoSpaceDN/>
              <w:bidi w:val="0"/>
              <w:adjustRightInd w:val="0"/>
              <w:snapToGrid w:val="0"/>
              <w:spacing w:before="157" w:beforeLines="50" w:line="240" w:lineRule="exact"/>
              <w:ind w:firstLine="422"/>
              <w:jc w:val="center"/>
              <w:textAlignment w:val="auto"/>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表5-</w:t>
            </w:r>
            <w:r>
              <w:rPr>
                <w:rFonts w:hint="eastAsia" w:eastAsia="仿宋" w:cs="Times New Roman"/>
                <w:b/>
                <w:color w:val="auto"/>
                <w:sz w:val="21"/>
                <w:szCs w:val="21"/>
                <w:highlight w:val="none"/>
                <w:lang w:val="en-US" w:eastAsia="zh-CN"/>
              </w:rPr>
              <w:t>3</w:t>
            </w:r>
            <w:r>
              <w:rPr>
                <w:rFonts w:hint="default" w:ascii="Times New Roman" w:hAnsi="Times New Roman" w:eastAsia="仿宋" w:cs="Times New Roman"/>
                <w:b/>
                <w:color w:val="auto"/>
                <w:sz w:val="21"/>
                <w:szCs w:val="21"/>
                <w:highlight w:val="none"/>
              </w:rPr>
              <w:t>环保投资估算一览表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716"/>
              <w:gridCol w:w="3318"/>
              <w:gridCol w:w="1236"/>
              <w:gridCol w:w="1062"/>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项目阶段</w:t>
                  </w:r>
                </w:p>
              </w:tc>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项目</w:t>
                  </w:r>
                </w:p>
              </w:tc>
              <w:tc>
                <w:tcPr>
                  <w:tcW w:w="201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治理措施</w:t>
                  </w:r>
                </w:p>
              </w:tc>
              <w:tc>
                <w:tcPr>
                  <w:tcW w:w="751"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治理对象</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数量（规格）</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投资</w:t>
                  </w:r>
                </w:p>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35" w:type="pct"/>
                  <w:vMerge w:val="restart"/>
                  <w:vAlign w:val="center"/>
                </w:tcPr>
                <w:p>
                  <w:pPr>
                    <w:overflowPunct w:val="0"/>
                    <w:adjustRightInd w:val="0"/>
                    <w:snapToGrid w:val="0"/>
                    <w:spacing w:line="240" w:lineRule="auto"/>
                    <w:ind w:firstLine="0" w:firstLineChars="0"/>
                    <w:jc w:val="center"/>
                    <w:rPr>
                      <w:rFonts w:hint="eastAsia"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运营期</w:t>
                  </w:r>
                </w:p>
              </w:tc>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废气</w:t>
                  </w:r>
                </w:p>
              </w:tc>
              <w:tc>
                <w:tcPr>
                  <w:tcW w:w="201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color w:val="auto"/>
                      <w:position w:val="6"/>
                      <w:sz w:val="21"/>
                      <w:szCs w:val="21"/>
                      <w:highlight w:val="none"/>
                    </w:rPr>
                  </w:pPr>
                  <w:r>
                    <w:rPr>
                      <w:rFonts w:hint="default" w:ascii="Times New Roman" w:hAnsi="Times New Roman" w:eastAsia="仿宋" w:cs="Times New Roman"/>
                      <w:color w:val="auto"/>
                      <w:position w:val="6"/>
                      <w:sz w:val="21"/>
                      <w:szCs w:val="21"/>
                      <w:highlight w:val="none"/>
                    </w:rPr>
                    <w:t>矿石开采、装卸</w:t>
                  </w:r>
                  <w:r>
                    <w:rPr>
                      <w:rFonts w:hint="default" w:ascii="Times New Roman" w:hAnsi="Times New Roman" w:eastAsia="仿宋" w:cs="Times New Roman"/>
                      <w:color w:val="auto"/>
                      <w:position w:val="6"/>
                      <w:sz w:val="21"/>
                      <w:szCs w:val="21"/>
                      <w:highlight w:val="none"/>
                      <w:lang w:val="en-US" w:eastAsia="zh-CN"/>
                    </w:rPr>
                    <w:t>等</w:t>
                  </w:r>
                  <w:r>
                    <w:rPr>
                      <w:rFonts w:hint="default" w:ascii="Times New Roman" w:hAnsi="Times New Roman" w:eastAsia="仿宋" w:cs="Times New Roman"/>
                      <w:color w:val="auto"/>
                      <w:position w:val="6"/>
                      <w:sz w:val="21"/>
                      <w:szCs w:val="21"/>
                      <w:highlight w:val="none"/>
                    </w:rPr>
                    <w:t>过程采取雾炮机喷洒降尘措施；矿区运输道路每日洒水</w:t>
                  </w:r>
                  <w:r>
                    <w:rPr>
                      <w:rFonts w:hint="default" w:ascii="Times New Roman" w:hAnsi="Times New Roman" w:eastAsia="仿宋" w:cs="Times New Roman"/>
                      <w:color w:val="auto"/>
                      <w:position w:val="6"/>
                      <w:sz w:val="21"/>
                      <w:szCs w:val="21"/>
                      <w:highlight w:val="none"/>
                      <w:lang w:val="en-US" w:eastAsia="zh-CN"/>
                    </w:rPr>
                    <w:t>2</w:t>
                  </w:r>
                  <w:r>
                    <w:rPr>
                      <w:rFonts w:hint="default" w:ascii="Times New Roman" w:hAnsi="Times New Roman" w:eastAsia="仿宋" w:cs="Times New Roman"/>
                      <w:color w:val="auto"/>
                      <w:position w:val="6"/>
                      <w:sz w:val="21"/>
                      <w:szCs w:val="21"/>
                      <w:highlight w:val="none"/>
                    </w:rPr>
                    <w:t>次，运输车辆篷布遮盖，限速</w:t>
                  </w:r>
                  <w:r>
                    <w:rPr>
                      <w:rFonts w:hint="default" w:ascii="Times New Roman" w:hAnsi="Times New Roman" w:eastAsia="仿宋" w:cs="Times New Roman"/>
                      <w:color w:val="auto"/>
                      <w:position w:val="6"/>
                      <w:sz w:val="21"/>
                      <w:szCs w:val="21"/>
                      <w:highlight w:val="none"/>
                      <w:lang w:val="en-US" w:eastAsia="zh-CN"/>
                    </w:rPr>
                    <w:t>。</w:t>
                  </w:r>
                </w:p>
              </w:tc>
              <w:tc>
                <w:tcPr>
                  <w:tcW w:w="751"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rPr>
                    <w:t>粉尘</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rPr>
                    <w:t>雾炮机2台；洒水车1辆</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噪声</w:t>
                  </w:r>
                </w:p>
              </w:tc>
              <w:tc>
                <w:tcPr>
                  <w:tcW w:w="201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采用低噪声设备；高噪声设备采取密闭措施，安装消声、隔声、减震垫等，严格控制作业时间</w:t>
                  </w:r>
                </w:p>
              </w:tc>
              <w:tc>
                <w:tcPr>
                  <w:tcW w:w="751"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机械噪声</w:t>
                  </w:r>
                </w:p>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交通噪声</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kern w:val="2"/>
                      <w:sz w:val="21"/>
                      <w:szCs w:val="21"/>
                      <w:highlight w:val="none"/>
                      <w:lang w:val="en-US" w:eastAsia="zh-CN" w:bidi="ar-SA"/>
                    </w:rPr>
                  </w:pPr>
                  <w:r>
                    <w:rPr>
                      <w:rFonts w:hint="eastAsia" w:eastAsia="仿宋" w:cs="Times New Roman"/>
                      <w:bCs/>
                      <w:color w:val="auto"/>
                      <w:sz w:val="21"/>
                      <w:szCs w:val="21"/>
                      <w:highlight w:val="none"/>
                      <w:lang w:val="en-US" w:eastAsia="zh-CN"/>
                    </w:rPr>
                    <w:t>废水</w:t>
                  </w:r>
                </w:p>
              </w:tc>
              <w:tc>
                <w:tcPr>
                  <w:tcW w:w="201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kern w:val="2"/>
                      <w:sz w:val="21"/>
                      <w:szCs w:val="21"/>
                      <w:highlight w:val="none"/>
                      <w:lang w:val="en-US" w:eastAsia="zh-CN" w:bidi="ar-SA"/>
                    </w:rPr>
                  </w:pPr>
                  <w:r>
                    <w:rPr>
                      <w:rFonts w:hint="default" w:ascii="Times New Roman" w:hAnsi="Times New Roman" w:eastAsia="仿宋" w:cs="Times New Roman"/>
                      <w:bCs/>
                      <w:color w:val="auto"/>
                      <w:sz w:val="21"/>
                      <w:szCs w:val="21"/>
                      <w:highlight w:val="none"/>
                      <w:lang w:val="en-US" w:eastAsia="zh-CN"/>
                    </w:rPr>
                    <w:t>动式环保厕所</w:t>
                  </w:r>
                </w:p>
              </w:tc>
              <w:tc>
                <w:tcPr>
                  <w:tcW w:w="751"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kern w:val="2"/>
                      <w:sz w:val="21"/>
                      <w:szCs w:val="21"/>
                      <w:highlight w:val="none"/>
                      <w:lang w:val="en-US" w:eastAsia="zh-CN" w:bidi="ar-SA"/>
                    </w:rPr>
                  </w:pPr>
                  <w:r>
                    <w:rPr>
                      <w:rFonts w:hint="eastAsia" w:eastAsia="仿宋" w:cs="Times New Roman"/>
                      <w:bCs/>
                      <w:color w:val="auto"/>
                      <w:sz w:val="21"/>
                      <w:szCs w:val="21"/>
                      <w:highlight w:val="none"/>
                      <w:lang w:val="en-US" w:eastAsia="zh-CN"/>
                    </w:rPr>
                    <w:t>如厕废水</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kern w:val="2"/>
                      <w:sz w:val="21"/>
                      <w:szCs w:val="21"/>
                      <w:highlight w:val="none"/>
                      <w:lang w:val="en-US" w:eastAsia="zh-CN" w:bidi="ar-SA"/>
                    </w:rPr>
                  </w:pPr>
                  <w:r>
                    <w:rPr>
                      <w:rFonts w:hint="eastAsia" w:eastAsia="仿宋" w:cs="Times New Roman"/>
                      <w:bCs/>
                      <w:color w:val="auto"/>
                      <w:sz w:val="21"/>
                      <w:szCs w:val="21"/>
                      <w:highlight w:val="none"/>
                      <w:lang w:val="en-US" w:eastAsia="zh-CN"/>
                    </w:rPr>
                    <w:t>/</w:t>
                  </w:r>
                </w:p>
              </w:tc>
              <w:tc>
                <w:tcPr>
                  <w:tcW w:w="717" w:type="pct"/>
                  <w:vAlign w:val="center"/>
                </w:tcPr>
                <w:p>
                  <w:pPr>
                    <w:overflowPunct w:val="0"/>
                    <w:adjustRightInd w:val="0"/>
                    <w:snapToGrid w:val="0"/>
                    <w:spacing w:line="240" w:lineRule="auto"/>
                    <w:ind w:firstLine="0" w:firstLineChars="0"/>
                    <w:jc w:val="center"/>
                    <w:rPr>
                      <w:rFonts w:hint="eastAsia" w:ascii="Times New Roman" w:hAnsi="Times New Roman" w:eastAsia="仿宋" w:cs="Times New Roman"/>
                      <w:bCs/>
                      <w:color w:val="auto"/>
                      <w:kern w:val="2"/>
                      <w:sz w:val="21"/>
                      <w:szCs w:val="21"/>
                      <w:highlight w:val="none"/>
                      <w:lang w:val="en-US" w:eastAsia="zh-CN" w:bidi="ar-SA"/>
                    </w:rPr>
                  </w:pPr>
                  <w:r>
                    <w:rPr>
                      <w:rFonts w:hint="eastAsia" w:eastAsia="仿宋" w:cs="Times New Roman"/>
                      <w:bCs/>
                      <w:color w:val="auto"/>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eastAsia" w:eastAsia="仿宋" w:cs="Times New Roman"/>
                      <w:bCs/>
                      <w:color w:val="auto"/>
                      <w:sz w:val="21"/>
                      <w:szCs w:val="21"/>
                      <w:highlight w:val="none"/>
                      <w:lang w:val="en-US" w:eastAsia="zh-CN"/>
                    </w:rPr>
                  </w:pPr>
                </w:p>
              </w:tc>
              <w:tc>
                <w:tcPr>
                  <w:tcW w:w="435" w:type="pct"/>
                  <w:vAlign w:val="center"/>
                </w:tcPr>
                <w:p>
                  <w:pPr>
                    <w:overflowPunct w:val="0"/>
                    <w:adjustRightInd w:val="0"/>
                    <w:snapToGrid w:val="0"/>
                    <w:spacing w:line="240" w:lineRule="auto"/>
                    <w:ind w:firstLine="0" w:firstLineChars="0"/>
                    <w:jc w:val="center"/>
                    <w:rPr>
                      <w:rFonts w:hint="eastAsia"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固废</w:t>
                  </w:r>
                </w:p>
              </w:tc>
              <w:tc>
                <w:tcPr>
                  <w:tcW w:w="2016"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生活垃圾箱</w:t>
                  </w:r>
                </w:p>
              </w:tc>
              <w:tc>
                <w:tcPr>
                  <w:tcW w:w="751"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生活垃圾</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eastAsia="zh-CN"/>
                    </w:rPr>
                  </w:pPr>
                  <w:r>
                    <w:rPr>
                      <w:rFonts w:hint="default" w:ascii="Times New Roman" w:hAnsi="Times New Roman" w:eastAsia="仿宋" w:cs="Times New Roman"/>
                      <w:bCs/>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35" w:type="pct"/>
                  <w:vAlign w:val="center"/>
                </w:tcPr>
                <w:p>
                  <w:pPr>
                    <w:overflowPunct w:val="0"/>
                    <w:adjustRightInd w:val="0"/>
                    <w:snapToGrid w:val="0"/>
                    <w:spacing w:line="240" w:lineRule="auto"/>
                    <w:ind w:firstLine="0" w:firstLineChars="0"/>
                    <w:jc w:val="center"/>
                    <w:rPr>
                      <w:rFonts w:hint="eastAsia"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 xml:space="preserve">闭矿 </w:t>
                  </w:r>
                </w:p>
                <w:p>
                  <w:pPr>
                    <w:overflowPunct w:val="0"/>
                    <w:adjustRightInd w:val="0"/>
                    <w:snapToGrid w:val="0"/>
                    <w:spacing w:line="240" w:lineRule="auto"/>
                    <w:ind w:firstLine="0" w:firstLineChars="0"/>
                    <w:jc w:val="center"/>
                    <w:rPr>
                      <w:rFonts w:hint="eastAsia"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期</w:t>
                  </w:r>
                </w:p>
              </w:tc>
              <w:tc>
                <w:tcPr>
                  <w:tcW w:w="3847" w:type="pct"/>
                  <w:gridSpan w:val="4"/>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lang w:val="en-US" w:eastAsia="zh-CN"/>
                    </w:rPr>
                    <w:t>土地恢复：采用机械、人工等方式对采场边坡进行清理</w:t>
                  </w:r>
                  <w:r>
                    <w:rPr>
                      <w:rFonts w:hint="eastAsia" w:eastAsia="仿宋" w:cs="Times New Roman"/>
                      <w:bCs/>
                      <w:color w:val="auto"/>
                      <w:sz w:val="21"/>
                      <w:szCs w:val="21"/>
                      <w:highlight w:val="none"/>
                      <w:lang w:val="en-US" w:eastAsia="zh-CN"/>
                    </w:rPr>
                    <w:t>，同时对采坑边坡进行削坡处理，保证边坡稳定，防治水体流失加剧；矿山道路清理、覆土，基本恢复原有地形地貌。</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82" w:type="pct"/>
                  <w:gridSpan w:val="5"/>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合计</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31.85</w:t>
                  </w:r>
                </w:p>
              </w:tc>
            </w:tr>
          </w:tbl>
          <w:p>
            <w:pPr>
              <w:keepNext w:val="0"/>
              <w:keepLines w:val="0"/>
              <w:pageBreakBefore w:val="0"/>
              <w:widowControl w:val="0"/>
              <w:kinsoku/>
              <w:wordWrap/>
              <w:overflowPunct w:val="0"/>
              <w:topLinePunct w:val="0"/>
              <w:autoSpaceDE/>
              <w:autoSpaceDN/>
              <w:bidi w:val="0"/>
              <w:adjustRightInd w:val="0"/>
              <w:snapToGrid w:val="0"/>
              <w:spacing w:before="157" w:beforeLines="50"/>
              <w:ind w:firstLine="482"/>
              <w:textAlignment w:val="auto"/>
              <w:rPr>
                <w:rFonts w:hint="default" w:ascii="Times New Roman" w:hAnsi="Times New Roman" w:eastAsia="仿宋" w:cs="Times New Roman"/>
                <w:b/>
                <w:color w:val="auto"/>
                <w:kern w:val="0"/>
                <w:sz w:val="24"/>
                <w:highlight w:val="none"/>
              </w:rPr>
            </w:pPr>
            <w:r>
              <w:rPr>
                <w:rFonts w:hint="eastAsia" w:ascii="Times New Roman" w:hAnsi="Times New Roman" w:eastAsia="仿宋" w:cs="Times New Roman"/>
                <w:b/>
                <w:color w:val="auto"/>
                <w:kern w:val="0"/>
                <w:sz w:val="24"/>
                <w:highlight w:val="none"/>
                <w:lang w:val="en-US" w:eastAsia="zh-CN"/>
              </w:rPr>
              <w:t>2、</w:t>
            </w:r>
            <w:r>
              <w:rPr>
                <w:rFonts w:hint="default" w:ascii="Times New Roman" w:hAnsi="Times New Roman" w:eastAsia="仿宋" w:cs="Times New Roman"/>
                <w:b/>
                <w:color w:val="auto"/>
                <w:kern w:val="0"/>
                <w:sz w:val="24"/>
                <w:highlight w:val="none"/>
              </w:rPr>
              <w:t>竣工验收</w:t>
            </w:r>
          </w:p>
          <w:p>
            <w:pPr>
              <w:adjustRightInd w:val="0"/>
              <w:snapToGrid w:val="0"/>
              <w:ind w:firstLine="460" w:firstLineChars="200"/>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pacing w:val="10"/>
                <w:szCs w:val="21"/>
              </w:rPr>
              <w:t>建设单位在工程投产后试运行</w:t>
            </w:r>
            <w:r>
              <w:rPr>
                <w:rFonts w:hint="eastAsia" w:eastAsia="仿宋" w:cs="Times New Roman"/>
                <w:bCs/>
                <w:color w:val="auto"/>
                <w:spacing w:val="10"/>
                <w:szCs w:val="21"/>
                <w:lang w:val="en-US" w:eastAsia="zh-CN"/>
              </w:rPr>
              <w:t>3</w:t>
            </w:r>
            <w:r>
              <w:rPr>
                <w:rFonts w:hint="default" w:ascii="Times New Roman" w:hAnsi="Times New Roman" w:eastAsia="仿宋" w:cs="Times New Roman"/>
                <w:bCs/>
                <w:color w:val="auto"/>
                <w:spacing w:val="10"/>
                <w:szCs w:val="21"/>
              </w:rPr>
              <w:t>个月内，按照《建设项目环境保护设施竣工验收管理规定》中的有关要求，进行自主验收并向及时向项目环保主管部门备案。建设项目竣工环保“三同时”验收内容见下表。</w:t>
            </w:r>
          </w:p>
          <w:p>
            <w:pPr>
              <w:adjustRightInd w:val="0"/>
              <w:snapToGrid w:val="0"/>
              <w:ind w:firstLine="462" w:firstLineChars="200"/>
              <w:jc w:val="center"/>
              <w:rPr>
                <w:rFonts w:hint="default" w:ascii="Times New Roman" w:hAnsi="Times New Roman" w:eastAsia="仿宋" w:cs="Times New Roman"/>
                <w:b/>
                <w:bCs w:val="0"/>
                <w:color w:val="auto"/>
                <w:spacing w:val="10"/>
                <w:szCs w:val="21"/>
              </w:rPr>
            </w:pPr>
            <w:r>
              <w:rPr>
                <w:rFonts w:hint="default" w:ascii="Times New Roman" w:hAnsi="Times New Roman" w:eastAsia="仿宋" w:cs="Times New Roman"/>
                <w:b/>
                <w:bCs w:val="0"/>
                <w:color w:val="auto"/>
                <w:spacing w:val="10"/>
                <w:szCs w:val="21"/>
              </w:rPr>
              <w:t>表5-</w:t>
            </w:r>
            <w:r>
              <w:rPr>
                <w:rFonts w:hint="eastAsia" w:eastAsia="仿宋" w:cs="Times New Roman"/>
                <w:b/>
                <w:bCs w:val="0"/>
                <w:color w:val="auto"/>
                <w:spacing w:val="10"/>
                <w:szCs w:val="21"/>
                <w:lang w:val="en-US" w:eastAsia="zh-CN"/>
              </w:rPr>
              <w:t>4</w:t>
            </w:r>
            <w:r>
              <w:rPr>
                <w:rFonts w:hint="default" w:ascii="Times New Roman" w:hAnsi="Times New Roman" w:eastAsia="仿宋" w:cs="Times New Roman"/>
                <w:b/>
                <w:bCs w:val="0"/>
                <w:color w:val="auto"/>
                <w:spacing w:val="10"/>
                <w:szCs w:val="21"/>
              </w:rPr>
              <w:t>“三同时”验收一览表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3876"/>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9"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项目</w:t>
                  </w:r>
                </w:p>
              </w:tc>
              <w:tc>
                <w:tcPr>
                  <w:tcW w:w="235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ascii="Times New Roman" w:hAnsi="Times New Roman" w:eastAsia="仿宋" w:cs="Times New Roman"/>
                      <w:bCs/>
                      <w:color w:val="auto"/>
                      <w:sz w:val="21"/>
                      <w:szCs w:val="21"/>
                      <w:highlight w:val="none"/>
                      <w:lang w:val="en-US" w:eastAsia="zh-CN"/>
                    </w:rPr>
                    <w:t>建设内容</w:t>
                  </w:r>
                </w:p>
              </w:tc>
              <w:tc>
                <w:tcPr>
                  <w:tcW w:w="209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竣工验收要求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49"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废气</w:t>
                  </w:r>
                </w:p>
              </w:tc>
              <w:tc>
                <w:tcPr>
                  <w:tcW w:w="235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color w:val="auto"/>
                      <w:position w:val="6"/>
                      <w:sz w:val="21"/>
                      <w:szCs w:val="21"/>
                      <w:highlight w:val="none"/>
                    </w:rPr>
                  </w:pPr>
                  <w:r>
                    <w:rPr>
                      <w:rFonts w:hint="default" w:ascii="Times New Roman" w:hAnsi="Times New Roman" w:eastAsia="仿宋" w:cs="Times New Roman"/>
                      <w:color w:val="auto"/>
                      <w:position w:val="6"/>
                      <w:sz w:val="21"/>
                      <w:szCs w:val="21"/>
                      <w:highlight w:val="none"/>
                    </w:rPr>
                    <w:t>矿石开采、装卸</w:t>
                  </w:r>
                  <w:r>
                    <w:rPr>
                      <w:rFonts w:hint="default" w:ascii="Times New Roman" w:hAnsi="Times New Roman" w:eastAsia="仿宋" w:cs="Times New Roman"/>
                      <w:color w:val="auto"/>
                      <w:position w:val="6"/>
                      <w:sz w:val="21"/>
                      <w:szCs w:val="21"/>
                      <w:highlight w:val="none"/>
                      <w:lang w:val="en-US" w:eastAsia="zh-CN"/>
                    </w:rPr>
                    <w:t>等</w:t>
                  </w:r>
                  <w:r>
                    <w:rPr>
                      <w:rFonts w:hint="default" w:ascii="Times New Roman" w:hAnsi="Times New Roman" w:eastAsia="仿宋" w:cs="Times New Roman"/>
                      <w:color w:val="auto"/>
                      <w:position w:val="6"/>
                      <w:sz w:val="21"/>
                      <w:szCs w:val="21"/>
                      <w:highlight w:val="none"/>
                    </w:rPr>
                    <w:t>过程采取雾炮机喷洒降尘措施；矿区运输道路每日洒水</w:t>
                  </w:r>
                  <w:r>
                    <w:rPr>
                      <w:rFonts w:hint="default" w:ascii="Times New Roman" w:hAnsi="Times New Roman" w:eastAsia="仿宋" w:cs="Times New Roman"/>
                      <w:color w:val="auto"/>
                      <w:position w:val="6"/>
                      <w:sz w:val="21"/>
                      <w:szCs w:val="21"/>
                      <w:highlight w:val="none"/>
                      <w:lang w:val="en-US" w:eastAsia="zh-CN"/>
                    </w:rPr>
                    <w:t>2</w:t>
                  </w:r>
                  <w:r>
                    <w:rPr>
                      <w:rFonts w:hint="default" w:ascii="Times New Roman" w:hAnsi="Times New Roman" w:eastAsia="仿宋" w:cs="Times New Roman"/>
                      <w:color w:val="auto"/>
                      <w:position w:val="6"/>
                      <w:sz w:val="21"/>
                      <w:szCs w:val="21"/>
                      <w:highlight w:val="none"/>
                    </w:rPr>
                    <w:t>次，运输车辆篷布遮盖，限速</w:t>
                  </w:r>
                  <w:r>
                    <w:rPr>
                      <w:rFonts w:hint="default" w:ascii="Times New Roman" w:hAnsi="Times New Roman" w:eastAsia="仿宋" w:cs="Times New Roman"/>
                      <w:color w:val="auto"/>
                      <w:position w:val="6"/>
                      <w:sz w:val="21"/>
                      <w:szCs w:val="21"/>
                      <w:highlight w:val="none"/>
                      <w:lang w:val="en-US" w:eastAsia="zh-CN"/>
                    </w:rPr>
                    <w:t>。</w:t>
                  </w:r>
                </w:p>
              </w:tc>
              <w:tc>
                <w:tcPr>
                  <w:tcW w:w="209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喷淋设备、洒水设备是否设置完善；无组织粉尘排放满足《大气污染物综合排放标准》（GB16297-96）表</w:t>
                  </w:r>
                  <w:r>
                    <w:rPr>
                      <w:rFonts w:hint="eastAsia" w:ascii="Times New Roman" w:hAnsi="Times New Roman" w:eastAsia="仿宋" w:cs="Times New Roman"/>
                      <w:bCs/>
                      <w:color w:val="auto"/>
                      <w:sz w:val="21"/>
                      <w:szCs w:val="21"/>
                      <w:highlight w:val="none"/>
                      <w:lang w:val="en-US" w:eastAsia="zh-CN"/>
                    </w:rPr>
                    <w:t>2</w:t>
                  </w:r>
                  <w:r>
                    <w:rPr>
                      <w:rFonts w:hint="default" w:ascii="Times New Roman" w:hAnsi="Times New Roman" w:eastAsia="仿宋" w:cs="Times New Roman"/>
                      <w:bCs/>
                      <w:color w:val="auto"/>
                      <w:sz w:val="21"/>
                      <w:szCs w:val="21"/>
                      <w:highlight w:val="none"/>
                      <w:lang w:val="en-US" w:eastAsia="zh-CN"/>
                    </w:rPr>
                    <w:t>中无组织排放监控浓度限值。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49"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噪声</w:t>
                  </w:r>
                </w:p>
              </w:tc>
              <w:tc>
                <w:tcPr>
                  <w:tcW w:w="235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采用低噪声设备；高噪声设备采取密闭措施，安装消声、隔声、减震垫等，严格控制作业时间</w:t>
                  </w:r>
                </w:p>
              </w:tc>
              <w:tc>
                <w:tcPr>
                  <w:tcW w:w="209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《工业企业厂界环境噪声排放标准》（GB12348-2008）2类标准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49" w:type="pct"/>
                  <w:vAlign w:val="center"/>
                </w:tcPr>
                <w:p>
                  <w:pPr>
                    <w:overflowPunct w:val="0"/>
                    <w:adjustRightInd w:val="0"/>
                    <w:snapToGrid w:val="0"/>
                    <w:spacing w:line="240" w:lineRule="auto"/>
                    <w:ind w:firstLine="0" w:firstLineChars="0"/>
                    <w:jc w:val="center"/>
                    <w:rPr>
                      <w:rFonts w:hint="eastAsia"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固废</w:t>
                  </w:r>
                </w:p>
              </w:tc>
              <w:tc>
                <w:tcPr>
                  <w:tcW w:w="2355"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生活垃圾箱</w:t>
                  </w:r>
                  <w:r>
                    <w:rPr>
                      <w:rFonts w:hint="eastAsia" w:eastAsia="仿宋" w:cs="Times New Roman"/>
                      <w:bCs/>
                      <w:color w:val="auto"/>
                      <w:sz w:val="21"/>
                      <w:szCs w:val="21"/>
                      <w:highlight w:val="none"/>
                      <w:lang w:eastAsia="zh-CN"/>
                    </w:rPr>
                    <w:t>、</w:t>
                  </w:r>
                  <w:r>
                    <w:rPr>
                      <w:rFonts w:hint="eastAsia" w:eastAsia="仿宋" w:cs="Times New Roman"/>
                      <w:bCs/>
                      <w:color w:val="auto"/>
                      <w:sz w:val="21"/>
                      <w:szCs w:val="21"/>
                      <w:highlight w:val="none"/>
                      <w:lang w:val="en-US" w:eastAsia="zh-CN"/>
                    </w:rPr>
                    <w:t>防渗沉淀池的泥沙自然风干后定期回填至采坑</w:t>
                  </w:r>
                </w:p>
              </w:tc>
              <w:tc>
                <w:tcPr>
                  <w:tcW w:w="2095" w:type="pct"/>
                  <w:vAlign w:val="center"/>
                </w:tcPr>
                <w:p>
                  <w:pPr>
                    <w:pStyle w:val="11"/>
                    <w:overflowPunct w:val="0"/>
                    <w:adjustRightInd w:val="0"/>
                    <w:spacing w:after="0" w:line="240" w:lineRule="auto"/>
                    <w:ind w:left="0" w:leftChars="0" w:firstLine="0" w:firstLineChars="0"/>
                    <w:jc w:val="center"/>
                    <w:rPr>
                      <w:rFonts w:hint="eastAsia" w:ascii="Times New Roman" w:hAnsi="Times New Roman" w:eastAsia="仿宋" w:cs="Times New Roman"/>
                      <w:bCs/>
                      <w:color w:val="auto"/>
                      <w:sz w:val="21"/>
                      <w:szCs w:val="21"/>
                      <w:highlight w:val="none"/>
                      <w:lang w:eastAsia="zh-CN"/>
                    </w:rPr>
                  </w:pPr>
                  <w:r>
                    <w:rPr>
                      <w:rFonts w:hint="eastAsia" w:ascii="Times New Roman" w:hAnsi="Times New Roman" w:eastAsia="仿宋" w:cs="Times New Roman"/>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49"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生态</w:t>
                  </w:r>
                </w:p>
              </w:tc>
              <w:tc>
                <w:tcPr>
                  <w:tcW w:w="2355"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土地恢复：采用机械、人工等方式对采场边坡进行清理</w:t>
                  </w:r>
                  <w:r>
                    <w:rPr>
                      <w:rFonts w:hint="eastAsia" w:eastAsia="仿宋" w:cs="Times New Roman"/>
                      <w:bCs/>
                      <w:color w:val="auto"/>
                      <w:sz w:val="21"/>
                      <w:szCs w:val="21"/>
                      <w:highlight w:val="none"/>
                      <w:lang w:val="en-US" w:eastAsia="zh-CN"/>
                    </w:rPr>
                    <w:t>，同时对采坑边坡进行削坡处理，保证边坡稳定，防治水体流失加剧；矿山道路清理、覆土，基本恢复原有地形地貌。</w:t>
                  </w:r>
                </w:p>
              </w:tc>
              <w:tc>
                <w:tcPr>
                  <w:tcW w:w="2095"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开采活动破坏或废弃土地及时整治和生态恢复，符合矿山生态环境</w:t>
                  </w:r>
                </w:p>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保护与恢复治理相关要求，恢复加工区原有地貌景观</w:t>
                  </w:r>
                </w:p>
              </w:tc>
            </w:tr>
          </w:tbl>
          <w:p>
            <w:pPr>
              <w:adjustRightInd w:val="0"/>
              <w:snapToGrid w:val="0"/>
              <w:ind w:firstLine="0" w:firstLineChars="0"/>
              <w:rPr>
                <w:rFonts w:hint="default" w:ascii="Times New Roman" w:hAnsi="Times New Roman" w:eastAsia="仿宋" w:cs="Times New Roman"/>
                <w:bCs/>
                <w:color w:val="auto"/>
                <w:spacing w:val="10"/>
                <w:szCs w:val="21"/>
              </w:rPr>
            </w:pPr>
          </w:p>
        </w:tc>
      </w:tr>
    </w:tbl>
    <w:p>
      <w:pPr>
        <w:ind w:firstLine="420"/>
        <w:rPr>
          <w:rFonts w:hint="default" w:ascii="Times New Roman" w:hAnsi="Times New Roman" w:eastAsia="仿宋" w:cs="Times New Roman"/>
          <w:color w:val="auto"/>
        </w:rPr>
        <w:sectPr>
          <w:pgSz w:w="11907" w:h="16840"/>
          <w:pgMar w:top="1440" w:right="1797" w:bottom="1440" w:left="1797" w:header="851" w:footer="1077" w:gutter="0"/>
          <w:pgBorders>
            <w:top w:val="none" w:sz="0" w:space="0"/>
            <w:left w:val="none" w:sz="0" w:space="0"/>
            <w:bottom w:val="none" w:sz="0" w:space="0"/>
            <w:right w:val="none" w:sz="0" w:space="0"/>
          </w:pgBorders>
          <w:pgNumType w:fmt="numberInDash"/>
          <w:cols w:space="720" w:num="1"/>
          <w:docGrid w:linePitch="312" w:charSpace="0"/>
        </w:sectPr>
      </w:pPr>
    </w:p>
    <w:p>
      <w:pPr>
        <w:pStyle w:val="20"/>
        <w:spacing w:before="0" w:beforeAutospacing="0" w:after="0" w:afterAutospacing="0" w:line="240" w:lineRule="auto"/>
        <w:ind w:firstLine="0" w:firstLineChars="0"/>
        <w:jc w:val="center"/>
        <w:outlineLvl w:val="0"/>
        <w:rPr>
          <w:rFonts w:hint="default" w:ascii="Times New Roman" w:hAnsi="Times New Roman" w:eastAsia="仿宋" w:cs="Times New Roman"/>
          <w:b/>
          <w:bCs/>
          <w:snapToGrid w:val="0"/>
          <w:color w:val="auto"/>
          <w:sz w:val="30"/>
          <w:szCs w:val="30"/>
        </w:rPr>
      </w:pPr>
      <w:r>
        <w:rPr>
          <w:rFonts w:hint="default" w:ascii="Times New Roman" w:hAnsi="Times New Roman" w:eastAsia="仿宋" w:cs="Times New Roman"/>
          <w:b/>
          <w:bCs/>
          <w:snapToGrid w:val="0"/>
          <w:color w:val="auto"/>
          <w:sz w:val="30"/>
          <w:szCs w:val="30"/>
        </w:rPr>
        <w:t>六、生态环境保护措施监督检查清单</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982"/>
        <w:gridCol w:w="1116"/>
        <w:gridCol w:w="2144"/>
        <w:gridCol w:w="16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46" w:hRule="atLeast"/>
          <w:jc w:val="center"/>
        </w:trPr>
        <w:tc>
          <w:tcPr>
            <w:tcW w:w="979" w:type="pct"/>
            <w:vMerge w:val="restart"/>
            <w:tcBorders>
              <w:tl2br w:val="single" w:color="auto" w:sz="4" w:space="0"/>
            </w:tcBorders>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内容</w:t>
            </w:r>
          </w:p>
          <w:p>
            <w:pPr>
              <w:pStyle w:val="20"/>
              <w:adjustRightInd w:val="0"/>
              <w:snapToGrid w:val="0"/>
              <w:spacing w:before="0" w:beforeAutospacing="0" w:after="0" w:afterAutospacing="0" w:line="240" w:lineRule="auto"/>
              <w:ind w:firstLine="0" w:firstLineChars="0"/>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要素</w:t>
            </w:r>
          </w:p>
        </w:tc>
        <w:tc>
          <w:tcPr>
            <w:tcW w:w="1817" w:type="pct"/>
            <w:gridSpan w:val="2"/>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施工期</w:t>
            </w:r>
          </w:p>
        </w:tc>
        <w:tc>
          <w:tcPr>
            <w:tcW w:w="2203" w:type="pct"/>
            <w:gridSpan w:val="2"/>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79" w:type="pct"/>
            <w:vMerge w:val="continue"/>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p>
        </w:tc>
        <w:tc>
          <w:tcPr>
            <w:tcW w:w="1162" w:type="pct"/>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环境保护措施</w:t>
            </w:r>
          </w:p>
        </w:tc>
        <w:tc>
          <w:tcPr>
            <w:tcW w:w="654" w:type="pct"/>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验收要求</w:t>
            </w:r>
          </w:p>
        </w:tc>
        <w:tc>
          <w:tcPr>
            <w:tcW w:w="1257" w:type="pct"/>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环境保护措施</w:t>
            </w:r>
          </w:p>
        </w:tc>
        <w:tc>
          <w:tcPr>
            <w:tcW w:w="945" w:type="pct"/>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陆生生态</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限制施工车辆及人员活动范围，减少占地；尽量缩短施工期，减少水土流失；施工物料、堆土、施工作业面雨天遮盖，避免雨水冲刷产生水土流失；加强施工人员教育，减少占地和植被破坏</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恢复原有的地形地貌景观、恢复原土地利用功能</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color w:val="auto"/>
              </w:rPr>
              <w:t>严格限制开采机械设备和作业人员的活动范围，合理划定开采和活动范围，减少地表扰动面积；</w:t>
            </w:r>
            <w:r>
              <w:rPr>
                <w:rFonts w:hint="default" w:ascii="Times New Roman" w:hAnsi="Times New Roman" w:eastAsia="仿宋" w:cs="Times New Roman"/>
                <w:bCs/>
                <w:color w:val="auto"/>
                <w:spacing w:val="10"/>
                <w:szCs w:val="21"/>
              </w:rPr>
              <w:t>道路出入口竖立保护植被警示牌，提醒区内人员勿破坏植被；道路铺筑避开植被，车辆在指定道路上行驶，严禁随意行驶以防碾压植被；闭矿期土地复垦面积。</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恢复原有的地形地貌景观、恢复原土地利用功能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水生生态</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9"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地表水环境</w:t>
            </w:r>
          </w:p>
        </w:tc>
        <w:tc>
          <w:tcPr>
            <w:tcW w:w="1982"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施工废水经沉淀处理后回用于场地洒水降尘，不外排</w:t>
            </w:r>
          </w:p>
        </w:tc>
        <w:tc>
          <w:tcPr>
            <w:tcW w:w="1116"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w:t>
            </w:r>
          </w:p>
        </w:tc>
        <w:tc>
          <w:tcPr>
            <w:tcW w:w="2144"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项目</w:t>
            </w:r>
            <w:r>
              <w:rPr>
                <w:rFonts w:hint="default" w:ascii="Times New Roman" w:hAnsi="Times New Roman" w:eastAsia="仿宋" w:cs="Times New Roman"/>
                <w:color w:val="auto"/>
                <w:szCs w:val="21"/>
                <w:highlight w:val="none"/>
                <w:lang w:val="en-US" w:eastAsia="zh-CN"/>
              </w:rPr>
              <w:t>运营期</w:t>
            </w:r>
            <w:r>
              <w:rPr>
                <w:rFonts w:hint="default" w:ascii="Times New Roman" w:hAnsi="Times New Roman" w:eastAsia="仿宋" w:cs="Times New Roman"/>
                <w:color w:val="auto"/>
                <w:szCs w:val="21"/>
                <w:highlight w:val="none"/>
              </w:rPr>
              <w:t>不产生废水</w:t>
            </w:r>
            <w:r>
              <w:rPr>
                <w:rFonts w:hint="eastAsia" w:eastAsia="仿宋" w:cs="Times New Roman"/>
                <w:color w:val="auto"/>
                <w:szCs w:val="21"/>
                <w:highlight w:val="none"/>
                <w:lang w:eastAsia="zh-CN"/>
              </w:rPr>
              <w:t>；</w:t>
            </w:r>
            <w:r>
              <w:rPr>
                <w:rFonts w:hint="eastAsia" w:eastAsia="仿宋" w:cs="Times New Roman"/>
                <w:color w:val="auto"/>
                <w:szCs w:val="21"/>
                <w:highlight w:val="none"/>
                <w:lang w:val="en-US" w:eastAsia="zh-CN"/>
              </w:rPr>
              <w:t>施工人员如厕废水较少，现场设置移动式环保厕所供施工人员如厕使用。</w:t>
            </w:r>
          </w:p>
        </w:tc>
        <w:tc>
          <w:tcPr>
            <w:tcW w:w="1611"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不直接外排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地下水及土壤环境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声环境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合理安排布局，制定施工计划，禁止夜间施工，加强施工管理，必要时采取临时降噪措施</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选用低噪声设备，设备定期维护；减震、隔声；合理安排作业时间；合理设置运输路线</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达到《工业企业厂界环境噪声排放标准》（GB12348-2008）2类标准要求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振动</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大气环境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定期对施工场地进行洒水降尘，采用商品混凝土，对原辅材料、运输车辆采取密闭措施，加盖篷布等措施</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rPr>
              <w:t>洒降尘措施；矿区运输道路每日洒水</w:t>
            </w:r>
            <w:r>
              <w:rPr>
                <w:rFonts w:hint="eastAsia" w:ascii="Times New Roman" w:hAnsi="Times New Roman" w:eastAsia="仿宋" w:cs="Times New Roman"/>
                <w:color w:val="auto"/>
                <w:szCs w:val="21"/>
                <w:highlight w:val="none"/>
                <w:lang w:val="en-US" w:eastAsia="zh-CN"/>
              </w:rPr>
              <w:t>2</w:t>
            </w:r>
            <w:r>
              <w:rPr>
                <w:rFonts w:hint="default" w:ascii="Times New Roman" w:hAnsi="Times New Roman" w:eastAsia="仿宋" w:cs="Times New Roman"/>
                <w:color w:val="auto"/>
                <w:szCs w:val="21"/>
                <w:highlight w:val="none"/>
              </w:rPr>
              <w:t>次，运输车辆篷布遮盖，限速</w:t>
            </w:r>
            <w:r>
              <w:rPr>
                <w:rFonts w:hint="default" w:ascii="Times New Roman" w:hAnsi="Times New Roman" w:eastAsia="仿宋" w:cs="Times New Roman"/>
                <w:color w:val="auto"/>
                <w:szCs w:val="21"/>
                <w:highlight w:val="none"/>
                <w:lang w:val="en-US" w:eastAsia="zh-CN"/>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kern w:val="0"/>
                <w:szCs w:val="21"/>
                <w:highlight w:val="none"/>
              </w:rPr>
              <w:t>《大气污染物综合排放标准》（GB16297-1996）中新污染源无组织排放限值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9"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固体废物</w:t>
            </w:r>
          </w:p>
        </w:tc>
        <w:tc>
          <w:tcPr>
            <w:tcW w:w="1982"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生活垃圾统一收集后拉运附近乡镇垃圾中转站统一处理</w:t>
            </w:r>
            <w:r>
              <w:rPr>
                <w:rFonts w:hint="eastAsia" w:eastAsia="仿宋" w:cs="Times New Roman"/>
                <w:color w:val="auto"/>
                <w:szCs w:val="21"/>
                <w:highlight w:val="none"/>
                <w:lang w:eastAsia="zh-CN"/>
              </w:rPr>
              <w:t>。</w:t>
            </w:r>
          </w:p>
        </w:tc>
        <w:tc>
          <w:tcPr>
            <w:tcW w:w="1116"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w:t>
            </w:r>
          </w:p>
        </w:tc>
        <w:tc>
          <w:tcPr>
            <w:tcW w:w="2144"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rPr>
              <w:t>生活垃圾集中收集至</w:t>
            </w:r>
            <w:r>
              <w:rPr>
                <w:rFonts w:hint="default" w:ascii="Times New Roman" w:hAnsi="Times New Roman" w:eastAsia="仿宋" w:cs="Times New Roman"/>
                <w:color w:val="auto"/>
                <w:szCs w:val="21"/>
                <w:highlight w:val="none"/>
                <w:lang w:val="en-US" w:eastAsia="zh-CN"/>
              </w:rPr>
              <w:t>鄯善县垃圾填埋场处置</w:t>
            </w:r>
            <w:r>
              <w:rPr>
                <w:rFonts w:hint="eastAsia" w:eastAsia="仿宋" w:cs="Times New Roman"/>
                <w:color w:val="auto"/>
                <w:szCs w:val="21"/>
                <w:highlight w:val="none"/>
                <w:lang w:val="en-US" w:eastAsia="zh-CN"/>
              </w:rPr>
              <w:t>；防渗沉淀池的泥沙自然风干后定期回填至采坑。</w:t>
            </w:r>
          </w:p>
        </w:tc>
        <w:tc>
          <w:tcPr>
            <w:tcW w:w="1611"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妥善处置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电磁环境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环境风险</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rPr>
              <w:t>加强对边坡的检查，及时处理安全隐患；根据工程地质条件，必要时调整边坡角；经常检查边坡，发现隐患及时处理；建立全面严格的各项管理制度和安全管理体系；严格按生产工艺规程进行生产和操作</w:t>
            </w:r>
            <w:r>
              <w:rPr>
                <w:rFonts w:hint="default" w:ascii="Times New Roman" w:hAnsi="Times New Roman" w:eastAsia="仿宋" w:cs="Times New Roman"/>
                <w:color w:val="auto"/>
                <w:szCs w:val="21"/>
                <w:lang w:eastAsia="zh-CN"/>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环境监测</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监测项目：厂界噪声和粉尘；监测布点：</w:t>
            </w:r>
            <w:r>
              <w:rPr>
                <w:rFonts w:hint="default" w:ascii="Times New Roman" w:hAnsi="Times New Roman" w:eastAsia="仿宋" w:cs="Times New Roman"/>
                <w:color w:val="auto"/>
                <w:szCs w:val="21"/>
              </w:rPr>
              <w:fldChar w:fldCharType="begin"/>
            </w:r>
            <w:r>
              <w:rPr>
                <w:rFonts w:hint="default" w:ascii="Times New Roman" w:hAnsi="Times New Roman" w:eastAsia="仿宋" w:cs="Times New Roman"/>
                <w:color w:val="auto"/>
                <w:szCs w:val="21"/>
              </w:rPr>
              <w:instrText xml:space="preserve"> = 1 \* GB3 </w:instrText>
            </w:r>
            <w:r>
              <w:rPr>
                <w:rFonts w:hint="default" w:ascii="Times New Roman" w:hAnsi="Times New Roman" w:eastAsia="仿宋" w:cs="Times New Roman"/>
                <w:color w:val="auto"/>
                <w:szCs w:val="21"/>
              </w:rPr>
              <w:fldChar w:fldCharType="separate"/>
            </w:r>
            <w:r>
              <w:rPr>
                <w:rFonts w:hint="default" w:ascii="Times New Roman" w:hAnsi="Times New Roman" w:eastAsia="仿宋" w:cs="Times New Roman"/>
                <w:color w:val="auto"/>
                <w:szCs w:val="21"/>
              </w:rPr>
              <w:t>①</w:t>
            </w:r>
            <w:r>
              <w:rPr>
                <w:rFonts w:hint="default" w:ascii="Times New Roman" w:hAnsi="Times New Roman" w:eastAsia="仿宋" w:cs="Times New Roman"/>
                <w:color w:val="auto"/>
                <w:szCs w:val="21"/>
              </w:rPr>
              <w:fldChar w:fldCharType="end"/>
            </w:r>
            <w:r>
              <w:rPr>
                <w:rFonts w:hint="default" w:ascii="Times New Roman" w:hAnsi="Times New Roman" w:eastAsia="仿宋" w:cs="Times New Roman"/>
                <w:color w:val="auto"/>
                <w:szCs w:val="21"/>
              </w:rPr>
              <w:t>粉尘：开采区</w:t>
            </w:r>
            <w:r>
              <w:rPr>
                <w:rFonts w:hint="default" w:ascii="Times New Roman" w:hAnsi="Times New Roman" w:eastAsia="仿宋" w:cs="Times New Roman"/>
                <w:color w:val="auto"/>
                <w:szCs w:val="21"/>
                <w:lang w:val="en-US" w:eastAsia="zh-CN"/>
              </w:rPr>
              <w:t>场区</w:t>
            </w:r>
            <w:r>
              <w:rPr>
                <w:rFonts w:hint="default" w:ascii="Times New Roman" w:hAnsi="Times New Roman" w:eastAsia="仿宋" w:cs="Times New Roman"/>
                <w:color w:val="auto"/>
                <w:szCs w:val="21"/>
              </w:rPr>
              <w:t>下风向各布设1个监测点；</w:t>
            </w:r>
            <w:r>
              <w:rPr>
                <w:rFonts w:hint="default" w:ascii="Times New Roman" w:hAnsi="Times New Roman" w:eastAsia="仿宋" w:cs="Times New Roman"/>
                <w:color w:val="auto"/>
                <w:szCs w:val="21"/>
              </w:rPr>
              <w:fldChar w:fldCharType="begin"/>
            </w:r>
            <w:r>
              <w:rPr>
                <w:rFonts w:hint="default" w:ascii="Times New Roman" w:hAnsi="Times New Roman" w:eastAsia="仿宋" w:cs="Times New Roman"/>
                <w:color w:val="auto"/>
                <w:szCs w:val="21"/>
              </w:rPr>
              <w:instrText xml:space="preserve"> = 2 \* GB3 </w:instrText>
            </w:r>
            <w:r>
              <w:rPr>
                <w:rFonts w:hint="default" w:ascii="Times New Roman" w:hAnsi="Times New Roman" w:eastAsia="仿宋" w:cs="Times New Roman"/>
                <w:color w:val="auto"/>
                <w:szCs w:val="21"/>
              </w:rPr>
              <w:fldChar w:fldCharType="separate"/>
            </w:r>
            <w:r>
              <w:rPr>
                <w:rFonts w:hint="default" w:ascii="Times New Roman" w:hAnsi="Times New Roman" w:eastAsia="仿宋" w:cs="Times New Roman"/>
                <w:color w:val="auto"/>
                <w:szCs w:val="21"/>
              </w:rPr>
              <w:t>②</w:t>
            </w:r>
            <w:r>
              <w:rPr>
                <w:rFonts w:hint="default" w:ascii="Times New Roman" w:hAnsi="Times New Roman" w:eastAsia="仿宋" w:cs="Times New Roman"/>
                <w:color w:val="auto"/>
                <w:szCs w:val="21"/>
              </w:rPr>
              <w:fldChar w:fldCharType="end"/>
            </w:r>
            <w:r>
              <w:rPr>
                <w:rFonts w:hint="default" w:ascii="Times New Roman" w:hAnsi="Times New Roman" w:eastAsia="仿宋" w:cs="Times New Roman"/>
                <w:color w:val="auto"/>
                <w:szCs w:val="21"/>
              </w:rPr>
              <w:t>噪声：厂界四周各设1个噪声监测点。</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其他</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bl>
    <w:p>
      <w:pPr>
        <w:pStyle w:val="20"/>
        <w:spacing w:before="192" w:beforeLines="80" w:beforeAutospacing="0"/>
        <w:ind w:firstLine="600"/>
        <w:jc w:val="center"/>
        <w:outlineLvl w:val="0"/>
        <w:rPr>
          <w:rFonts w:hint="default" w:ascii="Times New Roman" w:hAnsi="Times New Roman" w:eastAsia="仿宋" w:cs="Times New Roman"/>
          <w:snapToGrid w:val="0"/>
          <w:color w:val="auto"/>
          <w:sz w:val="30"/>
          <w:szCs w:val="30"/>
        </w:rPr>
        <w:sectPr>
          <w:pgSz w:w="11906" w:h="16838"/>
          <w:pgMar w:top="1440" w:right="1800" w:bottom="1440" w:left="1800" w:header="851" w:footer="1077" w:gutter="0"/>
          <w:pgBorders>
            <w:top w:val="none" w:sz="0" w:space="0"/>
            <w:left w:val="none" w:sz="0" w:space="0"/>
            <w:bottom w:val="none" w:sz="0" w:space="0"/>
            <w:right w:val="none" w:sz="0" w:space="0"/>
          </w:pgBorders>
          <w:pgNumType w:fmt="numberInDash"/>
          <w:cols w:space="720" w:num="1"/>
          <w:docGrid w:linePitch="312" w:charSpace="0"/>
        </w:sectPr>
      </w:pPr>
    </w:p>
    <w:p>
      <w:pPr>
        <w:pStyle w:val="20"/>
        <w:spacing w:before="0" w:beforeAutospacing="0" w:after="0" w:afterAutospacing="0"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七、结论</w:t>
      </w:r>
    </w:p>
    <w:tbl>
      <w:tblPr>
        <w:tblStyle w:val="25"/>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92" w:hRule="atLeast"/>
          <w:jc w:val="center"/>
        </w:trPr>
        <w:tc>
          <w:tcPr>
            <w:tcW w:w="9289" w:type="dxa"/>
            <w:vAlign w:val="center"/>
          </w:tcPr>
          <w:p>
            <w:pPr>
              <w:keepNext w:val="0"/>
              <w:keepLines w:val="0"/>
              <w:pageBreakBefore w:val="0"/>
              <w:widowControl w:val="0"/>
              <w:kinsoku/>
              <w:wordWrap/>
              <w:overflowPunct/>
              <w:topLinePunct w:val="0"/>
              <w:autoSpaceDE/>
              <w:autoSpaceDN/>
              <w:bidi w:val="0"/>
              <w:adjustRightInd/>
              <w:snapToGrid/>
              <w:spacing w:before="157" w:beforeLines="50"/>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符合国家、地方的产业政策及相关规划政策，符合“三线一单”要求，选址合理，各项污染物能够稳定达标排放，在严格落实本次评价提出的生态环境保护措施和污染治理措施后，项目运行期间对区域环境影响不大。</w:t>
            </w:r>
          </w:p>
          <w:p>
            <w:pPr>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从环境保护角度来看，本项目的建设是可行的。</w:t>
            </w: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0" w:firstLineChars="0"/>
              <w:rPr>
                <w:rFonts w:hint="default" w:ascii="Times New Roman" w:hAnsi="Times New Roman" w:eastAsia="仿宋" w:cs="Times New Roman"/>
                <w:color w:val="auto"/>
              </w:rPr>
            </w:pPr>
          </w:p>
        </w:tc>
      </w:tr>
    </w:tbl>
    <w:p>
      <w:pPr>
        <w:adjustRightInd w:val="0"/>
        <w:snapToGrid w:val="0"/>
        <w:spacing w:before="192" w:beforeLines="80"/>
        <w:ind w:firstLine="0" w:firstLineChars="0"/>
        <w:rPr>
          <w:rFonts w:hint="default" w:ascii="Times New Roman" w:hAnsi="Times New Roman" w:eastAsia="仿宋" w:cs="Times New Roman"/>
          <w:color w:val="auto"/>
        </w:rPr>
        <w:sectPr>
          <w:pgSz w:w="11906" w:h="16838"/>
          <w:pgMar w:top="1440" w:right="1800" w:bottom="1440" w:left="1800" w:header="851" w:footer="1077" w:gutter="0"/>
          <w:pgBorders>
            <w:top w:val="none" w:sz="0" w:space="0"/>
            <w:left w:val="none" w:sz="0" w:space="0"/>
            <w:bottom w:val="none" w:sz="0" w:space="0"/>
            <w:right w:val="none" w:sz="0" w:space="0"/>
          </w:pgBorders>
          <w:pgNumType w:fmt="numberInDash"/>
          <w:cols w:space="720" w:num="1"/>
          <w:docGrid w:linePitch="312" w:charSpace="0"/>
        </w:sectPr>
      </w:pPr>
    </w:p>
    <w:p>
      <w:pPr>
        <w:pStyle w:val="34"/>
        <w:rPr>
          <w:rFonts w:hint="default" w:ascii="Times New Roman" w:hAnsi="Times New Roman" w:eastAsia="仿宋" w:cs="Times New Roman"/>
          <w:color w:val="auto"/>
          <w:lang w:val="en-US" w:eastAsia="zh-CN"/>
        </w:rPr>
      </w:pPr>
    </w:p>
    <w:sectPr>
      <w:footerReference r:id="rId11" w:type="default"/>
      <w:pgSz w:w="11906" w:h="16838"/>
      <w:pgMar w:top="1440" w:right="1800" w:bottom="1440" w:left="1800" w:header="851" w:footer="1077" w:gutter="0"/>
      <w:pgBorders>
        <w:top w:val="none" w:sz="0" w:space="0"/>
        <w:left w:val="none" w:sz="0" w:space="0"/>
        <w:bottom w:val="none" w:sz="0" w:space="0"/>
        <w:right w:val="none" w:sz="0" w:space="0"/>
      </w:pgBorders>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43"/>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both"/>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422"/>
        <w:tab w:val="clear" w:pos="4153"/>
      </w:tabs>
      <w:ind w:right="360" w:firstLine="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88" w:lineRule="auto"/>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91DA8"/>
    <w:multiLevelType w:val="singleLevel"/>
    <w:tmpl w:val="F8F91DA8"/>
    <w:lvl w:ilvl="0" w:tentative="0">
      <w:start w:val="17"/>
      <w:numFmt w:val="decimal"/>
      <w:suff w:val="nothing"/>
      <w:lvlText w:val="%1、"/>
      <w:lvlJc w:val="left"/>
    </w:lvl>
  </w:abstractNum>
  <w:abstractNum w:abstractNumId="1">
    <w:nsid w:val="303B7C18"/>
    <w:multiLevelType w:val="singleLevel"/>
    <w:tmpl w:val="303B7C18"/>
    <w:lvl w:ilvl="0" w:tentative="0">
      <w:start w:val="2"/>
      <w:numFmt w:val="decimal"/>
      <w:suff w:val="nothing"/>
      <w:lvlText w:val="%1、"/>
      <w:lvlJc w:val="left"/>
    </w:lvl>
  </w:abstractNum>
  <w:abstractNum w:abstractNumId="2">
    <w:nsid w:val="38266E16"/>
    <w:multiLevelType w:val="singleLevel"/>
    <w:tmpl w:val="38266E16"/>
    <w:lvl w:ilvl="0" w:tentative="0">
      <w:start w:val="12"/>
      <w:numFmt w:val="decimal"/>
      <w:suff w:val="nothing"/>
      <w:lvlText w:val="%1、"/>
      <w:lvlJc w:val="left"/>
    </w:lvl>
  </w:abstractNum>
  <w:abstractNum w:abstractNumId="3">
    <w:nsid w:val="3CEF69A7"/>
    <w:multiLevelType w:val="singleLevel"/>
    <w:tmpl w:val="3CEF69A7"/>
    <w:lvl w:ilvl="0" w:tentative="0">
      <w:start w:val="8"/>
      <w:numFmt w:val="decimal"/>
      <w:suff w:val="nothing"/>
      <w:lvlText w:val="%1、"/>
      <w:lvlJc w:val="left"/>
    </w:lvl>
  </w:abstractNum>
  <w:abstractNum w:abstractNumId="4">
    <w:nsid w:val="4AC7D6EE"/>
    <w:multiLevelType w:val="singleLevel"/>
    <w:tmpl w:val="4AC7D6EE"/>
    <w:lvl w:ilvl="0" w:tentative="0">
      <w:start w:val="5"/>
      <w:numFmt w:val="decimal"/>
      <w:suff w:val="nothing"/>
      <w:lvlText w:val="（%1）"/>
      <w:lvlJc w:val="left"/>
    </w:lvl>
  </w:abstractNum>
  <w:abstractNum w:abstractNumId="5">
    <w:nsid w:val="67461E50"/>
    <w:multiLevelType w:val="singleLevel"/>
    <w:tmpl w:val="67461E50"/>
    <w:lvl w:ilvl="0" w:tentative="0">
      <w:start w:val="2"/>
      <w:numFmt w:val="decimal"/>
      <w:suff w:val="nothing"/>
      <w:lvlText w:val="%1、"/>
      <w:lvlJc w:val="left"/>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NmU3NGQ4MjYwMjAxODY5NmFjYWQxN2IzMDdlNDUifQ=="/>
  </w:docVars>
  <w:rsids>
    <w:rsidRoot w:val="00A14947"/>
    <w:rsid w:val="00001CED"/>
    <w:rsid w:val="00001E67"/>
    <w:rsid w:val="00003CD8"/>
    <w:rsid w:val="00014965"/>
    <w:rsid w:val="0001523A"/>
    <w:rsid w:val="00016ECB"/>
    <w:rsid w:val="000269F6"/>
    <w:rsid w:val="00031939"/>
    <w:rsid w:val="00032D25"/>
    <w:rsid w:val="00040835"/>
    <w:rsid w:val="0005219D"/>
    <w:rsid w:val="0005568F"/>
    <w:rsid w:val="0006153D"/>
    <w:rsid w:val="00061B1F"/>
    <w:rsid w:val="000664DB"/>
    <w:rsid w:val="0007127D"/>
    <w:rsid w:val="000717FE"/>
    <w:rsid w:val="00071AE5"/>
    <w:rsid w:val="00074783"/>
    <w:rsid w:val="000758F3"/>
    <w:rsid w:val="000801E0"/>
    <w:rsid w:val="00082A29"/>
    <w:rsid w:val="0008331D"/>
    <w:rsid w:val="00083C18"/>
    <w:rsid w:val="00092899"/>
    <w:rsid w:val="000A178E"/>
    <w:rsid w:val="000A557E"/>
    <w:rsid w:val="000B058F"/>
    <w:rsid w:val="000B693F"/>
    <w:rsid w:val="000C09AC"/>
    <w:rsid w:val="000C0A63"/>
    <w:rsid w:val="000C437E"/>
    <w:rsid w:val="000C49A3"/>
    <w:rsid w:val="000E3F5A"/>
    <w:rsid w:val="000E5F16"/>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7A07"/>
    <w:rsid w:val="0017046A"/>
    <w:rsid w:val="001704A3"/>
    <w:rsid w:val="0017504D"/>
    <w:rsid w:val="00177422"/>
    <w:rsid w:val="00184F10"/>
    <w:rsid w:val="00185546"/>
    <w:rsid w:val="001870DB"/>
    <w:rsid w:val="0019146B"/>
    <w:rsid w:val="00194398"/>
    <w:rsid w:val="001A7D2A"/>
    <w:rsid w:val="001B574C"/>
    <w:rsid w:val="001C0AF9"/>
    <w:rsid w:val="001C155A"/>
    <w:rsid w:val="001C48C0"/>
    <w:rsid w:val="001D6726"/>
    <w:rsid w:val="001D7B7E"/>
    <w:rsid w:val="001F3347"/>
    <w:rsid w:val="001F4440"/>
    <w:rsid w:val="001F69E4"/>
    <w:rsid w:val="00206A65"/>
    <w:rsid w:val="00212D31"/>
    <w:rsid w:val="002130C7"/>
    <w:rsid w:val="002218A8"/>
    <w:rsid w:val="0022306D"/>
    <w:rsid w:val="00226574"/>
    <w:rsid w:val="002278EC"/>
    <w:rsid w:val="002357C7"/>
    <w:rsid w:val="002367C4"/>
    <w:rsid w:val="0025679E"/>
    <w:rsid w:val="0025761E"/>
    <w:rsid w:val="00260C68"/>
    <w:rsid w:val="002648B0"/>
    <w:rsid w:val="00275271"/>
    <w:rsid w:val="0027535E"/>
    <w:rsid w:val="00275AA6"/>
    <w:rsid w:val="00280737"/>
    <w:rsid w:val="002807D5"/>
    <w:rsid w:val="00282CCD"/>
    <w:rsid w:val="002A168C"/>
    <w:rsid w:val="002A2C48"/>
    <w:rsid w:val="002A3EED"/>
    <w:rsid w:val="002A4A39"/>
    <w:rsid w:val="002A5A17"/>
    <w:rsid w:val="002A6425"/>
    <w:rsid w:val="002A75BC"/>
    <w:rsid w:val="002B49E2"/>
    <w:rsid w:val="002B7B00"/>
    <w:rsid w:val="002B7C44"/>
    <w:rsid w:val="002C1388"/>
    <w:rsid w:val="002C14B8"/>
    <w:rsid w:val="002C3C6A"/>
    <w:rsid w:val="002D42DB"/>
    <w:rsid w:val="002E1F3A"/>
    <w:rsid w:val="002E298A"/>
    <w:rsid w:val="002F02A4"/>
    <w:rsid w:val="002F272B"/>
    <w:rsid w:val="002F7C6D"/>
    <w:rsid w:val="003027E4"/>
    <w:rsid w:val="0030332C"/>
    <w:rsid w:val="00312014"/>
    <w:rsid w:val="00312296"/>
    <w:rsid w:val="0031340E"/>
    <w:rsid w:val="00316464"/>
    <w:rsid w:val="0032073A"/>
    <w:rsid w:val="00321D8E"/>
    <w:rsid w:val="00334996"/>
    <w:rsid w:val="00336969"/>
    <w:rsid w:val="00336C52"/>
    <w:rsid w:val="00336CD3"/>
    <w:rsid w:val="00341B3E"/>
    <w:rsid w:val="00341B42"/>
    <w:rsid w:val="00345154"/>
    <w:rsid w:val="0034560E"/>
    <w:rsid w:val="00350523"/>
    <w:rsid w:val="00352975"/>
    <w:rsid w:val="00356868"/>
    <w:rsid w:val="0036485B"/>
    <w:rsid w:val="00371A72"/>
    <w:rsid w:val="00373B0D"/>
    <w:rsid w:val="00376988"/>
    <w:rsid w:val="00381A72"/>
    <w:rsid w:val="0039541D"/>
    <w:rsid w:val="003A1948"/>
    <w:rsid w:val="003B152A"/>
    <w:rsid w:val="003B545B"/>
    <w:rsid w:val="003D102E"/>
    <w:rsid w:val="003D3EE9"/>
    <w:rsid w:val="003E7681"/>
    <w:rsid w:val="003F0809"/>
    <w:rsid w:val="003F611C"/>
    <w:rsid w:val="003F755C"/>
    <w:rsid w:val="00406F01"/>
    <w:rsid w:val="00411B36"/>
    <w:rsid w:val="004121D7"/>
    <w:rsid w:val="00414708"/>
    <w:rsid w:val="00416D50"/>
    <w:rsid w:val="00417772"/>
    <w:rsid w:val="00420E6A"/>
    <w:rsid w:val="00433CA9"/>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96244"/>
    <w:rsid w:val="004A0EB4"/>
    <w:rsid w:val="004A3823"/>
    <w:rsid w:val="004A59BB"/>
    <w:rsid w:val="004B43A3"/>
    <w:rsid w:val="004B4C49"/>
    <w:rsid w:val="004B58A5"/>
    <w:rsid w:val="004B63D9"/>
    <w:rsid w:val="004B73C3"/>
    <w:rsid w:val="004C0882"/>
    <w:rsid w:val="004C3F6E"/>
    <w:rsid w:val="004C4699"/>
    <w:rsid w:val="004C55B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54A7B"/>
    <w:rsid w:val="0055572C"/>
    <w:rsid w:val="0056064F"/>
    <w:rsid w:val="00561B84"/>
    <w:rsid w:val="00571D98"/>
    <w:rsid w:val="005720AE"/>
    <w:rsid w:val="0058030D"/>
    <w:rsid w:val="00582045"/>
    <w:rsid w:val="00584C86"/>
    <w:rsid w:val="00590AE3"/>
    <w:rsid w:val="005918F1"/>
    <w:rsid w:val="005A06B7"/>
    <w:rsid w:val="005A1759"/>
    <w:rsid w:val="005B3B4F"/>
    <w:rsid w:val="005D0369"/>
    <w:rsid w:val="005D53FE"/>
    <w:rsid w:val="005D7A0F"/>
    <w:rsid w:val="005E0438"/>
    <w:rsid w:val="005E124C"/>
    <w:rsid w:val="005E1791"/>
    <w:rsid w:val="005E2CE6"/>
    <w:rsid w:val="005E6324"/>
    <w:rsid w:val="005F228B"/>
    <w:rsid w:val="005F29CD"/>
    <w:rsid w:val="005F4DFB"/>
    <w:rsid w:val="005F6CC0"/>
    <w:rsid w:val="00603E5B"/>
    <w:rsid w:val="00604BC8"/>
    <w:rsid w:val="00615B4C"/>
    <w:rsid w:val="00615B5D"/>
    <w:rsid w:val="0062146F"/>
    <w:rsid w:val="006343AF"/>
    <w:rsid w:val="0063634A"/>
    <w:rsid w:val="00640D55"/>
    <w:rsid w:val="0064250D"/>
    <w:rsid w:val="006535EB"/>
    <w:rsid w:val="0066156E"/>
    <w:rsid w:val="00663016"/>
    <w:rsid w:val="00674605"/>
    <w:rsid w:val="006748B8"/>
    <w:rsid w:val="0068535B"/>
    <w:rsid w:val="0068736E"/>
    <w:rsid w:val="0069290A"/>
    <w:rsid w:val="00697032"/>
    <w:rsid w:val="006975AC"/>
    <w:rsid w:val="006A15FB"/>
    <w:rsid w:val="006A72BF"/>
    <w:rsid w:val="006B332A"/>
    <w:rsid w:val="006B33BD"/>
    <w:rsid w:val="006C3F75"/>
    <w:rsid w:val="006D170E"/>
    <w:rsid w:val="006D3CAF"/>
    <w:rsid w:val="006E06AF"/>
    <w:rsid w:val="006F1789"/>
    <w:rsid w:val="00706C5D"/>
    <w:rsid w:val="007118E6"/>
    <w:rsid w:val="007225C9"/>
    <w:rsid w:val="00735CD7"/>
    <w:rsid w:val="00746919"/>
    <w:rsid w:val="00754034"/>
    <w:rsid w:val="00754BF1"/>
    <w:rsid w:val="00755A30"/>
    <w:rsid w:val="00755E1C"/>
    <w:rsid w:val="00756556"/>
    <w:rsid w:val="0076132B"/>
    <w:rsid w:val="007623AE"/>
    <w:rsid w:val="00770B19"/>
    <w:rsid w:val="00774FA0"/>
    <w:rsid w:val="00776620"/>
    <w:rsid w:val="00777B6D"/>
    <w:rsid w:val="00782E18"/>
    <w:rsid w:val="00784855"/>
    <w:rsid w:val="00784F39"/>
    <w:rsid w:val="0078545C"/>
    <w:rsid w:val="007858E8"/>
    <w:rsid w:val="007906C4"/>
    <w:rsid w:val="007940EA"/>
    <w:rsid w:val="007967E8"/>
    <w:rsid w:val="007A63F2"/>
    <w:rsid w:val="007B68DE"/>
    <w:rsid w:val="007C1857"/>
    <w:rsid w:val="007C514F"/>
    <w:rsid w:val="007D0F95"/>
    <w:rsid w:val="007D388C"/>
    <w:rsid w:val="007D7ECB"/>
    <w:rsid w:val="007E25A1"/>
    <w:rsid w:val="007E4BD2"/>
    <w:rsid w:val="007E7145"/>
    <w:rsid w:val="007F3916"/>
    <w:rsid w:val="00801179"/>
    <w:rsid w:val="00802479"/>
    <w:rsid w:val="00805372"/>
    <w:rsid w:val="00805B7B"/>
    <w:rsid w:val="008064E1"/>
    <w:rsid w:val="008124AE"/>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3C50"/>
    <w:rsid w:val="00894285"/>
    <w:rsid w:val="00894386"/>
    <w:rsid w:val="008A1921"/>
    <w:rsid w:val="008A40AE"/>
    <w:rsid w:val="008A4E19"/>
    <w:rsid w:val="008A67C5"/>
    <w:rsid w:val="008B22E1"/>
    <w:rsid w:val="008B3C78"/>
    <w:rsid w:val="008B4AE9"/>
    <w:rsid w:val="008C30AD"/>
    <w:rsid w:val="008D068E"/>
    <w:rsid w:val="008D0F7A"/>
    <w:rsid w:val="008D3490"/>
    <w:rsid w:val="008D63BE"/>
    <w:rsid w:val="008E0CFF"/>
    <w:rsid w:val="008E5D6B"/>
    <w:rsid w:val="008E689B"/>
    <w:rsid w:val="008E76F0"/>
    <w:rsid w:val="008E7C2A"/>
    <w:rsid w:val="008F15FE"/>
    <w:rsid w:val="008F2A94"/>
    <w:rsid w:val="008F5187"/>
    <w:rsid w:val="008F709C"/>
    <w:rsid w:val="0090312B"/>
    <w:rsid w:val="00904961"/>
    <w:rsid w:val="00912EF7"/>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A0F3B"/>
    <w:rsid w:val="009A72C7"/>
    <w:rsid w:val="009B0897"/>
    <w:rsid w:val="009C5C23"/>
    <w:rsid w:val="009D0852"/>
    <w:rsid w:val="009D1FBF"/>
    <w:rsid w:val="009D3200"/>
    <w:rsid w:val="009D5F01"/>
    <w:rsid w:val="009E399C"/>
    <w:rsid w:val="009E43C1"/>
    <w:rsid w:val="009E63A7"/>
    <w:rsid w:val="009E7E95"/>
    <w:rsid w:val="009F116F"/>
    <w:rsid w:val="009F329E"/>
    <w:rsid w:val="009F7ED3"/>
    <w:rsid w:val="00A02645"/>
    <w:rsid w:val="00A03607"/>
    <w:rsid w:val="00A047FF"/>
    <w:rsid w:val="00A04FEF"/>
    <w:rsid w:val="00A122CD"/>
    <w:rsid w:val="00A12A32"/>
    <w:rsid w:val="00A14248"/>
    <w:rsid w:val="00A14947"/>
    <w:rsid w:val="00A23DC5"/>
    <w:rsid w:val="00A333FD"/>
    <w:rsid w:val="00A34028"/>
    <w:rsid w:val="00A35568"/>
    <w:rsid w:val="00A36646"/>
    <w:rsid w:val="00A37056"/>
    <w:rsid w:val="00A4358F"/>
    <w:rsid w:val="00A46F67"/>
    <w:rsid w:val="00A4795E"/>
    <w:rsid w:val="00A54AA1"/>
    <w:rsid w:val="00A568FF"/>
    <w:rsid w:val="00A61496"/>
    <w:rsid w:val="00A61833"/>
    <w:rsid w:val="00A624C6"/>
    <w:rsid w:val="00A63CEC"/>
    <w:rsid w:val="00A7031E"/>
    <w:rsid w:val="00A728B1"/>
    <w:rsid w:val="00A763DE"/>
    <w:rsid w:val="00A803D6"/>
    <w:rsid w:val="00A81282"/>
    <w:rsid w:val="00A8713F"/>
    <w:rsid w:val="00A91146"/>
    <w:rsid w:val="00A91167"/>
    <w:rsid w:val="00A9171C"/>
    <w:rsid w:val="00A92FFD"/>
    <w:rsid w:val="00A95975"/>
    <w:rsid w:val="00A9708D"/>
    <w:rsid w:val="00AA2C17"/>
    <w:rsid w:val="00AA4172"/>
    <w:rsid w:val="00AB1914"/>
    <w:rsid w:val="00AB5330"/>
    <w:rsid w:val="00AB58E0"/>
    <w:rsid w:val="00AB7747"/>
    <w:rsid w:val="00AC2532"/>
    <w:rsid w:val="00AD1507"/>
    <w:rsid w:val="00AD5A70"/>
    <w:rsid w:val="00AD738B"/>
    <w:rsid w:val="00AE1BF4"/>
    <w:rsid w:val="00AE5D97"/>
    <w:rsid w:val="00AE6794"/>
    <w:rsid w:val="00B01110"/>
    <w:rsid w:val="00B02262"/>
    <w:rsid w:val="00B03CEC"/>
    <w:rsid w:val="00B1209F"/>
    <w:rsid w:val="00B12AD0"/>
    <w:rsid w:val="00B24F30"/>
    <w:rsid w:val="00B31ABF"/>
    <w:rsid w:val="00B335AE"/>
    <w:rsid w:val="00B37CE1"/>
    <w:rsid w:val="00B40ACF"/>
    <w:rsid w:val="00B42B81"/>
    <w:rsid w:val="00B46BAA"/>
    <w:rsid w:val="00B50B5F"/>
    <w:rsid w:val="00B52A0F"/>
    <w:rsid w:val="00B54128"/>
    <w:rsid w:val="00B543BF"/>
    <w:rsid w:val="00B55826"/>
    <w:rsid w:val="00B60426"/>
    <w:rsid w:val="00B622DD"/>
    <w:rsid w:val="00B63522"/>
    <w:rsid w:val="00B63F0D"/>
    <w:rsid w:val="00B73B67"/>
    <w:rsid w:val="00B76F1D"/>
    <w:rsid w:val="00B92A19"/>
    <w:rsid w:val="00B937BA"/>
    <w:rsid w:val="00B9544C"/>
    <w:rsid w:val="00BA29E9"/>
    <w:rsid w:val="00BB3618"/>
    <w:rsid w:val="00BC0C9E"/>
    <w:rsid w:val="00BC32DC"/>
    <w:rsid w:val="00BD0F41"/>
    <w:rsid w:val="00BD1B51"/>
    <w:rsid w:val="00BD47F6"/>
    <w:rsid w:val="00BE312D"/>
    <w:rsid w:val="00BE3FCA"/>
    <w:rsid w:val="00BF0FFD"/>
    <w:rsid w:val="00C05719"/>
    <w:rsid w:val="00C07B9F"/>
    <w:rsid w:val="00C10578"/>
    <w:rsid w:val="00C17D62"/>
    <w:rsid w:val="00C21FDC"/>
    <w:rsid w:val="00C24EE7"/>
    <w:rsid w:val="00C2596A"/>
    <w:rsid w:val="00C271BE"/>
    <w:rsid w:val="00C27425"/>
    <w:rsid w:val="00C3144C"/>
    <w:rsid w:val="00C328FE"/>
    <w:rsid w:val="00C33A05"/>
    <w:rsid w:val="00C42500"/>
    <w:rsid w:val="00C4409D"/>
    <w:rsid w:val="00C455BE"/>
    <w:rsid w:val="00C470B8"/>
    <w:rsid w:val="00C51E5F"/>
    <w:rsid w:val="00C53C41"/>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128B6"/>
    <w:rsid w:val="00D15727"/>
    <w:rsid w:val="00D16332"/>
    <w:rsid w:val="00D24972"/>
    <w:rsid w:val="00D2515E"/>
    <w:rsid w:val="00D308ED"/>
    <w:rsid w:val="00D37059"/>
    <w:rsid w:val="00D42B8B"/>
    <w:rsid w:val="00D56178"/>
    <w:rsid w:val="00D56CF0"/>
    <w:rsid w:val="00D56F5C"/>
    <w:rsid w:val="00D704B1"/>
    <w:rsid w:val="00D70B63"/>
    <w:rsid w:val="00D72B92"/>
    <w:rsid w:val="00D72ED4"/>
    <w:rsid w:val="00D73F61"/>
    <w:rsid w:val="00D74842"/>
    <w:rsid w:val="00D754C0"/>
    <w:rsid w:val="00D776A2"/>
    <w:rsid w:val="00D801C4"/>
    <w:rsid w:val="00D90836"/>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F1930"/>
    <w:rsid w:val="00DF514A"/>
    <w:rsid w:val="00E0358D"/>
    <w:rsid w:val="00E06327"/>
    <w:rsid w:val="00E2064B"/>
    <w:rsid w:val="00E25239"/>
    <w:rsid w:val="00E265B1"/>
    <w:rsid w:val="00E27046"/>
    <w:rsid w:val="00E275B0"/>
    <w:rsid w:val="00E412D0"/>
    <w:rsid w:val="00E47CDB"/>
    <w:rsid w:val="00E566BC"/>
    <w:rsid w:val="00E60982"/>
    <w:rsid w:val="00E60C8D"/>
    <w:rsid w:val="00E6162F"/>
    <w:rsid w:val="00E6311B"/>
    <w:rsid w:val="00E65D97"/>
    <w:rsid w:val="00E6666B"/>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E30FF"/>
    <w:rsid w:val="00EF2759"/>
    <w:rsid w:val="00EF45EB"/>
    <w:rsid w:val="00EF5099"/>
    <w:rsid w:val="00EF5E33"/>
    <w:rsid w:val="00F00075"/>
    <w:rsid w:val="00F07822"/>
    <w:rsid w:val="00F15C95"/>
    <w:rsid w:val="00F22985"/>
    <w:rsid w:val="00F241AB"/>
    <w:rsid w:val="00F31382"/>
    <w:rsid w:val="00F35829"/>
    <w:rsid w:val="00F42868"/>
    <w:rsid w:val="00F465A7"/>
    <w:rsid w:val="00F50B7C"/>
    <w:rsid w:val="00F5202D"/>
    <w:rsid w:val="00F52CF6"/>
    <w:rsid w:val="00F54496"/>
    <w:rsid w:val="00F5661F"/>
    <w:rsid w:val="00F57E5B"/>
    <w:rsid w:val="00F61097"/>
    <w:rsid w:val="00F74345"/>
    <w:rsid w:val="00F74441"/>
    <w:rsid w:val="00F76363"/>
    <w:rsid w:val="00F77F30"/>
    <w:rsid w:val="00F82589"/>
    <w:rsid w:val="00F82B19"/>
    <w:rsid w:val="00F90AA7"/>
    <w:rsid w:val="00F9212D"/>
    <w:rsid w:val="00F97133"/>
    <w:rsid w:val="00FA301A"/>
    <w:rsid w:val="00FA406A"/>
    <w:rsid w:val="00FA5CB6"/>
    <w:rsid w:val="00FB4038"/>
    <w:rsid w:val="00FC66AC"/>
    <w:rsid w:val="00FD18F4"/>
    <w:rsid w:val="00FD74B4"/>
    <w:rsid w:val="00FE79C1"/>
    <w:rsid w:val="00FF6FCE"/>
    <w:rsid w:val="00FF7518"/>
    <w:rsid w:val="00FF7FD8"/>
    <w:rsid w:val="011A25FC"/>
    <w:rsid w:val="014A271C"/>
    <w:rsid w:val="015B4B8A"/>
    <w:rsid w:val="01964551"/>
    <w:rsid w:val="01DD4DEC"/>
    <w:rsid w:val="02056800"/>
    <w:rsid w:val="024F2D39"/>
    <w:rsid w:val="0252325B"/>
    <w:rsid w:val="028C6E9D"/>
    <w:rsid w:val="02B22E1D"/>
    <w:rsid w:val="02E766C5"/>
    <w:rsid w:val="04336B0A"/>
    <w:rsid w:val="044B0E2F"/>
    <w:rsid w:val="048A306B"/>
    <w:rsid w:val="04B46CEB"/>
    <w:rsid w:val="04DA4936"/>
    <w:rsid w:val="051E602F"/>
    <w:rsid w:val="055801EF"/>
    <w:rsid w:val="05742AC8"/>
    <w:rsid w:val="057A6171"/>
    <w:rsid w:val="05925013"/>
    <w:rsid w:val="05CF13B8"/>
    <w:rsid w:val="05D45163"/>
    <w:rsid w:val="05D559C0"/>
    <w:rsid w:val="061A1DC9"/>
    <w:rsid w:val="06352F05"/>
    <w:rsid w:val="063E7D85"/>
    <w:rsid w:val="067F19F2"/>
    <w:rsid w:val="06864813"/>
    <w:rsid w:val="0687002C"/>
    <w:rsid w:val="06A12F4B"/>
    <w:rsid w:val="06DD01DF"/>
    <w:rsid w:val="070861A2"/>
    <w:rsid w:val="070875E0"/>
    <w:rsid w:val="07293586"/>
    <w:rsid w:val="07295285"/>
    <w:rsid w:val="074237C2"/>
    <w:rsid w:val="074E705D"/>
    <w:rsid w:val="07770C56"/>
    <w:rsid w:val="07F16472"/>
    <w:rsid w:val="08114688"/>
    <w:rsid w:val="082367FA"/>
    <w:rsid w:val="089F3763"/>
    <w:rsid w:val="08F00765"/>
    <w:rsid w:val="09011C7D"/>
    <w:rsid w:val="09070291"/>
    <w:rsid w:val="092217DD"/>
    <w:rsid w:val="093A7294"/>
    <w:rsid w:val="095C7FCE"/>
    <w:rsid w:val="09AF5A34"/>
    <w:rsid w:val="0A816998"/>
    <w:rsid w:val="0AC06D79"/>
    <w:rsid w:val="0AD95025"/>
    <w:rsid w:val="0B183664"/>
    <w:rsid w:val="0B275D03"/>
    <w:rsid w:val="0B332AA4"/>
    <w:rsid w:val="0BD27BF6"/>
    <w:rsid w:val="0C057D82"/>
    <w:rsid w:val="0C3E7B36"/>
    <w:rsid w:val="0CE64CD5"/>
    <w:rsid w:val="0CE8419D"/>
    <w:rsid w:val="0CEA3C8C"/>
    <w:rsid w:val="0D2E38C2"/>
    <w:rsid w:val="0D730DD6"/>
    <w:rsid w:val="0D89043E"/>
    <w:rsid w:val="0DEF598B"/>
    <w:rsid w:val="0E110D06"/>
    <w:rsid w:val="0E355698"/>
    <w:rsid w:val="0EA93331"/>
    <w:rsid w:val="0F13775A"/>
    <w:rsid w:val="0F1A75A3"/>
    <w:rsid w:val="0F3E5808"/>
    <w:rsid w:val="0F8269A8"/>
    <w:rsid w:val="0F8D19D0"/>
    <w:rsid w:val="0F92372B"/>
    <w:rsid w:val="0F9A112B"/>
    <w:rsid w:val="0FB86AD3"/>
    <w:rsid w:val="100B12A8"/>
    <w:rsid w:val="100D7522"/>
    <w:rsid w:val="101B5592"/>
    <w:rsid w:val="101C1C87"/>
    <w:rsid w:val="106D2F64"/>
    <w:rsid w:val="10AE55E8"/>
    <w:rsid w:val="10B63710"/>
    <w:rsid w:val="111C2F7A"/>
    <w:rsid w:val="111D5EF0"/>
    <w:rsid w:val="113013DE"/>
    <w:rsid w:val="11A50DA2"/>
    <w:rsid w:val="120C22A3"/>
    <w:rsid w:val="122B06C2"/>
    <w:rsid w:val="12511E83"/>
    <w:rsid w:val="12671A59"/>
    <w:rsid w:val="131C67E4"/>
    <w:rsid w:val="13951726"/>
    <w:rsid w:val="14396509"/>
    <w:rsid w:val="1445506A"/>
    <w:rsid w:val="1447165C"/>
    <w:rsid w:val="148A60F7"/>
    <w:rsid w:val="14B9411C"/>
    <w:rsid w:val="14F77DEA"/>
    <w:rsid w:val="14FD63B5"/>
    <w:rsid w:val="15404589"/>
    <w:rsid w:val="157B2F1A"/>
    <w:rsid w:val="15800E39"/>
    <w:rsid w:val="15C66B95"/>
    <w:rsid w:val="16075080"/>
    <w:rsid w:val="1621693F"/>
    <w:rsid w:val="165121DE"/>
    <w:rsid w:val="165E2443"/>
    <w:rsid w:val="169B44BE"/>
    <w:rsid w:val="16D54EC5"/>
    <w:rsid w:val="17073E53"/>
    <w:rsid w:val="17174F91"/>
    <w:rsid w:val="175945CC"/>
    <w:rsid w:val="17735226"/>
    <w:rsid w:val="1792671A"/>
    <w:rsid w:val="17DA705B"/>
    <w:rsid w:val="17E521D5"/>
    <w:rsid w:val="18913F7D"/>
    <w:rsid w:val="18AD2C55"/>
    <w:rsid w:val="18FE7ECF"/>
    <w:rsid w:val="19333399"/>
    <w:rsid w:val="19726C5F"/>
    <w:rsid w:val="1A1C66C0"/>
    <w:rsid w:val="1A42393B"/>
    <w:rsid w:val="1A434D96"/>
    <w:rsid w:val="1ABD42C8"/>
    <w:rsid w:val="1B046F80"/>
    <w:rsid w:val="1B107830"/>
    <w:rsid w:val="1B2B1EFC"/>
    <w:rsid w:val="1B2D30F7"/>
    <w:rsid w:val="1B3267B5"/>
    <w:rsid w:val="1B4B4158"/>
    <w:rsid w:val="1B715A1C"/>
    <w:rsid w:val="1BAA43D2"/>
    <w:rsid w:val="1BC25DC8"/>
    <w:rsid w:val="1C281C6E"/>
    <w:rsid w:val="1C2C51A2"/>
    <w:rsid w:val="1C565E7E"/>
    <w:rsid w:val="1C5E7925"/>
    <w:rsid w:val="1C887FC8"/>
    <w:rsid w:val="1CA43BF8"/>
    <w:rsid w:val="1CAB68C2"/>
    <w:rsid w:val="1CC25491"/>
    <w:rsid w:val="1D00229E"/>
    <w:rsid w:val="1D5F6196"/>
    <w:rsid w:val="1D6132A5"/>
    <w:rsid w:val="1D7E3C2C"/>
    <w:rsid w:val="1D8E56D5"/>
    <w:rsid w:val="1DA84D61"/>
    <w:rsid w:val="1DD33F18"/>
    <w:rsid w:val="1DDE6490"/>
    <w:rsid w:val="1DE25039"/>
    <w:rsid w:val="1DF77330"/>
    <w:rsid w:val="1E4703EB"/>
    <w:rsid w:val="1E596E19"/>
    <w:rsid w:val="1E7A43DA"/>
    <w:rsid w:val="1EB277FE"/>
    <w:rsid w:val="1EC44443"/>
    <w:rsid w:val="1EC91133"/>
    <w:rsid w:val="1ECC3248"/>
    <w:rsid w:val="1EE021E6"/>
    <w:rsid w:val="1F1349D0"/>
    <w:rsid w:val="1F153F04"/>
    <w:rsid w:val="1F291AB2"/>
    <w:rsid w:val="1F345854"/>
    <w:rsid w:val="1F8217B4"/>
    <w:rsid w:val="1FDB3A52"/>
    <w:rsid w:val="1FDB58F3"/>
    <w:rsid w:val="1FE7539E"/>
    <w:rsid w:val="20483A8C"/>
    <w:rsid w:val="20963CB8"/>
    <w:rsid w:val="20B07FB6"/>
    <w:rsid w:val="20CC054D"/>
    <w:rsid w:val="20EC2987"/>
    <w:rsid w:val="20FF46C9"/>
    <w:rsid w:val="213B74B1"/>
    <w:rsid w:val="21536418"/>
    <w:rsid w:val="215A2310"/>
    <w:rsid w:val="21B013FB"/>
    <w:rsid w:val="21B80FB6"/>
    <w:rsid w:val="21DE2ADE"/>
    <w:rsid w:val="21DE318A"/>
    <w:rsid w:val="21EF5B80"/>
    <w:rsid w:val="22576990"/>
    <w:rsid w:val="225C0083"/>
    <w:rsid w:val="229C4EAB"/>
    <w:rsid w:val="22BE6676"/>
    <w:rsid w:val="22C568B7"/>
    <w:rsid w:val="2337656F"/>
    <w:rsid w:val="23926B99"/>
    <w:rsid w:val="23A53D51"/>
    <w:rsid w:val="23BC2F2B"/>
    <w:rsid w:val="241A012C"/>
    <w:rsid w:val="24221A4D"/>
    <w:rsid w:val="24A214D4"/>
    <w:rsid w:val="24B043D3"/>
    <w:rsid w:val="25290FD5"/>
    <w:rsid w:val="252D2EAC"/>
    <w:rsid w:val="252D53FE"/>
    <w:rsid w:val="253B7F66"/>
    <w:rsid w:val="256E1261"/>
    <w:rsid w:val="25D120C2"/>
    <w:rsid w:val="25EA5214"/>
    <w:rsid w:val="25EC2D81"/>
    <w:rsid w:val="25F56D12"/>
    <w:rsid w:val="261C4240"/>
    <w:rsid w:val="26416F70"/>
    <w:rsid w:val="26440A02"/>
    <w:rsid w:val="264528BD"/>
    <w:rsid w:val="26A420F1"/>
    <w:rsid w:val="26C13DCC"/>
    <w:rsid w:val="27170CAE"/>
    <w:rsid w:val="27621F0F"/>
    <w:rsid w:val="279B1711"/>
    <w:rsid w:val="27A169A4"/>
    <w:rsid w:val="27AC64E8"/>
    <w:rsid w:val="27AE564B"/>
    <w:rsid w:val="27D15DD1"/>
    <w:rsid w:val="27F55758"/>
    <w:rsid w:val="28146683"/>
    <w:rsid w:val="28663425"/>
    <w:rsid w:val="28A76295"/>
    <w:rsid w:val="28E054D5"/>
    <w:rsid w:val="29206EB8"/>
    <w:rsid w:val="29370320"/>
    <w:rsid w:val="294E159B"/>
    <w:rsid w:val="296F23CA"/>
    <w:rsid w:val="29871D9E"/>
    <w:rsid w:val="29BA6A52"/>
    <w:rsid w:val="29D92699"/>
    <w:rsid w:val="29E325E0"/>
    <w:rsid w:val="2A452503"/>
    <w:rsid w:val="2AB27589"/>
    <w:rsid w:val="2AB47253"/>
    <w:rsid w:val="2AD20970"/>
    <w:rsid w:val="2B0073DA"/>
    <w:rsid w:val="2B9E0E08"/>
    <w:rsid w:val="2BA936A8"/>
    <w:rsid w:val="2BAD51F4"/>
    <w:rsid w:val="2C00483B"/>
    <w:rsid w:val="2C315A5A"/>
    <w:rsid w:val="2C892825"/>
    <w:rsid w:val="2C9038AC"/>
    <w:rsid w:val="2CEB550F"/>
    <w:rsid w:val="2CFE58DB"/>
    <w:rsid w:val="2D074B11"/>
    <w:rsid w:val="2D142FA6"/>
    <w:rsid w:val="2D1F071D"/>
    <w:rsid w:val="2D366858"/>
    <w:rsid w:val="2D524879"/>
    <w:rsid w:val="2D9E56F5"/>
    <w:rsid w:val="2DE10C5E"/>
    <w:rsid w:val="2E045252"/>
    <w:rsid w:val="2E0949B3"/>
    <w:rsid w:val="2E361327"/>
    <w:rsid w:val="2E5B1DFC"/>
    <w:rsid w:val="2E667F96"/>
    <w:rsid w:val="2E8226AB"/>
    <w:rsid w:val="2E9F24AA"/>
    <w:rsid w:val="2EA128FD"/>
    <w:rsid w:val="2F832C79"/>
    <w:rsid w:val="2F8B4C8B"/>
    <w:rsid w:val="2FEF2D58"/>
    <w:rsid w:val="300A6ACB"/>
    <w:rsid w:val="301119F0"/>
    <w:rsid w:val="30527723"/>
    <w:rsid w:val="30580BC9"/>
    <w:rsid w:val="307D537B"/>
    <w:rsid w:val="30BD4E90"/>
    <w:rsid w:val="30EB6FCB"/>
    <w:rsid w:val="30FA36D3"/>
    <w:rsid w:val="311E2ED7"/>
    <w:rsid w:val="31232239"/>
    <w:rsid w:val="315C449C"/>
    <w:rsid w:val="3192727E"/>
    <w:rsid w:val="31A31BE1"/>
    <w:rsid w:val="31B82709"/>
    <w:rsid w:val="31CB1CAB"/>
    <w:rsid w:val="31E149B4"/>
    <w:rsid w:val="31EB4512"/>
    <w:rsid w:val="32400B34"/>
    <w:rsid w:val="325F5CE9"/>
    <w:rsid w:val="329E6876"/>
    <w:rsid w:val="331810BC"/>
    <w:rsid w:val="33712C48"/>
    <w:rsid w:val="337E068B"/>
    <w:rsid w:val="339C1369"/>
    <w:rsid w:val="33D16BC5"/>
    <w:rsid w:val="33D934D4"/>
    <w:rsid w:val="33FE2F6A"/>
    <w:rsid w:val="34023C75"/>
    <w:rsid w:val="3469628E"/>
    <w:rsid w:val="34BA413C"/>
    <w:rsid w:val="34C268C9"/>
    <w:rsid w:val="34D75CB0"/>
    <w:rsid w:val="350D37A1"/>
    <w:rsid w:val="3513568A"/>
    <w:rsid w:val="35224758"/>
    <w:rsid w:val="352326FB"/>
    <w:rsid w:val="359237D9"/>
    <w:rsid w:val="35BD558D"/>
    <w:rsid w:val="35C25872"/>
    <w:rsid w:val="35CB7351"/>
    <w:rsid w:val="35D73574"/>
    <w:rsid w:val="36070A52"/>
    <w:rsid w:val="36074A7F"/>
    <w:rsid w:val="36923549"/>
    <w:rsid w:val="36AB6446"/>
    <w:rsid w:val="36B75FBF"/>
    <w:rsid w:val="36B764B3"/>
    <w:rsid w:val="36DF0AC7"/>
    <w:rsid w:val="36FB4891"/>
    <w:rsid w:val="36FE1E75"/>
    <w:rsid w:val="37286788"/>
    <w:rsid w:val="373E335A"/>
    <w:rsid w:val="389561D0"/>
    <w:rsid w:val="38B57EED"/>
    <w:rsid w:val="38DD0274"/>
    <w:rsid w:val="38EF576D"/>
    <w:rsid w:val="38F12CD3"/>
    <w:rsid w:val="38F94775"/>
    <w:rsid w:val="391829C9"/>
    <w:rsid w:val="392971ED"/>
    <w:rsid w:val="39CF68CE"/>
    <w:rsid w:val="3AA86C83"/>
    <w:rsid w:val="3AAF3301"/>
    <w:rsid w:val="3AB91C3C"/>
    <w:rsid w:val="3AE137F3"/>
    <w:rsid w:val="3B121DF1"/>
    <w:rsid w:val="3B3763D1"/>
    <w:rsid w:val="3B380AA5"/>
    <w:rsid w:val="3B3B5C40"/>
    <w:rsid w:val="3B507D70"/>
    <w:rsid w:val="3B531550"/>
    <w:rsid w:val="3B691F16"/>
    <w:rsid w:val="3B86067D"/>
    <w:rsid w:val="3B9830F4"/>
    <w:rsid w:val="3C312C5A"/>
    <w:rsid w:val="3C956734"/>
    <w:rsid w:val="3CB55043"/>
    <w:rsid w:val="3CDA245A"/>
    <w:rsid w:val="3CEE0A37"/>
    <w:rsid w:val="3CF21C76"/>
    <w:rsid w:val="3D7F4F41"/>
    <w:rsid w:val="3D8A10A6"/>
    <w:rsid w:val="3E234FE8"/>
    <w:rsid w:val="3E6F4006"/>
    <w:rsid w:val="3F660E74"/>
    <w:rsid w:val="3F881787"/>
    <w:rsid w:val="3F8E4BED"/>
    <w:rsid w:val="3FA44796"/>
    <w:rsid w:val="3FAF0861"/>
    <w:rsid w:val="3FE72EB0"/>
    <w:rsid w:val="40103AC8"/>
    <w:rsid w:val="403D1414"/>
    <w:rsid w:val="40773DF0"/>
    <w:rsid w:val="407A6407"/>
    <w:rsid w:val="409453F1"/>
    <w:rsid w:val="40BC503C"/>
    <w:rsid w:val="40DB5DBE"/>
    <w:rsid w:val="40E925BE"/>
    <w:rsid w:val="41712A26"/>
    <w:rsid w:val="41A75088"/>
    <w:rsid w:val="42074F70"/>
    <w:rsid w:val="423A3BCC"/>
    <w:rsid w:val="4254246F"/>
    <w:rsid w:val="42586CC9"/>
    <w:rsid w:val="428924E6"/>
    <w:rsid w:val="428B0673"/>
    <w:rsid w:val="429D61F3"/>
    <w:rsid w:val="42FF78D5"/>
    <w:rsid w:val="430F56AE"/>
    <w:rsid w:val="433706BC"/>
    <w:rsid w:val="433A6FE6"/>
    <w:rsid w:val="4350713C"/>
    <w:rsid w:val="435D361A"/>
    <w:rsid w:val="43653243"/>
    <w:rsid w:val="436653E0"/>
    <w:rsid w:val="440D40D5"/>
    <w:rsid w:val="4460765A"/>
    <w:rsid w:val="447913F5"/>
    <w:rsid w:val="44CD14E0"/>
    <w:rsid w:val="44CF21A0"/>
    <w:rsid w:val="457F28E4"/>
    <w:rsid w:val="458946E9"/>
    <w:rsid w:val="458F50E7"/>
    <w:rsid w:val="45A66202"/>
    <w:rsid w:val="45B11EE5"/>
    <w:rsid w:val="45E31757"/>
    <w:rsid w:val="46A231BA"/>
    <w:rsid w:val="46C30FEE"/>
    <w:rsid w:val="46D955A7"/>
    <w:rsid w:val="46DC5557"/>
    <w:rsid w:val="46F75587"/>
    <w:rsid w:val="47133957"/>
    <w:rsid w:val="474F7526"/>
    <w:rsid w:val="4779329E"/>
    <w:rsid w:val="47A07E0C"/>
    <w:rsid w:val="48161124"/>
    <w:rsid w:val="4870272E"/>
    <w:rsid w:val="48AE56D3"/>
    <w:rsid w:val="48C714C9"/>
    <w:rsid w:val="48E3087C"/>
    <w:rsid w:val="48FA73DA"/>
    <w:rsid w:val="497F41A4"/>
    <w:rsid w:val="49DC7715"/>
    <w:rsid w:val="4A023139"/>
    <w:rsid w:val="4A2D5DDB"/>
    <w:rsid w:val="4A47698C"/>
    <w:rsid w:val="4A694EE0"/>
    <w:rsid w:val="4A7B576F"/>
    <w:rsid w:val="4AB04661"/>
    <w:rsid w:val="4B090E10"/>
    <w:rsid w:val="4B1965EC"/>
    <w:rsid w:val="4B637932"/>
    <w:rsid w:val="4B7B1AB0"/>
    <w:rsid w:val="4B805F36"/>
    <w:rsid w:val="4C1234F5"/>
    <w:rsid w:val="4C260310"/>
    <w:rsid w:val="4C4379B9"/>
    <w:rsid w:val="4C4A0649"/>
    <w:rsid w:val="4C56609F"/>
    <w:rsid w:val="4C756C31"/>
    <w:rsid w:val="4C7A693B"/>
    <w:rsid w:val="4C920FDC"/>
    <w:rsid w:val="4CCF0E5D"/>
    <w:rsid w:val="4CD45EF0"/>
    <w:rsid w:val="4CE470D3"/>
    <w:rsid w:val="4D155104"/>
    <w:rsid w:val="4D24673E"/>
    <w:rsid w:val="4D600B76"/>
    <w:rsid w:val="4D706AA0"/>
    <w:rsid w:val="4D7347D5"/>
    <w:rsid w:val="4D955740"/>
    <w:rsid w:val="4DDB16B1"/>
    <w:rsid w:val="4DE82D3B"/>
    <w:rsid w:val="4DEC4FB0"/>
    <w:rsid w:val="4E075D8A"/>
    <w:rsid w:val="4E6800BD"/>
    <w:rsid w:val="4EC8386B"/>
    <w:rsid w:val="4F024053"/>
    <w:rsid w:val="4F0911AA"/>
    <w:rsid w:val="4F3B5776"/>
    <w:rsid w:val="4F4D4644"/>
    <w:rsid w:val="4FB97FEA"/>
    <w:rsid w:val="4FC62A8C"/>
    <w:rsid w:val="4FD22934"/>
    <w:rsid w:val="4FE20F0D"/>
    <w:rsid w:val="501C5A8D"/>
    <w:rsid w:val="503218FB"/>
    <w:rsid w:val="5037103E"/>
    <w:rsid w:val="50504C4B"/>
    <w:rsid w:val="50760209"/>
    <w:rsid w:val="509A6E95"/>
    <w:rsid w:val="509C6E7C"/>
    <w:rsid w:val="50A629A8"/>
    <w:rsid w:val="511A4016"/>
    <w:rsid w:val="51363D22"/>
    <w:rsid w:val="51434746"/>
    <w:rsid w:val="5162104E"/>
    <w:rsid w:val="52161F2B"/>
    <w:rsid w:val="52382D56"/>
    <w:rsid w:val="526263DB"/>
    <w:rsid w:val="527C3C95"/>
    <w:rsid w:val="529A010B"/>
    <w:rsid w:val="53062C85"/>
    <w:rsid w:val="53584711"/>
    <w:rsid w:val="538A6B07"/>
    <w:rsid w:val="53972F44"/>
    <w:rsid w:val="53A039CC"/>
    <w:rsid w:val="53A1505A"/>
    <w:rsid w:val="53B1131F"/>
    <w:rsid w:val="54063E08"/>
    <w:rsid w:val="540E63C5"/>
    <w:rsid w:val="543437E8"/>
    <w:rsid w:val="54942503"/>
    <w:rsid w:val="54A610D6"/>
    <w:rsid w:val="54CB0A8F"/>
    <w:rsid w:val="54CB2022"/>
    <w:rsid w:val="5539634E"/>
    <w:rsid w:val="55401636"/>
    <w:rsid w:val="556919D6"/>
    <w:rsid w:val="559B174B"/>
    <w:rsid w:val="55A75E7C"/>
    <w:rsid w:val="55CE0CF4"/>
    <w:rsid w:val="560C7F41"/>
    <w:rsid w:val="561C6B19"/>
    <w:rsid w:val="562D2817"/>
    <w:rsid w:val="5667645B"/>
    <w:rsid w:val="568C1BA4"/>
    <w:rsid w:val="56B22A9C"/>
    <w:rsid w:val="56DF1125"/>
    <w:rsid w:val="56E76019"/>
    <w:rsid w:val="57392A49"/>
    <w:rsid w:val="573951A2"/>
    <w:rsid w:val="57B72A76"/>
    <w:rsid w:val="57C6116B"/>
    <w:rsid w:val="57FD47B5"/>
    <w:rsid w:val="590E7639"/>
    <w:rsid w:val="594B066C"/>
    <w:rsid w:val="598C76C6"/>
    <w:rsid w:val="5A3C076A"/>
    <w:rsid w:val="5A3C747D"/>
    <w:rsid w:val="5A4216BF"/>
    <w:rsid w:val="5A486BE6"/>
    <w:rsid w:val="5AB346D5"/>
    <w:rsid w:val="5ABE2233"/>
    <w:rsid w:val="5B1A3200"/>
    <w:rsid w:val="5B276D18"/>
    <w:rsid w:val="5B9A6493"/>
    <w:rsid w:val="5BDF5D95"/>
    <w:rsid w:val="5BE66C90"/>
    <w:rsid w:val="5C332B26"/>
    <w:rsid w:val="5C512772"/>
    <w:rsid w:val="5C8E60B2"/>
    <w:rsid w:val="5C9D7755"/>
    <w:rsid w:val="5CE03C10"/>
    <w:rsid w:val="5CE22A90"/>
    <w:rsid w:val="5DAB661A"/>
    <w:rsid w:val="5DEC63C5"/>
    <w:rsid w:val="5DF87A0F"/>
    <w:rsid w:val="5E6E797B"/>
    <w:rsid w:val="5EB17CAA"/>
    <w:rsid w:val="5EEB60E6"/>
    <w:rsid w:val="5EF3152F"/>
    <w:rsid w:val="5F0E6484"/>
    <w:rsid w:val="5F0F3430"/>
    <w:rsid w:val="5F1A2B43"/>
    <w:rsid w:val="5F9D4AF3"/>
    <w:rsid w:val="5FAF0F1A"/>
    <w:rsid w:val="5FB837BB"/>
    <w:rsid w:val="5FE80C15"/>
    <w:rsid w:val="5FF178B0"/>
    <w:rsid w:val="60FB3C90"/>
    <w:rsid w:val="61026613"/>
    <w:rsid w:val="6126548C"/>
    <w:rsid w:val="61497D28"/>
    <w:rsid w:val="615302D8"/>
    <w:rsid w:val="61AF115E"/>
    <w:rsid w:val="61D1402C"/>
    <w:rsid w:val="62161595"/>
    <w:rsid w:val="62364782"/>
    <w:rsid w:val="62E834B8"/>
    <w:rsid w:val="63143055"/>
    <w:rsid w:val="63182DD2"/>
    <w:rsid w:val="6321040B"/>
    <w:rsid w:val="633D5246"/>
    <w:rsid w:val="636B33CA"/>
    <w:rsid w:val="63841E9B"/>
    <w:rsid w:val="63AA1D87"/>
    <w:rsid w:val="63BF489D"/>
    <w:rsid w:val="63D40BE9"/>
    <w:rsid w:val="63E0211F"/>
    <w:rsid w:val="63FB694C"/>
    <w:rsid w:val="63FF37AF"/>
    <w:rsid w:val="640558DC"/>
    <w:rsid w:val="640B0BB1"/>
    <w:rsid w:val="64176213"/>
    <w:rsid w:val="64964BC1"/>
    <w:rsid w:val="64E70841"/>
    <w:rsid w:val="64F17233"/>
    <w:rsid w:val="64F2168E"/>
    <w:rsid w:val="651C5A73"/>
    <w:rsid w:val="65373578"/>
    <w:rsid w:val="655F47BF"/>
    <w:rsid w:val="6595233D"/>
    <w:rsid w:val="659E4712"/>
    <w:rsid w:val="65DB23C8"/>
    <w:rsid w:val="65E02B87"/>
    <w:rsid w:val="65E85474"/>
    <w:rsid w:val="66443A0C"/>
    <w:rsid w:val="66A157F2"/>
    <w:rsid w:val="66C65456"/>
    <w:rsid w:val="66EF3480"/>
    <w:rsid w:val="670004C8"/>
    <w:rsid w:val="67040353"/>
    <w:rsid w:val="67246567"/>
    <w:rsid w:val="673F2C7A"/>
    <w:rsid w:val="6767129A"/>
    <w:rsid w:val="677E6B1C"/>
    <w:rsid w:val="678E6D4C"/>
    <w:rsid w:val="679262B1"/>
    <w:rsid w:val="679C7987"/>
    <w:rsid w:val="681F6961"/>
    <w:rsid w:val="682D6AFB"/>
    <w:rsid w:val="68453CCA"/>
    <w:rsid w:val="68517510"/>
    <w:rsid w:val="68562439"/>
    <w:rsid w:val="685C4A6A"/>
    <w:rsid w:val="68610A2F"/>
    <w:rsid w:val="68805514"/>
    <w:rsid w:val="689625FE"/>
    <w:rsid w:val="68B62212"/>
    <w:rsid w:val="691279DA"/>
    <w:rsid w:val="694E2071"/>
    <w:rsid w:val="6966491A"/>
    <w:rsid w:val="697A3B33"/>
    <w:rsid w:val="697D1983"/>
    <w:rsid w:val="699E2456"/>
    <w:rsid w:val="69CB47D7"/>
    <w:rsid w:val="6A384F75"/>
    <w:rsid w:val="6A5C3C8C"/>
    <w:rsid w:val="6AED4140"/>
    <w:rsid w:val="6B322639"/>
    <w:rsid w:val="6B361299"/>
    <w:rsid w:val="6B8C03C7"/>
    <w:rsid w:val="6C165952"/>
    <w:rsid w:val="6C531B33"/>
    <w:rsid w:val="6C5F7897"/>
    <w:rsid w:val="6C636C38"/>
    <w:rsid w:val="6C8104BF"/>
    <w:rsid w:val="6CDD6D0D"/>
    <w:rsid w:val="6CDF2D02"/>
    <w:rsid w:val="6D094E26"/>
    <w:rsid w:val="6D395938"/>
    <w:rsid w:val="6D3D4191"/>
    <w:rsid w:val="6D3D5201"/>
    <w:rsid w:val="6D551FF8"/>
    <w:rsid w:val="6D624EE5"/>
    <w:rsid w:val="6DB34098"/>
    <w:rsid w:val="6DB4216C"/>
    <w:rsid w:val="6DB545B6"/>
    <w:rsid w:val="6DBF16F7"/>
    <w:rsid w:val="6DDE15FC"/>
    <w:rsid w:val="6E141DED"/>
    <w:rsid w:val="6E367E47"/>
    <w:rsid w:val="6E4375A0"/>
    <w:rsid w:val="6E514CED"/>
    <w:rsid w:val="6E79491A"/>
    <w:rsid w:val="6E984A82"/>
    <w:rsid w:val="6EB563D5"/>
    <w:rsid w:val="6EC4571B"/>
    <w:rsid w:val="6F062767"/>
    <w:rsid w:val="6F225983"/>
    <w:rsid w:val="6F39114F"/>
    <w:rsid w:val="6F8A52BC"/>
    <w:rsid w:val="6F9A05A9"/>
    <w:rsid w:val="6FB806C3"/>
    <w:rsid w:val="6FB9078D"/>
    <w:rsid w:val="6FF17176"/>
    <w:rsid w:val="6FFC5590"/>
    <w:rsid w:val="70085EFA"/>
    <w:rsid w:val="702A3EE3"/>
    <w:rsid w:val="70301DA3"/>
    <w:rsid w:val="705B649C"/>
    <w:rsid w:val="706D1DD0"/>
    <w:rsid w:val="707B50E7"/>
    <w:rsid w:val="70856B87"/>
    <w:rsid w:val="70BD0E5E"/>
    <w:rsid w:val="70D527EE"/>
    <w:rsid w:val="70E57D6B"/>
    <w:rsid w:val="70F87E6E"/>
    <w:rsid w:val="71133720"/>
    <w:rsid w:val="714F40FD"/>
    <w:rsid w:val="715B5300"/>
    <w:rsid w:val="715F4BD7"/>
    <w:rsid w:val="718B5548"/>
    <w:rsid w:val="71AC57AC"/>
    <w:rsid w:val="71D27F8A"/>
    <w:rsid w:val="71DB4001"/>
    <w:rsid w:val="71F744C6"/>
    <w:rsid w:val="71F960CF"/>
    <w:rsid w:val="720E69D8"/>
    <w:rsid w:val="72171F07"/>
    <w:rsid w:val="72306A71"/>
    <w:rsid w:val="72495706"/>
    <w:rsid w:val="728503E5"/>
    <w:rsid w:val="729573CE"/>
    <w:rsid w:val="72B835F6"/>
    <w:rsid w:val="72E27B7F"/>
    <w:rsid w:val="731F5D5E"/>
    <w:rsid w:val="73525B92"/>
    <w:rsid w:val="741E793C"/>
    <w:rsid w:val="748613C2"/>
    <w:rsid w:val="74A11254"/>
    <w:rsid w:val="74B8349F"/>
    <w:rsid w:val="74D948FF"/>
    <w:rsid w:val="750F2085"/>
    <w:rsid w:val="751910DC"/>
    <w:rsid w:val="75547FB2"/>
    <w:rsid w:val="757C3965"/>
    <w:rsid w:val="758D75E2"/>
    <w:rsid w:val="7595693A"/>
    <w:rsid w:val="75F3721B"/>
    <w:rsid w:val="76056FA2"/>
    <w:rsid w:val="762041F9"/>
    <w:rsid w:val="76373448"/>
    <w:rsid w:val="768D6A77"/>
    <w:rsid w:val="77665F9E"/>
    <w:rsid w:val="77762421"/>
    <w:rsid w:val="77C80A9A"/>
    <w:rsid w:val="77E5117B"/>
    <w:rsid w:val="77ED7B1F"/>
    <w:rsid w:val="780F09F4"/>
    <w:rsid w:val="783E1B79"/>
    <w:rsid w:val="789C4F47"/>
    <w:rsid w:val="78A90480"/>
    <w:rsid w:val="78E607FA"/>
    <w:rsid w:val="78F8351F"/>
    <w:rsid w:val="79160986"/>
    <w:rsid w:val="79292308"/>
    <w:rsid w:val="79811327"/>
    <w:rsid w:val="7A364017"/>
    <w:rsid w:val="7A77074E"/>
    <w:rsid w:val="7A8265E1"/>
    <w:rsid w:val="7A8A0CD0"/>
    <w:rsid w:val="7ACA2AA1"/>
    <w:rsid w:val="7AEC406A"/>
    <w:rsid w:val="7B2D16BC"/>
    <w:rsid w:val="7B2F37C4"/>
    <w:rsid w:val="7B550BF1"/>
    <w:rsid w:val="7B686D42"/>
    <w:rsid w:val="7B75338D"/>
    <w:rsid w:val="7B833BB8"/>
    <w:rsid w:val="7B841746"/>
    <w:rsid w:val="7B9C3001"/>
    <w:rsid w:val="7BE84AA0"/>
    <w:rsid w:val="7CC115B9"/>
    <w:rsid w:val="7CEF72D3"/>
    <w:rsid w:val="7CF667B9"/>
    <w:rsid w:val="7D0239FF"/>
    <w:rsid w:val="7D297335"/>
    <w:rsid w:val="7D5E40CD"/>
    <w:rsid w:val="7D693BED"/>
    <w:rsid w:val="7D8E640D"/>
    <w:rsid w:val="7D9D0F16"/>
    <w:rsid w:val="7DA5068D"/>
    <w:rsid w:val="7DD77B49"/>
    <w:rsid w:val="7E285C5A"/>
    <w:rsid w:val="7ED8277A"/>
    <w:rsid w:val="7F141AF7"/>
    <w:rsid w:val="7F1E7B80"/>
    <w:rsid w:val="7F2053C5"/>
    <w:rsid w:val="7F250C19"/>
    <w:rsid w:val="7FB43FEF"/>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iPriority="9"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ocked="1"/>
    <w:lsdException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72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autoRedefine/>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qFormat/>
    <w:locked/>
    <w:uiPriority w:val="0"/>
    <w:pPr>
      <w:keepNext/>
      <w:keepLines/>
      <w:spacing w:line="500" w:lineRule="exact"/>
      <w:outlineLvl w:val="2"/>
    </w:pPr>
    <w:rPr>
      <w:b/>
      <w:bCs/>
      <w:sz w:val="28"/>
      <w:szCs w:val="32"/>
    </w:rPr>
  </w:style>
  <w:style w:type="paragraph" w:styleId="5">
    <w:name w:val="heading 4"/>
    <w:basedOn w:val="1"/>
    <w:next w:val="1"/>
    <w:autoRedefine/>
    <w:unhideWhenUsed/>
    <w:qFormat/>
    <w:locked/>
    <w:uiPriority w:val="9"/>
    <w:pPr>
      <w:spacing w:beforeLines="50" w:afterLines="50"/>
      <w:outlineLvl w:val="3"/>
    </w:pPr>
    <w:rPr>
      <w:rFonts w:eastAsia="黑体" w:cstheme="majorBidi"/>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rPr>
      <w:rFonts w:ascii="宋体"/>
      <w:sz w:val="24"/>
    </w:rPr>
  </w:style>
  <w:style w:type="paragraph" w:styleId="7">
    <w:name w:val="Normal Indent"/>
    <w:basedOn w:val="1"/>
    <w:next w:val="1"/>
    <w:autoRedefine/>
    <w:qFormat/>
    <w:uiPriority w:val="0"/>
    <w:pPr>
      <w:ind w:firstLine="420"/>
    </w:pPr>
  </w:style>
  <w:style w:type="paragraph" w:styleId="8">
    <w:name w:val="annotation text"/>
    <w:basedOn w:val="1"/>
    <w:link w:val="54"/>
    <w:autoRedefine/>
    <w:semiHidden/>
    <w:qFormat/>
    <w:uiPriority w:val="0"/>
    <w:pPr>
      <w:jc w:val="left"/>
    </w:pPr>
    <w:rPr>
      <w:kern w:val="0"/>
      <w:sz w:val="20"/>
    </w:rPr>
  </w:style>
  <w:style w:type="paragraph" w:styleId="9">
    <w:name w:val="Body Text"/>
    <w:basedOn w:val="1"/>
    <w:next w:val="10"/>
    <w:link w:val="53"/>
    <w:autoRedefine/>
    <w:qFormat/>
    <w:uiPriority w:val="0"/>
    <w:pPr>
      <w:widowControl/>
      <w:snapToGrid w:val="0"/>
      <w:spacing w:before="60" w:after="160" w:line="259" w:lineRule="auto"/>
      <w:ind w:right="113"/>
    </w:pPr>
    <w:rPr>
      <w:kern w:val="0"/>
      <w:sz w:val="18"/>
      <w:szCs w:val="18"/>
    </w:rPr>
  </w:style>
  <w:style w:type="paragraph" w:customStyle="1" w:styleId="10">
    <w:name w:val="Body Text 21"/>
    <w:basedOn w:val="1"/>
    <w:autoRedefine/>
    <w:qFormat/>
    <w:uiPriority w:val="0"/>
    <w:pPr>
      <w:spacing w:after="120" w:line="480" w:lineRule="auto"/>
    </w:pPr>
  </w:style>
  <w:style w:type="paragraph" w:styleId="11">
    <w:name w:val="Body Text Indent"/>
    <w:basedOn w:val="1"/>
    <w:next w:val="5"/>
    <w:link w:val="50"/>
    <w:autoRedefine/>
    <w:semiHidden/>
    <w:qFormat/>
    <w:uiPriority w:val="0"/>
    <w:pPr>
      <w:spacing w:after="120"/>
      <w:ind w:left="420" w:leftChars="200"/>
    </w:pPr>
  </w:style>
  <w:style w:type="paragraph" w:styleId="12">
    <w:name w:val="Plain Text"/>
    <w:basedOn w:val="1"/>
    <w:autoRedefine/>
    <w:qFormat/>
    <w:uiPriority w:val="0"/>
    <w:rPr>
      <w:rFonts w:ascii="宋体" w:hAnsi="Courier New"/>
    </w:rPr>
  </w:style>
  <w:style w:type="paragraph" w:styleId="13">
    <w:name w:val="Date"/>
    <w:basedOn w:val="1"/>
    <w:next w:val="1"/>
    <w:link w:val="60"/>
    <w:autoRedefine/>
    <w:qFormat/>
    <w:uiPriority w:val="0"/>
    <w:pPr>
      <w:ind w:left="100" w:leftChars="2500"/>
    </w:pPr>
    <w:rPr>
      <w:kern w:val="0"/>
      <w:sz w:val="20"/>
    </w:rPr>
  </w:style>
  <w:style w:type="paragraph" w:styleId="14">
    <w:name w:val="Body Text Indent 2"/>
    <w:basedOn w:val="1"/>
    <w:autoRedefine/>
    <w:qFormat/>
    <w:uiPriority w:val="0"/>
    <w:pPr>
      <w:spacing w:after="120" w:line="480" w:lineRule="auto"/>
      <w:ind w:left="420"/>
    </w:pPr>
  </w:style>
  <w:style w:type="paragraph" w:styleId="15">
    <w:name w:val="Balloon Text"/>
    <w:basedOn w:val="1"/>
    <w:link w:val="51"/>
    <w:autoRedefine/>
    <w:semiHidden/>
    <w:qFormat/>
    <w:uiPriority w:val="0"/>
    <w:rPr>
      <w:sz w:val="18"/>
      <w:szCs w:val="18"/>
    </w:rPr>
  </w:style>
  <w:style w:type="paragraph" w:styleId="16">
    <w:name w:val="footer"/>
    <w:basedOn w:val="1"/>
    <w:link w:val="57"/>
    <w:autoRedefine/>
    <w:qFormat/>
    <w:uiPriority w:val="0"/>
    <w:pPr>
      <w:tabs>
        <w:tab w:val="center" w:pos="4153"/>
        <w:tab w:val="right" w:pos="8306"/>
      </w:tabs>
      <w:snapToGrid w:val="0"/>
      <w:jc w:val="left"/>
    </w:pPr>
    <w:rPr>
      <w:sz w:val="18"/>
      <w:szCs w:val="18"/>
    </w:rPr>
  </w:style>
  <w:style w:type="paragraph" w:styleId="17">
    <w:name w:val="header"/>
    <w:basedOn w:val="1"/>
    <w:next w:val="6"/>
    <w:link w:val="48"/>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List Continue 4"/>
    <w:basedOn w:val="1"/>
    <w:next w:val="1"/>
    <w:autoRedefine/>
    <w:qFormat/>
    <w:uiPriority w:val="0"/>
    <w:pPr>
      <w:widowControl w:val="0"/>
      <w:autoSpaceDE/>
      <w:autoSpaceDN/>
      <w:spacing w:before="0" w:after="120" w:line="360" w:lineRule="auto"/>
      <w:ind w:left="1680" w:firstLine="480"/>
      <w:jc w:val="both"/>
    </w:pPr>
    <w:rPr>
      <w:rFonts w:ascii="宋体" w:eastAsia="宋体"/>
      <w:sz w:val="24"/>
    </w:rPr>
  </w:style>
  <w:style w:type="paragraph" w:styleId="19">
    <w:name w:val="Body Text Indent 3"/>
    <w:basedOn w:val="1"/>
    <w:autoRedefine/>
    <w:qFormat/>
    <w:uiPriority w:val="0"/>
    <w:pPr>
      <w:spacing w:after="120"/>
      <w:ind w:left="420" w:leftChars="200"/>
    </w:pPr>
    <w:rPr>
      <w:sz w:val="16"/>
      <w:szCs w:val="16"/>
    </w:rPr>
  </w:style>
  <w:style w:type="paragraph" w:styleId="20">
    <w:name w:val="Normal (Web)"/>
    <w:basedOn w:val="1"/>
    <w:link w:val="55"/>
    <w:autoRedefine/>
    <w:qFormat/>
    <w:uiPriority w:val="0"/>
    <w:pPr>
      <w:widowControl/>
      <w:spacing w:before="100" w:beforeAutospacing="1" w:after="100" w:afterAutospacing="1"/>
      <w:jc w:val="left"/>
    </w:pPr>
    <w:rPr>
      <w:rFonts w:ascii="宋体" w:hAnsi="宋体"/>
      <w:kern w:val="0"/>
      <w:sz w:val="24"/>
    </w:rPr>
  </w:style>
  <w:style w:type="paragraph" w:styleId="21">
    <w:name w:val="index 1"/>
    <w:basedOn w:val="1"/>
    <w:next w:val="1"/>
    <w:autoRedefine/>
    <w:qFormat/>
    <w:uiPriority w:val="0"/>
    <w:pPr>
      <w:spacing w:line="320" w:lineRule="exact"/>
      <w:jc w:val="center"/>
    </w:pPr>
    <w:rPr>
      <w:color w:val="000000"/>
      <w:szCs w:val="21"/>
    </w:rPr>
  </w:style>
  <w:style w:type="paragraph" w:styleId="22">
    <w:name w:val="annotation subject"/>
    <w:basedOn w:val="8"/>
    <w:next w:val="8"/>
    <w:link w:val="56"/>
    <w:autoRedefine/>
    <w:semiHidden/>
    <w:qFormat/>
    <w:uiPriority w:val="0"/>
    <w:rPr>
      <w:b/>
      <w:bCs/>
    </w:rPr>
  </w:style>
  <w:style w:type="paragraph" w:styleId="23">
    <w:name w:val="Body Text First Indent"/>
    <w:basedOn w:val="1"/>
    <w:autoRedefine/>
    <w:unhideWhenUsed/>
    <w:qFormat/>
    <w:uiPriority w:val="0"/>
    <w:pPr>
      <w:adjustRightInd w:val="0"/>
      <w:snapToGrid w:val="0"/>
      <w:spacing w:line="360" w:lineRule="auto"/>
      <w:ind w:firstLine="200" w:firstLineChars="200"/>
    </w:pPr>
    <w:rPr>
      <w:sz w:val="24"/>
    </w:rPr>
  </w:style>
  <w:style w:type="paragraph" w:styleId="24">
    <w:name w:val="Body Text First Indent 2"/>
    <w:basedOn w:val="11"/>
    <w:next w:val="18"/>
    <w:autoRedefine/>
    <w:qFormat/>
    <w:uiPriority w:val="0"/>
    <w:pPr>
      <w:ind w:firstLine="420"/>
    </w:p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style>
  <w:style w:type="character" w:styleId="29">
    <w:name w:val="annotation reference"/>
    <w:basedOn w:val="27"/>
    <w:autoRedefine/>
    <w:semiHidden/>
    <w:qFormat/>
    <w:uiPriority w:val="0"/>
    <w:rPr>
      <w:sz w:val="21"/>
    </w:rPr>
  </w:style>
  <w:style w:type="paragraph" w:customStyle="1" w:styleId="30">
    <w:name w:val="样式5"/>
    <w:basedOn w:val="31"/>
    <w:autoRedefine/>
    <w:qFormat/>
    <w:uiPriority w:val="0"/>
    <w:pPr>
      <w:snapToGrid w:val="0"/>
      <w:spacing w:before="62" w:beforeLines="20" w:after="62" w:afterLines="20" w:line="480" w:lineRule="exact"/>
      <w:ind w:firstLine="523" w:firstLineChars="218"/>
      <w:jc w:val="both"/>
    </w:pPr>
    <w:rPr>
      <w:i/>
      <w:iCs/>
      <w:kern w:val="2"/>
      <w:sz w:val="24"/>
      <w:szCs w:val="20"/>
    </w:rPr>
  </w:style>
  <w:style w:type="paragraph" w:customStyle="1" w:styleId="31">
    <w:name w:val="正文1"/>
    <w:basedOn w:val="1"/>
    <w:next w:val="1"/>
    <w:autoRedefine/>
    <w:qFormat/>
    <w:uiPriority w:val="0"/>
    <w:pPr>
      <w:snapToGrid w:val="0"/>
      <w:spacing w:line="270" w:lineRule="exact"/>
      <w:jc w:val="center"/>
    </w:pPr>
    <w:rPr>
      <w:spacing w:val="8"/>
      <w:kern w:val="21"/>
    </w:rPr>
  </w:style>
  <w:style w:type="paragraph" w:customStyle="1" w:styleId="32">
    <w:name w:val="样式 正文文本缩进 + 行距: 1.5 倍行距"/>
    <w:basedOn w:val="33"/>
    <w:next w:val="17"/>
    <w:autoRedefine/>
    <w:qFormat/>
    <w:uiPriority w:val="99"/>
    <w:pPr>
      <w:spacing w:after="120"/>
      <w:ind w:left="90" w:leftChars="32" w:firstLine="560"/>
    </w:pPr>
    <w:rPr>
      <w:rFonts w:cs="宋体"/>
    </w:rPr>
  </w:style>
  <w:style w:type="paragraph" w:customStyle="1" w:styleId="33">
    <w:name w:val="Body Text Indent"/>
    <w:basedOn w:val="1"/>
    <w:next w:val="32"/>
    <w:autoRedefine/>
    <w:qFormat/>
    <w:uiPriority w:val="0"/>
    <w:pPr>
      <w:spacing w:after="120" w:afterLines="0"/>
      <w:ind w:left="420" w:leftChars="200"/>
    </w:pPr>
    <w:rPr>
      <w:rFonts w:ascii="Times New Roman" w:hAnsi="Times New Roman" w:eastAsia="宋体"/>
      <w:sz w:val="24"/>
    </w:rPr>
  </w:style>
  <w:style w:type="paragraph" w:customStyle="1" w:styleId="34">
    <w:name w:val="样式 正文缩进 + 宋体 行距: 固定值 22 磅"/>
    <w:basedOn w:val="7"/>
    <w:autoRedefine/>
    <w:qFormat/>
    <w:uiPriority w:val="0"/>
    <w:pPr>
      <w:ind w:firstLine="0" w:firstLineChars="0"/>
    </w:pPr>
    <w:rPr>
      <w:rFonts w:ascii="Arial Unicode MS" w:hAnsi="Arial Unicode MS" w:cs="宋体"/>
      <w:szCs w:val="20"/>
    </w:rPr>
  </w:style>
  <w:style w:type="paragraph" w:customStyle="1" w:styleId="35">
    <w:name w:val="Z正文"/>
    <w:basedOn w:val="1"/>
    <w:next w:val="1"/>
    <w:autoRedefine/>
    <w:semiHidden/>
    <w:qFormat/>
    <w:uiPriority w:val="0"/>
    <w:rPr>
      <w:rFonts w:ascii="Calibri" w:hAnsi="Calibri"/>
      <w:szCs w:val="22"/>
    </w:rPr>
  </w:style>
  <w:style w:type="paragraph" w:customStyle="1" w:styleId="36">
    <w:name w:val="Default"/>
    <w:basedOn w:val="37"/>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7">
    <w:name w:val="纯文本1"/>
    <w:basedOn w:val="1"/>
    <w:autoRedefine/>
    <w:qFormat/>
    <w:uiPriority w:val="0"/>
    <w:rPr>
      <w:rFonts w:ascii="宋体" w:hAnsi="Courier New"/>
      <w:szCs w:val="20"/>
    </w:rPr>
  </w:style>
  <w:style w:type="paragraph" w:customStyle="1" w:styleId="38">
    <w:name w:val="表头"/>
    <w:basedOn w:val="1"/>
    <w:next w:val="39"/>
    <w:autoRedefine/>
    <w:qFormat/>
    <w:uiPriority w:val="0"/>
    <w:pPr>
      <w:overflowPunct w:val="0"/>
      <w:snapToGrid w:val="0"/>
      <w:ind w:firstLine="200"/>
    </w:pPr>
    <w:rPr>
      <w:b/>
    </w:rPr>
  </w:style>
  <w:style w:type="paragraph" w:customStyle="1" w:styleId="39">
    <w:name w:val="别动"/>
    <w:basedOn w:val="38"/>
    <w:autoRedefine/>
    <w:qFormat/>
    <w:uiPriority w:val="0"/>
    <w:pPr>
      <w:spacing w:line="340" w:lineRule="exact"/>
    </w:pPr>
    <w:rPr>
      <w:rFonts w:ascii="Times New Roman" w:hAnsi="Times New Roman" w:eastAsia="宋体"/>
      <w:b w:val="0"/>
      <w:sz w:val="21"/>
    </w:rPr>
  </w:style>
  <w:style w:type="paragraph" w:customStyle="1" w:styleId="40">
    <w:name w:val="表+五号"/>
    <w:basedOn w:val="1"/>
    <w:autoRedefine/>
    <w:qFormat/>
    <w:uiPriority w:val="0"/>
    <w:rPr>
      <w:szCs w:val="28"/>
    </w:rPr>
  </w:style>
  <w:style w:type="paragraph" w:customStyle="1" w:styleId="41">
    <w:name w:val="表头A"/>
    <w:basedOn w:val="38"/>
    <w:autoRedefine/>
    <w:qFormat/>
    <w:uiPriority w:val="0"/>
    <w:pPr>
      <w:snapToGrid/>
      <w:spacing w:line="400" w:lineRule="exact"/>
      <w:ind w:firstLine="0" w:firstLineChars="0"/>
      <w:jc w:val="center"/>
    </w:pPr>
    <w:rPr>
      <w:sz w:val="24"/>
    </w:rPr>
  </w:style>
  <w:style w:type="paragraph" w:customStyle="1" w:styleId="42">
    <w:name w:val="表格"/>
    <w:basedOn w:val="38"/>
    <w:next w:val="1"/>
    <w:link w:val="58"/>
    <w:autoRedefine/>
    <w:qFormat/>
    <w:uiPriority w:val="0"/>
    <w:pPr>
      <w:adjustRightInd w:val="0"/>
      <w:spacing w:beforeLines="10" w:afterLines="10" w:line="259" w:lineRule="auto"/>
      <w:jc w:val="center"/>
    </w:pPr>
    <w:rPr>
      <w:rFonts w:ascii="宋体"/>
      <w:kern w:val="0"/>
      <w:sz w:val="20"/>
      <w:szCs w:val="21"/>
    </w:rPr>
  </w:style>
  <w:style w:type="paragraph" w:customStyle="1" w:styleId="43">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44">
    <w:name w:val="表内字"/>
    <w:basedOn w:val="1"/>
    <w:autoRedefine/>
    <w:qFormat/>
    <w:uiPriority w:val="0"/>
    <w:pPr>
      <w:spacing w:line="320" w:lineRule="exact"/>
      <w:jc w:val="center"/>
    </w:pPr>
    <w:rPr>
      <w:kern w:val="0"/>
    </w:rPr>
  </w:style>
  <w:style w:type="paragraph" w:customStyle="1" w:styleId="45">
    <w:name w:val="文本"/>
    <w:basedOn w:val="1"/>
    <w:autoRedefine/>
    <w:qFormat/>
    <w:uiPriority w:val="0"/>
    <w:pPr>
      <w:adjustRightInd w:val="0"/>
      <w:snapToGrid w:val="0"/>
      <w:spacing w:line="440" w:lineRule="exact"/>
      <w:ind w:firstLine="480"/>
    </w:pPr>
    <w:rPr>
      <w:rFonts w:ascii="宋体" w:hAnsi="宋体"/>
    </w:rPr>
  </w:style>
  <w:style w:type="paragraph" w:customStyle="1" w:styleId="46">
    <w:name w:val="Table Paragraph"/>
    <w:basedOn w:val="1"/>
    <w:autoRedefine/>
    <w:qFormat/>
    <w:uiPriority w:val="1"/>
    <w:pPr>
      <w:autoSpaceDE w:val="0"/>
      <w:autoSpaceDN w:val="0"/>
      <w:jc w:val="center"/>
    </w:pPr>
    <w:rPr>
      <w:rFonts w:ascii="宋体" w:hAnsi="宋体" w:cs="宋体"/>
      <w:kern w:val="0"/>
      <w:sz w:val="22"/>
      <w:szCs w:val="22"/>
      <w:lang w:val="zh-CN" w:bidi="zh-CN"/>
    </w:rPr>
  </w:style>
  <w:style w:type="paragraph" w:customStyle="1" w:styleId="47">
    <w:name w:val="正文A"/>
    <w:basedOn w:val="1"/>
    <w:autoRedefine/>
    <w:qFormat/>
    <w:uiPriority w:val="0"/>
    <w:pPr>
      <w:spacing w:line="500" w:lineRule="exact"/>
      <w:ind w:firstLine="200"/>
    </w:pPr>
    <w:rPr>
      <w:rFonts w:ascii="Calibri" w:hAnsi="Calibri"/>
      <w:kern w:val="0"/>
      <w:sz w:val="24"/>
    </w:rPr>
  </w:style>
  <w:style w:type="character" w:customStyle="1" w:styleId="48">
    <w:name w:val="页眉 Char"/>
    <w:basedOn w:val="27"/>
    <w:link w:val="17"/>
    <w:autoRedefine/>
    <w:qFormat/>
    <w:locked/>
    <w:uiPriority w:val="0"/>
    <w:rPr>
      <w:rFonts w:cs="Times New Roman"/>
      <w:sz w:val="18"/>
      <w:szCs w:val="18"/>
    </w:rPr>
  </w:style>
  <w:style w:type="character" w:customStyle="1" w:styleId="49">
    <w:name w:val="正文文本 字符1"/>
    <w:basedOn w:val="27"/>
    <w:autoRedefine/>
    <w:semiHidden/>
    <w:qFormat/>
    <w:uiPriority w:val="0"/>
    <w:rPr>
      <w:rFonts w:ascii="Times New Roman" w:hAnsi="Times New Roman" w:eastAsia="宋体" w:cs="Times New Roman"/>
      <w:sz w:val="24"/>
      <w:szCs w:val="24"/>
    </w:rPr>
  </w:style>
  <w:style w:type="character" w:customStyle="1" w:styleId="50">
    <w:name w:val="正文文本缩进 Char"/>
    <w:basedOn w:val="27"/>
    <w:link w:val="11"/>
    <w:autoRedefine/>
    <w:semiHidden/>
    <w:qFormat/>
    <w:locked/>
    <w:uiPriority w:val="0"/>
    <w:rPr>
      <w:rFonts w:ascii="Times New Roman" w:hAnsi="Times New Roman" w:eastAsia="宋体" w:cs="Times New Roman"/>
      <w:sz w:val="24"/>
      <w:szCs w:val="24"/>
    </w:rPr>
  </w:style>
  <w:style w:type="character" w:customStyle="1" w:styleId="51">
    <w:name w:val="批注框文本 Char"/>
    <w:basedOn w:val="27"/>
    <w:link w:val="15"/>
    <w:autoRedefine/>
    <w:semiHidden/>
    <w:qFormat/>
    <w:locked/>
    <w:uiPriority w:val="0"/>
    <w:rPr>
      <w:rFonts w:ascii="Times New Roman" w:hAnsi="Times New Roman" w:eastAsia="宋体" w:cs="Times New Roman"/>
      <w:sz w:val="18"/>
      <w:szCs w:val="18"/>
    </w:rPr>
  </w:style>
  <w:style w:type="character" w:customStyle="1" w:styleId="52">
    <w:name w:val="普通(网站) Char"/>
    <w:autoRedefine/>
    <w:qFormat/>
    <w:locked/>
    <w:uiPriority w:val="0"/>
    <w:rPr>
      <w:rFonts w:ascii="宋体" w:hAnsi="宋体" w:eastAsia="宋体"/>
      <w:sz w:val="24"/>
    </w:rPr>
  </w:style>
  <w:style w:type="character" w:customStyle="1" w:styleId="53">
    <w:name w:val="正文文本 Char"/>
    <w:link w:val="9"/>
    <w:autoRedefine/>
    <w:qFormat/>
    <w:locked/>
    <w:uiPriority w:val="0"/>
    <w:rPr>
      <w:sz w:val="18"/>
    </w:rPr>
  </w:style>
  <w:style w:type="character" w:customStyle="1" w:styleId="54">
    <w:name w:val="批注文字 Char"/>
    <w:link w:val="8"/>
    <w:autoRedefine/>
    <w:qFormat/>
    <w:locked/>
    <w:uiPriority w:val="0"/>
    <w:rPr>
      <w:rFonts w:ascii="Times New Roman" w:hAnsi="Times New Roman" w:eastAsia="宋体"/>
      <w:sz w:val="24"/>
    </w:rPr>
  </w:style>
  <w:style w:type="character" w:customStyle="1" w:styleId="55">
    <w:name w:val="普通(网站) Char1"/>
    <w:link w:val="20"/>
    <w:autoRedefine/>
    <w:qFormat/>
    <w:locked/>
    <w:uiPriority w:val="0"/>
    <w:rPr>
      <w:rFonts w:ascii="宋体" w:hAnsi="宋体" w:eastAsia="宋体"/>
      <w:sz w:val="24"/>
    </w:rPr>
  </w:style>
  <w:style w:type="character" w:customStyle="1" w:styleId="56">
    <w:name w:val="批注主题 Char"/>
    <w:basedOn w:val="54"/>
    <w:link w:val="22"/>
    <w:autoRedefine/>
    <w:semiHidden/>
    <w:qFormat/>
    <w:locked/>
    <w:uiPriority w:val="0"/>
    <w:rPr>
      <w:rFonts w:ascii="Times New Roman" w:hAnsi="Times New Roman" w:eastAsia="宋体" w:cs="Times New Roman"/>
      <w:b/>
      <w:bCs/>
      <w:kern w:val="2"/>
      <w:sz w:val="24"/>
      <w:szCs w:val="24"/>
    </w:rPr>
  </w:style>
  <w:style w:type="character" w:customStyle="1" w:styleId="57">
    <w:name w:val="页脚 Char"/>
    <w:basedOn w:val="27"/>
    <w:link w:val="16"/>
    <w:autoRedefine/>
    <w:qFormat/>
    <w:locked/>
    <w:uiPriority w:val="0"/>
    <w:rPr>
      <w:rFonts w:cs="Times New Roman"/>
      <w:sz w:val="18"/>
      <w:szCs w:val="18"/>
    </w:rPr>
  </w:style>
  <w:style w:type="character" w:customStyle="1" w:styleId="58">
    <w:name w:val="表格 Char"/>
    <w:link w:val="42"/>
    <w:autoRedefine/>
    <w:qFormat/>
    <w:locked/>
    <w:uiPriority w:val="0"/>
    <w:rPr>
      <w:rFonts w:ascii="宋体"/>
      <w:sz w:val="21"/>
    </w:rPr>
  </w:style>
  <w:style w:type="character" w:customStyle="1" w:styleId="59">
    <w:name w:val="日期 字符"/>
    <w:basedOn w:val="27"/>
    <w:autoRedefine/>
    <w:semiHidden/>
    <w:qFormat/>
    <w:uiPriority w:val="0"/>
    <w:rPr>
      <w:rFonts w:ascii="Times New Roman" w:hAnsi="Times New Roman" w:eastAsia="宋体" w:cs="Times New Roman"/>
      <w:sz w:val="24"/>
      <w:szCs w:val="24"/>
    </w:rPr>
  </w:style>
  <w:style w:type="character" w:customStyle="1" w:styleId="60">
    <w:name w:val="日期 Char"/>
    <w:link w:val="13"/>
    <w:autoRedefine/>
    <w:qFormat/>
    <w:locked/>
    <w:uiPriority w:val="0"/>
    <w:rPr>
      <w:rFonts w:ascii="Times New Roman" w:hAnsi="Times New Roman" w:eastAsia="宋体"/>
      <w:sz w:val="24"/>
    </w:rPr>
  </w:style>
  <w:style w:type="character" w:customStyle="1" w:styleId="61">
    <w:name w:val="批注文字 字符1"/>
    <w:basedOn w:val="27"/>
    <w:autoRedefine/>
    <w:semiHidden/>
    <w:qFormat/>
    <w:uiPriority w:val="0"/>
    <w:rPr>
      <w:rFonts w:ascii="Times New Roman" w:hAnsi="Times New Roman" w:eastAsia="宋体" w:cs="Times New Roman"/>
      <w:sz w:val="24"/>
      <w:szCs w:val="24"/>
    </w:rPr>
  </w:style>
  <w:style w:type="paragraph" w:customStyle="1" w:styleId="62">
    <w:name w:val="报告表正文"/>
    <w:basedOn w:val="63"/>
    <w:autoRedefine/>
    <w:qFormat/>
    <w:uiPriority w:val="0"/>
    <w:pPr>
      <w:adjustRightInd w:val="0"/>
      <w:ind w:left="113" w:right="113" w:firstLine="482"/>
      <w:jc w:val="left"/>
      <w:textAlignment w:val="baseline"/>
    </w:pPr>
    <w:rPr>
      <w:kern w:val="0"/>
      <w:szCs w:val="21"/>
    </w:rPr>
  </w:style>
  <w:style w:type="paragraph" w:customStyle="1" w:styleId="63">
    <w:name w:val="报告正文"/>
    <w:basedOn w:val="64"/>
    <w:autoRedefine/>
    <w:qFormat/>
    <w:uiPriority w:val="0"/>
    <w:pPr>
      <w:widowControl w:val="0"/>
      <w:snapToGrid w:val="0"/>
      <w:spacing w:line="360" w:lineRule="auto"/>
      <w:ind w:firstLine="200" w:firstLineChars="200"/>
    </w:pPr>
    <w:rPr>
      <w:rFonts w:ascii="Times New Roman" w:hAnsi="Times New Roman" w:cs="Times New Roman"/>
      <w:snapToGrid w:val="0"/>
      <w:sz w:val="24"/>
      <w:szCs w:val="28"/>
    </w:rPr>
  </w:style>
  <w:style w:type="paragraph" w:customStyle="1" w:styleId="64">
    <w:name w:val="p17"/>
    <w:basedOn w:val="1"/>
    <w:autoRedefine/>
    <w:qFormat/>
    <w:uiPriority w:val="0"/>
    <w:pPr>
      <w:widowControl/>
    </w:pPr>
    <w:rPr>
      <w:rFonts w:ascii="宋体" w:hAnsi="宋体" w:cs="宋体"/>
      <w:kern w:val="0"/>
      <w:szCs w:val="21"/>
    </w:rPr>
  </w:style>
  <w:style w:type="paragraph" w:customStyle="1" w:styleId="65">
    <w:name w:val="标题表格"/>
    <w:basedOn w:val="1"/>
    <w:autoRedefine/>
    <w:qFormat/>
    <w:uiPriority w:val="0"/>
    <w:pPr>
      <w:spacing w:beforeLines="50"/>
      <w:jc w:val="center"/>
    </w:pPr>
    <w:rPr>
      <w:rFonts w:ascii="黑体" w:hAnsi="楷体_GB2312" w:eastAsia="黑体" w:cs="宋体"/>
    </w:rPr>
  </w:style>
  <w:style w:type="paragraph" w:customStyle="1" w:styleId="66">
    <w:name w:val="正文-ls"/>
    <w:basedOn w:val="1"/>
    <w:autoRedefine/>
    <w:qFormat/>
    <w:uiPriority w:val="0"/>
    <w:pPr>
      <w:ind w:firstLine="200"/>
    </w:pPr>
    <w:rPr>
      <w:rFonts w:hAnsi="宋体" w:cs="宋体"/>
      <w:sz w:val="24"/>
    </w:rPr>
  </w:style>
  <w:style w:type="paragraph" w:customStyle="1" w:styleId="67">
    <w:name w:val="1 Char"/>
    <w:basedOn w:val="1"/>
    <w:autoRedefine/>
    <w:qFormat/>
    <w:uiPriority w:val="0"/>
    <w:pPr>
      <w:adjustRightInd w:val="0"/>
      <w:spacing w:line="360" w:lineRule="atLeast"/>
      <w:textAlignment w:val="baseline"/>
    </w:pPr>
  </w:style>
  <w:style w:type="paragraph" w:customStyle="1" w:styleId="68">
    <w:name w:val="正文文本缩进1"/>
    <w:basedOn w:val="1"/>
    <w:autoRedefine/>
    <w:qFormat/>
    <w:uiPriority w:val="0"/>
    <w:pPr>
      <w:autoSpaceDE w:val="0"/>
      <w:autoSpaceDN w:val="0"/>
      <w:adjustRightInd w:val="0"/>
      <w:ind w:firstLine="480"/>
    </w:pPr>
    <w:rPr>
      <w:rFonts w:ascii="宋体" w:hAnsi="宋体"/>
      <w:kern w:val="0"/>
      <w:sz w:val="24"/>
    </w:rPr>
  </w:style>
  <w:style w:type="paragraph" w:customStyle="1" w:styleId="69">
    <w:name w:val="表格1"/>
    <w:basedOn w:val="1"/>
    <w:autoRedefine/>
    <w:qFormat/>
    <w:uiPriority w:val="0"/>
    <w:pPr>
      <w:widowControl/>
      <w:adjustRightInd w:val="0"/>
      <w:snapToGrid w:val="0"/>
      <w:ind w:firstLine="480"/>
    </w:pPr>
    <w:rPr>
      <w:rFonts w:ascii="宋体" w:hAnsi="宋体"/>
    </w:rPr>
  </w:style>
  <w:style w:type="paragraph" w:customStyle="1" w:styleId="70">
    <w:name w:val="书 正文"/>
    <w:basedOn w:val="1"/>
    <w:link w:val="73"/>
    <w:autoRedefine/>
    <w:qFormat/>
    <w:uiPriority w:val="0"/>
    <w:pPr>
      <w:ind w:firstLine="514"/>
    </w:pPr>
    <w:rPr>
      <w:kern w:val="24"/>
      <w:sz w:val="24"/>
    </w:rPr>
  </w:style>
  <w:style w:type="paragraph" w:customStyle="1" w:styleId="71">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2">
    <w:name w:val="环评正文"/>
    <w:basedOn w:val="1"/>
    <w:autoRedefine/>
    <w:qFormat/>
    <w:uiPriority w:val="0"/>
    <w:rPr>
      <w:rFonts w:eastAsiaTheme="minorEastAsia"/>
      <w:lang w:val="zh-CN"/>
    </w:rPr>
  </w:style>
  <w:style w:type="character" w:customStyle="1" w:styleId="73">
    <w:name w:val="书 正文 Char"/>
    <w:link w:val="70"/>
    <w:autoRedefine/>
    <w:qFormat/>
    <w:uiPriority w:val="0"/>
    <w:rPr>
      <w:kern w:val="24"/>
      <w:sz w:val="24"/>
      <w:szCs w:val="24"/>
    </w:rPr>
  </w:style>
  <w:style w:type="paragraph" w:customStyle="1" w:styleId="74">
    <w:name w:val="正文(首行缩进)"/>
    <w:basedOn w:val="1"/>
    <w:next w:val="1"/>
    <w:autoRedefine/>
    <w:qFormat/>
    <w:uiPriority w:val="0"/>
    <w:pPr>
      <w:ind w:firstLine="540" w:firstLineChars="225"/>
    </w:pPr>
    <w:rPr>
      <w:snapToGrid w:val="0"/>
      <w:color w:val="000000"/>
      <w:kern w:val="0"/>
      <w:sz w:val="24"/>
    </w:rPr>
  </w:style>
  <w:style w:type="paragraph" w:styleId="75">
    <w:name w:val="No Spacing"/>
    <w:autoRedefine/>
    <w:qFormat/>
    <w:uiPriority w:val="0"/>
    <w:pPr>
      <w:widowControl w:val="0"/>
      <w:jc w:val="both"/>
    </w:pPr>
    <w:rPr>
      <w:rFonts w:ascii="Times New Roman" w:hAnsi="Times New Roman" w:eastAsia="宋体" w:cs="Times New Roman"/>
      <w:kern w:val="2"/>
      <w:sz w:val="18"/>
      <w:szCs w:val="24"/>
      <w:lang w:val="en-US" w:eastAsia="zh-CN" w:bidi="ar-SA"/>
    </w:rPr>
  </w:style>
  <w:style w:type="character" w:customStyle="1" w:styleId="76">
    <w:name w:val="页脚 字符"/>
    <w:autoRedefine/>
    <w:qFormat/>
    <w:uiPriority w:val="99"/>
    <w:rPr>
      <w:rFonts w:ascii="楷体" w:hAnsi="楷体" w:eastAsia="楷体"/>
      <w14:shadow w14:blurRad="50800" w14:dist="38100" w14:dir="2700000" w14:sx="100000" w14:sy="100000" w14:kx="0" w14:ky="0" w14:algn="tl">
        <w14:srgbClr w14:val="000000">
          <w14:alpha w14:val="60000"/>
        </w14:srgbClr>
      </w14:shadow>
    </w:rPr>
  </w:style>
  <w:style w:type="paragraph" w:customStyle="1" w:styleId="77">
    <w:name w:val="表头标题"/>
    <w:next w:val="12"/>
    <w:autoRedefine/>
    <w:qFormat/>
    <w:uiPriority w:val="0"/>
    <w:pPr>
      <w:spacing w:line="360" w:lineRule="auto"/>
      <w:jc w:val="center"/>
    </w:pPr>
    <w:rPr>
      <w:rFonts w:ascii="黑体" w:hAnsi="黑体" w:eastAsia="黑体" w:cs="Times New Roman"/>
      <w:b/>
      <w:color w:val="000000" w:themeColor="text1"/>
      <w:kern w:val="2"/>
      <w:sz w:val="24"/>
      <w:szCs w:val="24"/>
      <w:lang w:val="en-US" w:eastAsia="zh-CN" w:bidi="ar-SA"/>
      <w14:textFill>
        <w14:solidFill>
          <w14:schemeClr w14:val="tx1"/>
        </w14:solidFill>
      </w14:textFill>
    </w:rPr>
  </w:style>
  <w:style w:type="paragraph" w:customStyle="1" w:styleId="78">
    <w:name w:val="正文格式"/>
    <w:basedOn w:val="23"/>
    <w:next w:val="1"/>
    <w:autoRedefine/>
    <w:qFormat/>
    <w:uiPriority w:val="0"/>
    <w:rPr>
      <w:rFonts w:ascii="宋体"/>
      <w:szCs w:val="24"/>
    </w:rPr>
  </w:style>
  <w:style w:type="paragraph" w:customStyle="1" w:styleId="79">
    <w:name w:val="表中文字"/>
    <w:basedOn w:val="31"/>
    <w:autoRedefine/>
    <w:qFormat/>
    <w:uiPriority w:val="0"/>
    <w:pPr>
      <w:spacing w:line="320" w:lineRule="exact"/>
    </w:pPr>
  </w:style>
  <w:style w:type="paragraph" w:customStyle="1" w:styleId="80">
    <w:name w:val="表格内容1"/>
    <w:basedOn w:val="1"/>
    <w:autoRedefine/>
    <w:qFormat/>
    <w:uiPriority w:val="0"/>
    <w:pPr>
      <w:adjustRightInd w:val="0"/>
      <w:snapToGrid w:val="0"/>
      <w:spacing w:line="240" w:lineRule="auto"/>
      <w:ind w:firstLine="0" w:firstLineChars="0"/>
      <w:jc w:val="center"/>
      <w:textAlignment w:val="baseline"/>
    </w:pPr>
    <w:rPr>
      <w:rFonts w:ascii="Times New Roman" w:hAnsi="Times New Roman"/>
      <w:sz w:val="21"/>
      <w:szCs w:val="21"/>
    </w:rPr>
  </w:style>
  <w:style w:type="character" w:customStyle="1" w:styleId="81">
    <w:name w:val="正文文本_"/>
    <w:link w:val="82"/>
    <w:autoRedefine/>
    <w:qFormat/>
    <w:uiPriority w:val="0"/>
    <w:rPr>
      <w:rFonts w:hint="eastAsia" w:ascii="微软雅黑" w:hAnsi="微软雅黑" w:eastAsia="微软雅黑"/>
      <w:sz w:val="22"/>
    </w:rPr>
  </w:style>
  <w:style w:type="paragraph" w:customStyle="1" w:styleId="82">
    <w:name w:val="正文文本1"/>
    <w:basedOn w:val="1"/>
    <w:link w:val="81"/>
    <w:autoRedefine/>
    <w:unhideWhenUsed/>
    <w:qFormat/>
    <w:uiPriority w:val="99"/>
    <w:pPr>
      <w:shd w:val="clear" w:color="auto" w:fill="FFFFFF"/>
      <w:spacing w:before="1320" w:beforeLines="0" w:afterLines="0" w:line="1001" w:lineRule="exact"/>
      <w:ind w:hanging="500"/>
      <w:jc w:val="distribute"/>
    </w:pPr>
    <w:rPr>
      <w:rFonts w:hint="eastAsia" w:ascii="微软雅黑" w:hAnsi="微软雅黑" w:eastAsia="微软雅黑"/>
      <w:sz w:val="22"/>
    </w:rPr>
  </w:style>
  <w:style w:type="paragraph" w:customStyle="1" w:styleId="83">
    <w:name w:val="样式 宋体 小四 首行缩进:  0.85 厘米 行距: 1.5 倍行距"/>
    <w:basedOn w:val="1"/>
    <w:autoRedefine/>
    <w:qFormat/>
    <w:uiPriority w:val="0"/>
    <w:pPr>
      <w:spacing w:line="360" w:lineRule="auto"/>
      <w:ind w:firstLine="480" w:firstLineChars="200"/>
    </w:pPr>
    <w:rPr>
      <w:rFonts w:ascii="宋体" w:hAnsi="宋体" w:eastAsia="宋体" w:cs="宋体"/>
      <w:sz w:val="24"/>
    </w:rPr>
  </w:style>
  <w:style w:type="character" w:customStyle="1" w:styleId="84">
    <w:name w:val="font21"/>
    <w:basedOn w:val="27"/>
    <w:autoRedefine/>
    <w:qFormat/>
    <w:uiPriority w:val="0"/>
    <w:rPr>
      <w:rFonts w:hint="eastAsia" w:ascii="宋体" w:hAnsi="宋体" w:eastAsia="宋体" w:cs="宋体"/>
      <w:b/>
      <w:bCs/>
      <w:color w:val="000000"/>
      <w:sz w:val="21"/>
      <w:szCs w:val="21"/>
      <w:u w:val="none"/>
    </w:rPr>
  </w:style>
  <w:style w:type="paragraph" w:customStyle="1" w:styleId="85">
    <w:name w:val="Table Text"/>
    <w:basedOn w:val="1"/>
    <w:autoRedefine/>
    <w:semiHidden/>
    <w:qFormat/>
    <w:uiPriority w:val="0"/>
    <w:rPr>
      <w:rFonts w:ascii="宋体" w:hAnsi="宋体" w:eastAsia="宋体" w:cs="宋体"/>
      <w:sz w:val="24"/>
      <w:szCs w:val="24"/>
      <w:lang w:val="en-US" w:eastAsia="en-US" w:bidi="ar-SA"/>
    </w:rPr>
  </w:style>
  <w:style w:type="table" w:customStyle="1" w:styleId="86">
    <w:name w:val="Table Normal"/>
    <w:autoRedefine/>
    <w:semiHidden/>
    <w:unhideWhenUsed/>
    <w:qFormat/>
    <w:uiPriority w:val="0"/>
    <w:tblPr>
      <w:tblCellMar>
        <w:top w:w="0" w:type="dxa"/>
        <w:left w:w="0" w:type="dxa"/>
        <w:bottom w:w="0" w:type="dxa"/>
        <w:right w:w="0" w:type="dxa"/>
      </w:tblCellMar>
    </w:tblPr>
  </w:style>
  <w:style w:type="paragraph" w:customStyle="1" w:styleId="87">
    <w:name w:val="txt"/>
    <w:basedOn w:val="88"/>
    <w:autoRedefine/>
    <w:qFormat/>
    <w:uiPriority w:val="0"/>
    <w:rPr>
      <w:sz w:val="21"/>
      <w:szCs w:val="21"/>
    </w:rPr>
  </w:style>
  <w:style w:type="paragraph" w:customStyle="1" w:styleId="88">
    <w:name w:val="text"/>
    <w:basedOn w:val="1"/>
    <w:autoRedefine/>
    <w:qFormat/>
    <w:uiPriority w:val="0"/>
    <w:pPr>
      <w:wordWrap w:val="0"/>
      <w:spacing w:line="360" w:lineRule="auto"/>
      <w:ind w:firstLine="200" w:firstLineChars="20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lnDef>
      <a:spPr>
        <a:ln w="12700" cap="flat" cmpd="sng">
          <a:solidFill>
            <a:srgbClr val="000000"/>
          </a:solidFill>
          <a:prstDash val="solid"/>
          <a:headEnd type="none" w="med" len="med"/>
          <a:tailEnd type="none" w="med" len="me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6C804A-4DB8-4C71-A2A0-38220575071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49445</Words>
  <Characters>53611</Characters>
  <Lines>327</Lines>
  <Paragraphs>92</Paragraphs>
  <TotalTime>4</TotalTime>
  <ScaleCrop>false</ScaleCrop>
  <LinksUpToDate>false</LinksUpToDate>
  <CharactersWithSpaces>54181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lhj</dc:creator>
  <cp:lastModifiedBy>unfair。</cp:lastModifiedBy>
  <cp:lastPrinted>2020-12-24T01:50:00Z</cp:lastPrinted>
  <dcterms:modified xsi:type="dcterms:W3CDTF">2024-05-08T10:23:59Z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309238715_cloud</vt:lpwstr>
  </property>
  <property fmtid="{D5CDD505-2E9C-101B-9397-08002B2CF9AE}" pid="4" name="ICV">
    <vt:lpwstr>A3BE88E8C9EC470A9CF58B8F8496E2DD_13</vt:lpwstr>
  </property>
</Properties>
</file>