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50" w:lineRule="auto"/>
        <w:rPr>
          <w:color w:val="auto"/>
        </w:rPr>
      </w:pPr>
    </w:p>
    <w:p>
      <w:pPr>
        <w:pStyle w:val="9"/>
        <w:spacing w:line="250" w:lineRule="auto"/>
        <w:rPr>
          <w:color w:val="auto"/>
        </w:rPr>
      </w:pPr>
    </w:p>
    <w:p>
      <w:pPr>
        <w:pStyle w:val="9"/>
        <w:spacing w:line="250" w:lineRule="auto"/>
        <w:rPr>
          <w:color w:val="auto"/>
        </w:rPr>
      </w:pPr>
    </w:p>
    <w:p>
      <w:pPr>
        <w:spacing w:before="231" w:line="221" w:lineRule="auto"/>
        <w:ind w:left="0" w:leftChars="0" w:firstLine="0" w:firstLineChars="0"/>
        <w:jc w:val="center"/>
        <w:outlineLvl w:val="0"/>
        <w:rPr>
          <w:rFonts w:ascii="宋体" w:hAnsi="宋体" w:eastAsia="宋体" w:cs="宋体"/>
          <w:color w:val="auto"/>
          <w:sz w:val="71"/>
          <w:szCs w:val="71"/>
        </w:rPr>
      </w:pPr>
      <w:r>
        <w:rPr>
          <w:rFonts w:ascii="宋体" w:hAnsi="宋体" w:eastAsia="宋体" w:cs="宋体"/>
          <w:color w:val="auto"/>
          <w:spacing w:val="6"/>
          <w:sz w:val="71"/>
          <w:szCs w:val="71"/>
        </w:rPr>
        <w:t>建设项目环境影响报告表</w:t>
      </w:r>
    </w:p>
    <w:p>
      <w:pPr>
        <w:spacing w:before="238" w:line="224" w:lineRule="auto"/>
        <w:jc w:val="center"/>
        <w:rPr>
          <w:rFonts w:ascii="宋体" w:hAnsi="宋体" w:eastAsia="宋体" w:cs="宋体"/>
          <w:color w:val="auto"/>
          <w:sz w:val="47"/>
          <w:szCs w:val="47"/>
        </w:rPr>
      </w:pPr>
      <w:r>
        <w:rPr>
          <w:rFonts w:ascii="宋体" w:hAnsi="宋体" w:eastAsia="宋体" w:cs="宋体"/>
          <w:color w:val="auto"/>
          <w:spacing w:val="3"/>
          <w:sz w:val="47"/>
          <w:szCs w:val="47"/>
        </w:rPr>
        <w:t>（生态影响类）</w:t>
      </w:r>
    </w:p>
    <w:p>
      <w:pPr>
        <w:pStyle w:val="9"/>
        <w:spacing w:line="252" w:lineRule="auto"/>
        <w:rPr>
          <w:color w:val="auto"/>
        </w:rPr>
      </w:pPr>
    </w:p>
    <w:p>
      <w:pPr>
        <w:pStyle w:val="9"/>
        <w:spacing w:line="252" w:lineRule="auto"/>
        <w:rPr>
          <w:color w:val="auto"/>
        </w:rPr>
      </w:pPr>
    </w:p>
    <w:p>
      <w:pPr>
        <w:pStyle w:val="9"/>
        <w:spacing w:line="252" w:lineRule="auto"/>
        <w:rPr>
          <w:color w:val="auto"/>
        </w:rPr>
      </w:pPr>
    </w:p>
    <w:p>
      <w:pPr>
        <w:pStyle w:val="9"/>
        <w:spacing w:line="252"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pStyle w:val="9"/>
        <w:spacing w:line="253" w:lineRule="auto"/>
        <w:rPr>
          <w:color w:val="auto"/>
        </w:rPr>
      </w:pPr>
    </w:p>
    <w:p>
      <w:pPr>
        <w:tabs>
          <w:tab w:val="left" w:pos="8589"/>
        </w:tabs>
        <w:spacing w:before="113" w:line="296" w:lineRule="auto"/>
        <w:jc w:val="both"/>
        <w:rPr>
          <w:rFonts w:hint="eastAsia" w:ascii="宋体" w:hAnsi="宋体" w:cs="宋体"/>
          <w:color w:val="auto"/>
          <w:spacing w:val="1"/>
          <w:sz w:val="35"/>
          <w:szCs w:val="35"/>
          <w:u w:val="single"/>
          <w:lang w:eastAsia="zh-CN"/>
        </w:rPr>
      </w:pPr>
      <w:r>
        <w:rPr>
          <w:rFonts w:ascii="宋体" w:hAnsi="宋体" w:eastAsia="宋体" w:cs="宋体"/>
          <w:color w:val="auto"/>
          <w:spacing w:val="1"/>
          <w:sz w:val="35"/>
          <w:szCs w:val="35"/>
        </w:rPr>
        <w:t>项目名称：</w:t>
      </w:r>
      <w:r>
        <w:rPr>
          <w:rFonts w:hint="eastAsia" w:ascii="宋体" w:hAnsi="宋体" w:cs="宋体"/>
          <w:color w:val="auto"/>
          <w:spacing w:val="1"/>
          <w:sz w:val="35"/>
          <w:szCs w:val="35"/>
          <w:u w:val="single"/>
          <w:lang w:eastAsia="zh-CN"/>
        </w:rPr>
        <w:t>新疆鄯善县连木沁镇阿克墩村北</w:t>
      </w:r>
    </w:p>
    <w:p>
      <w:pPr>
        <w:tabs>
          <w:tab w:val="left" w:pos="8589"/>
        </w:tabs>
        <w:spacing w:before="113" w:line="296" w:lineRule="auto"/>
        <w:ind w:firstLine="2464" w:firstLineChars="700"/>
        <w:jc w:val="both"/>
        <w:rPr>
          <w:rFonts w:hint="default" w:ascii="宋体" w:hAnsi="宋体" w:eastAsia="宋体" w:cs="宋体"/>
          <w:color w:val="auto"/>
          <w:spacing w:val="1"/>
          <w:sz w:val="35"/>
          <w:szCs w:val="35"/>
          <w:u w:val="single"/>
          <w:lang w:val="en-US" w:eastAsia="zh-CN"/>
        </w:rPr>
      </w:pPr>
      <w:r>
        <w:rPr>
          <w:rFonts w:hint="eastAsia" w:ascii="宋体" w:hAnsi="宋体" w:cs="宋体"/>
          <w:color w:val="auto"/>
          <w:spacing w:val="1"/>
          <w:sz w:val="35"/>
          <w:szCs w:val="35"/>
          <w:u w:val="single"/>
          <w:lang w:val="en-US" w:eastAsia="zh-CN"/>
        </w:rPr>
        <w:t>建筑用砂</w:t>
      </w:r>
      <w:r>
        <w:rPr>
          <w:rFonts w:hint="eastAsia" w:ascii="宋体" w:hAnsi="宋体" w:cs="宋体"/>
          <w:color w:val="auto"/>
          <w:spacing w:val="1"/>
          <w:sz w:val="35"/>
          <w:szCs w:val="35"/>
          <w:u w:val="single"/>
          <w:lang w:eastAsia="zh-CN"/>
        </w:rPr>
        <w:t>矿</w:t>
      </w:r>
    </w:p>
    <w:p>
      <w:pPr>
        <w:tabs>
          <w:tab w:val="left" w:pos="8589"/>
        </w:tabs>
        <w:spacing w:before="113" w:line="296" w:lineRule="auto"/>
        <w:jc w:val="both"/>
        <w:rPr>
          <w:rFonts w:ascii="宋体" w:hAnsi="宋体" w:eastAsia="宋体" w:cs="宋体"/>
          <w:color w:val="auto"/>
          <w:sz w:val="28"/>
          <w:szCs w:val="28"/>
        </w:rPr>
      </w:pPr>
      <w:r>
        <w:rPr>
          <w:rFonts w:ascii="宋体" w:hAnsi="宋体" w:eastAsia="宋体" w:cs="宋体"/>
          <w:color w:val="auto"/>
          <w:spacing w:val="1"/>
          <w:sz w:val="35"/>
          <w:szCs w:val="35"/>
        </w:rPr>
        <w:t>建设</w:t>
      </w:r>
      <w:r>
        <w:rPr>
          <w:rFonts w:hint="eastAsia" w:ascii="宋体" w:hAnsi="宋体" w:eastAsia="宋体" w:cs="宋体"/>
          <w:color w:val="auto"/>
          <w:spacing w:val="1"/>
          <w:sz w:val="35"/>
          <w:szCs w:val="35"/>
          <w:lang w:val="en-US" w:eastAsia="zh-CN"/>
        </w:rPr>
        <w:t>单位</w:t>
      </w:r>
      <w:r>
        <w:rPr>
          <w:rFonts w:ascii="宋体" w:hAnsi="宋体" w:eastAsia="宋体" w:cs="宋体"/>
          <w:color w:val="auto"/>
          <w:spacing w:val="1"/>
          <w:sz w:val="35"/>
          <w:szCs w:val="35"/>
        </w:rPr>
        <w:t>（盖章</w:t>
      </w:r>
      <w:r>
        <w:rPr>
          <w:rFonts w:ascii="宋体" w:hAnsi="宋体" w:eastAsia="宋体" w:cs="宋体"/>
          <w:color w:val="auto"/>
          <w:spacing w:val="25"/>
          <w:sz w:val="35"/>
          <w:szCs w:val="35"/>
        </w:rPr>
        <w:t>）：</w:t>
      </w:r>
      <w:r>
        <w:rPr>
          <w:rFonts w:hint="default" w:ascii="宋体" w:hAnsi="宋体" w:eastAsia="宋体" w:cs="宋体"/>
          <w:color w:val="auto"/>
          <w:spacing w:val="25"/>
          <w:sz w:val="35"/>
          <w:szCs w:val="35"/>
          <w:u w:val="single"/>
          <w:lang w:eastAsia="zh-CN"/>
        </w:rPr>
        <w:t>鄯善县泰航矿业有限公司</w:t>
      </w:r>
    </w:p>
    <w:p>
      <w:pPr>
        <w:tabs>
          <w:tab w:val="left" w:pos="8589"/>
        </w:tabs>
        <w:spacing w:before="113" w:line="296" w:lineRule="auto"/>
        <w:jc w:val="both"/>
        <w:rPr>
          <w:rFonts w:ascii="宋体" w:hAnsi="宋体" w:eastAsia="宋体" w:cs="宋体"/>
          <w:color w:val="auto"/>
          <w:spacing w:val="1"/>
          <w:sz w:val="35"/>
          <w:szCs w:val="35"/>
        </w:rPr>
      </w:pPr>
      <w:r>
        <w:rPr>
          <w:rFonts w:ascii="宋体" w:hAnsi="宋体" w:eastAsia="宋体" w:cs="宋体"/>
          <w:color w:val="auto"/>
          <w:spacing w:val="1"/>
          <w:sz w:val="35"/>
          <w:szCs w:val="35"/>
        </w:rPr>
        <w:t>编制日期：</w:t>
      </w:r>
      <w:r>
        <w:rPr>
          <w:rFonts w:ascii="宋体" w:hAnsi="宋体" w:eastAsia="宋体" w:cs="宋体"/>
          <w:color w:val="auto"/>
          <w:spacing w:val="1"/>
          <w:sz w:val="35"/>
          <w:szCs w:val="35"/>
          <w:u w:val="single"/>
        </w:rPr>
        <w:t xml:space="preserve">            202</w:t>
      </w:r>
      <w:r>
        <w:rPr>
          <w:rFonts w:hint="eastAsia" w:ascii="宋体" w:hAnsi="宋体" w:eastAsia="宋体" w:cs="宋体"/>
          <w:color w:val="auto"/>
          <w:spacing w:val="1"/>
          <w:sz w:val="35"/>
          <w:szCs w:val="35"/>
          <w:u w:val="single"/>
          <w:lang w:val="en-US" w:eastAsia="zh-CN"/>
        </w:rPr>
        <w:t>4</w:t>
      </w:r>
      <w:r>
        <w:rPr>
          <w:rFonts w:ascii="宋体" w:hAnsi="宋体" w:eastAsia="宋体" w:cs="宋体"/>
          <w:color w:val="auto"/>
          <w:spacing w:val="1"/>
          <w:sz w:val="35"/>
          <w:szCs w:val="35"/>
          <w:u w:val="single"/>
        </w:rPr>
        <w:t>年</w:t>
      </w:r>
      <w:r>
        <w:rPr>
          <w:rFonts w:hint="eastAsia" w:ascii="宋体" w:hAnsi="宋体" w:cs="宋体"/>
          <w:color w:val="auto"/>
          <w:spacing w:val="1"/>
          <w:sz w:val="35"/>
          <w:szCs w:val="35"/>
          <w:u w:val="single"/>
          <w:lang w:val="en-US" w:eastAsia="zh-CN"/>
        </w:rPr>
        <w:t>4</w:t>
      </w:r>
      <w:r>
        <w:rPr>
          <w:rFonts w:ascii="宋体" w:hAnsi="宋体" w:eastAsia="宋体" w:cs="宋体"/>
          <w:color w:val="auto"/>
          <w:spacing w:val="1"/>
          <w:sz w:val="35"/>
          <w:szCs w:val="35"/>
          <w:u w:val="single"/>
        </w:rPr>
        <w:t xml:space="preserve">月  </w:t>
      </w:r>
      <w:r>
        <w:rPr>
          <w:rFonts w:hint="eastAsia" w:ascii="宋体" w:hAnsi="宋体" w:eastAsia="宋体" w:cs="宋体"/>
          <w:color w:val="auto"/>
          <w:spacing w:val="1"/>
          <w:sz w:val="35"/>
          <w:szCs w:val="35"/>
          <w:u w:val="single"/>
          <w:lang w:val="en-US" w:eastAsia="zh-CN"/>
        </w:rPr>
        <w:t xml:space="preserve">         </w:t>
      </w:r>
      <w:r>
        <w:rPr>
          <w:rFonts w:ascii="宋体" w:hAnsi="宋体" w:eastAsia="宋体" w:cs="宋体"/>
          <w:color w:val="auto"/>
          <w:spacing w:val="1"/>
          <w:sz w:val="35"/>
          <w:szCs w:val="35"/>
        </w:rPr>
        <w:t xml:space="preserve">               </w:t>
      </w:r>
    </w:p>
    <w:p>
      <w:pPr>
        <w:pStyle w:val="9"/>
        <w:spacing w:line="254" w:lineRule="auto"/>
        <w:rPr>
          <w:color w:val="auto"/>
        </w:rPr>
      </w:pPr>
    </w:p>
    <w:p>
      <w:pPr>
        <w:pStyle w:val="9"/>
        <w:spacing w:line="254" w:lineRule="auto"/>
        <w:rPr>
          <w:color w:val="auto"/>
        </w:rPr>
      </w:pPr>
    </w:p>
    <w:p>
      <w:pPr>
        <w:pStyle w:val="9"/>
        <w:spacing w:line="254" w:lineRule="auto"/>
        <w:rPr>
          <w:color w:val="auto"/>
        </w:rPr>
      </w:pPr>
    </w:p>
    <w:p>
      <w:pPr>
        <w:pStyle w:val="9"/>
        <w:spacing w:line="255" w:lineRule="auto"/>
        <w:ind w:left="0" w:leftChars="0" w:firstLine="0" w:firstLineChars="0"/>
        <w:rPr>
          <w:rFonts w:hint="default" w:ascii="宋体" w:hAnsi="宋体" w:eastAsia="宋体" w:cs="宋体"/>
          <w:color w:val="auto"/>
          <w:spacing w:val="25"/>
          <w:kern w:val="2"/>
          <w:sz w:val="35"/>
          <w:szCs w:val="35"/>
          <w:u w:val="single"/>
          <w:lang w:val="en-US" w:eastAsia="zh-CN" w:bidi="ar-SA"/>
        </w:rPr>
      </w:pPr>
    </w:p>
    <w:p>
      <w:pPr>
        <w:spacing w:before="114" w:line="225" w:lineRule="auto"/>
        <w:ind w:left="1873"/>
        <w:rPr>
          <w:rFonts w:hint="default" w:ascii="宋体" w:hAnsi="宋体" w:eastAsia="宋体" w:cs="宋体"/>
          <w:color w:val="auto"/>
          <w:spacing w:val="25"/>
          <w:kern w:val="2"/>
          <w:sz w:val="35"/>
          <w:szCs w:val="35"/>
          <w:u w:val="none"/>
          <w:lang w:val="en-US" w:eastAsia="zh-CN" w:bidi="ar-SA"/>
        </w:rPr>
      </w:pPr>
      <w:r>
        <w:rPr>
          <w:rFonts w:hint="default" w:ascii="宋体" w:hAnsi="宋体" w:eastAsia="宋体" w:cs="宋体"/>
          <w:color w:val="auto"/>
          <w:spacing w:val="25"/>
          <w:kern w:val="2"/>
          <w:sz w:val="35"/>
          <w:szCs w:val="35"/>
          <w:u w:val="none"/>
          <w:lang w:val="en-US" w:eastAsia="zh-CN" w:bidi="ar-SA"/>
        </w:rPr>
        <w:t>中华人民共和国生态环境部制</w:t>
      </w:r>
    </w:p>
    <w:p>
      <w:pPr>
        <w:spacing w:line="225" w:lineRule="auto"/>
        <w:rPr>
          <w:rFonts w:hint="default" w:ascii="宋体" w:hAnsi="宋体" w:eastAsia="宋体" w:cs="宋体"/>
          <w:color w:val="auto"/>
          <w:spacing w:val="25"/>
          <w:kern w:val="2"/>
          <w:sz w:val="35"/>
          <w:szCs w:val="35"/>
          <w:u w:val="single"/>
          <w:lang w:val="en-US" w:eastAsia="zh-CN" w:bidi="ar-SA"/>
        </w:rPr>
        <w:sectPr>
          <w:footerReference r:id="rId5" w:type="default"/>
          <w:pgSz w:w="11906" w:h="16839"/>
          <w:pgMar w:top="1431" w:right="1530" w:bottom="1240" w:left="1785" w:header="0" w:footer="1078" w:gutter="0"/>
          <w:cols w:space="720" w:num="1"/>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headerReference r:id="rId6" w:type="default"/>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4258" w:type="dxa"/>
            <w:noWrap w:val="0"/>
            <w:vAlign w:val="top"/>
          </w:tcPr>
          <w:p>
            <w:pPr>
              <w:tabs>
                <w:tab w:val="left" w:pos="1440"/>
              </w:tabs>
              <w:spacing w:line="240" w:lineRule="auto"/>
              <w:ind w:firstLine="0" w:firstLineChars="0"/>
              <w:rPr>
                <w:rFonts w:hint="default" w:ascii="Times New Roman" w:hAnsi="Times New Roman" w:eastAsia="仿宋" w:cs="Times New Roman"/>
                <w:b/>
                <w:color w:val="auto"/>
                <w:szCs w:val="28"/>
                <w:shd w:val="clear" w:color="auto" w:fill="auto"/>
              </w:rPr>
            </w:pPr>
            <w:r>
              <w:rPr>
                <w:color w:val="auto"/>
                <w:position w:val="-123"/>
              </w:rPr>
              <w:drawing>
                <wp:anchor distT="0" distB="0" distL="114300" distR="114300" simplePos="0" relativeHeight="251698176" behindDoc="0" locked="0" layoutInCell="1" allowOverlap="1">
                  <wp:simplePos x="0" y="0"/>
                  <wp:positionH relativeFrom="column">
                    <wp:posOffset>0</wp:posOffset>
                  </wp:positionH>
                  <wp:positionV relativeFrom="paragraph">
                    <wp:posOffset>101600</wp:posOffset>
                  </wp:positionV>
                  <wp:extent cx="2557145" cy="2246630"/>
                  <wp:effectExtent l="0" t="0" r="14605" b="1270"/>
                  <wp:wrapNone/>
                  <wp:docPr id="22" name="IM 2"/>
                  <wp:cNvGraphicFramePr/>
                  <a:graphic xmlns:a="http://schemas.openxmlformats.org/drawingml/2006/main">
                    <a:graphicData uri="http://schemas.openxmlformats.org/drawingml/2006/picture">
                      <pic:pic xmlns:pic="http://schemas.openxmlformats.org/drawingml/2006/picture">
                        <pic:nvPicPr>
                          <pic:cNvPr id="22" name="IM 2"/>
                          <pic:cNvPicPr/>
                        </pic:nvPicPr>
                        <pic:blipFill>
                          <a:blip r:embed="rId12"/>
                          <a:stretch>
                            <a:fillRect/>
                          </a:stretch>
                        </pic:blipFill>
                        <pic:spPr>
                          <a:xfrm>
                            <a:off x="0" y="0"/>
                            <a:ext cx="2557145" cy="2246630"/>
                          </a:xfrm>
                          <a:prstGeom prst="rect">
                            <a:avLst/>
                          </a:prstGeom>
                          <a:noFill/>
                          <a:ln>
                            <a:noFill/>
                          </a:ln>
                        </pic:spPr>
                      </pic:pic>
                    </a:graphicData>
                  </a:graphic>
                </wp:anchor>
              </w:drawing>
            </w:r>
          </w:p>
          <w:p>
            <w:pPr>
              <w:tabs>
                <w:tab w:val="left" w:pos="1440"/>
              </w:tabs>
              <w:spacing w:line="240" w:lineRule="auto"/>
              <w:ind w:firstLine="0" w:firstLineChars="0"/>
              <w:jc w:val="center"/>
              <w:rPr>
                <w:rFonts w:hint="default" w:ascii="Times New Roman" w:hAnsi="Times New Roman" w:eastAsia="仿宋" w:cs="Times New Roman"/>
                <w:b/>
                <w:color w:val="auto"/>
                <w:szCs w:val="28"/>
                <w:shd w:val="clear" w:color="auto" w:fill="auto"/>
                <w:lang w:eastAsia="zh-CN"/>
              </w:rPr>
            </w:pPr>
          </w:p>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shd w:val="clear" w:color="auto" w:fill="auto"/>
                <w:lang w:val="en-US" w:eastAsia="zh-CN"/>
              </w:rPr>
            </w:pPr>
          </w:p>
        </w:tc>
        <w:tc>
          <w:tcPr>
            <w:tcW w:w="4258" w:type="dxa"/>
            <w:noWrap w:val="0"/>
            <w:vAlign w:val="top"/>
          </w:tcPr>
          <w:p>
            <w:pPr>
              <w:tabs>
                <w:tab w:val="left" w:pos="1440"/>
              </w:tabs>
              <w:spacing w:line="240" w:lineRule="auto"/>
              <w:ind w:firstLine="0" w:firstLineChars="0"/>
              <w:jc w:val="both"/>
              <w:rPr>
                <w:rFonts w:hint="default" w:ascii="Times New Roman" w:hAnsi="Times New Roman" w:eastAsia="仿宋" w:cs="Times New Roman"/>
                <w:color w:val="auto"/>
                <w:lang w:eastAsia="zh-CN"/>
              </w:rPr>
            </w:pPr>
          </w:p>
          <w:p>
            <w:pPr>
              <w:pStyle w:val="35"/>
              <w:rPr>
                <w:rFonts w:hint="default" w:ascii="Times New Roman" w:hAnsi="Times New Roman" w:eastAsia="仿宋" w:cs="Times New Roman"/>
                <w:color w:val="auto"/>
                <w:lang w:eastAsia="zh-CN"/>
              </w:rPr>
            </w:pPr>
            <w:r>
              <w:rPr>
                <w:color w:val="auto"/>
                <w:position w:val="-123"/>
              </w:rPr>
              <w:drawing>
                <wp:anchor distT="0" distB="0" distL="114300" distR="114300" simplePos="0" relativeHeight="251699200" behindDoc="0" locked="0" layoutInCell="1" allowOverlap="1">
                  <wp:simplePos x="0" y="0"/>
                  <wp:positionH relativeFrom="column">
                    <wp:posOffset>30480</wp:posOffset>
                  </wp:positionH>
                  <wp:positionV relativeFrom="paragraph">
                    <wp:posOffset>40005</wp:posOffset>
                  </wp:positionV>
                  <wp:extent cx="2502535" cy="2056765"/>
                  <wp:effectExtent l="0" t="0" r="12065" b="635"/>
                  <wp:wrapNone/>
                  <wp:docPr id="18" name="图片 7"/>
                  <wp:cNvGraphicFramePr/>
                  <a:graphic xmlns:a="http://schemas.openxmlformats.org/drawingml/2006/main">
                    <a:graphicData uri="http://schemas.openxmlformats.org/drawingml/2006/picture">
                      <pic:pic xmlns:pic="http://schemas.openxmlformats.org/drawingml/2006/picture">
                        <pic:nvPicPr>
                          <pic:cNvPr id="18" name="图片 7"/>
                          <pic:cNvPicPr/>
                        </pic:nvPicPr>
                        <pic:blipFill>
                          <a:blip r:embed="rId13"/>
                          <a:stretch>
                            <a:fillRect/>
                          </a:stretch>
                        </pic:blipFill>
                        <pic:spPr>
                          <a:xfrm>
                            <a:off x="0" y="0"/>
                            <a:ext cx="2502535" cy="2056765"/>
                          </a:xfrm>
                          <a:prstGeom prst="rect">
                            <a:avLst/>
                          </a:prstGeom>
                          <a:noFill/>
                          <a:ln>
                            <a:noFill/>
                          </a:ln>
                        </pic:spPr>
                      </pic:pic>
                    </a:graphicData>
                  </a:graphic>
                </wp:anchor>
              </w:drawing>
            </w:r>
          </w:p>
          <w:p>
            <w:pPr>
              <w:pStyle w:val="35"/>
              <w:jc w:val="center"/>
              <w:rPr>
                <w:rFonts w:hint="default" w:ascii="Times New Roman" w:hAnsi="Times New Roman" w:eastAsia="仿宋"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项目区现状</w:t>
            </w:r>
          </w:p>
        </w:tc>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5"/>
              <w:jc w:val="center"/>
              <w:rPr>
                <w:rFonts w:hint="default" w:ascii="Times New Roman" w:hAnsi="Times New Roman" w:eastAsia="仿宋" w:cs="Times New Roman"/>
                <w:b/>
                <w:color w:val="auto"/>
                <w:szCs w:val="28"/>
                <w:lang w:val="en-US" w:eastAsia="zh-CN"/>
              </w:rPr>
            </w:pPr>
            <w:r>
              <w:rPr>
                <w:color w:val="auto"/>
                <w:position w:val="-123"/>
              </w:rPr>
              <w:drawing>
                <wp:anchor distT="0" distB="0" distL="114300" distR="114300" simplePos="0" relativeHeight="251695104" behindDoc="1" locked="0" layoutInCell="1" allowOverlap="1">
                  <wp:simplePos x="0" y="0"/>
                  <wp:positionH relativeFrom="column">
                    <wp:posOffset>66675</wp:posOffset>
                  </wp:positionH>
                  <wp:positionV relativeFrom="paragraph">
                    <wp:posOffset>61595</wp:posOffset>
                  </wp:positionV>
                  <wp:extent cx="2432685" cy="1936750"/>
                  <wp:effectExtent l="0" t="0" r="5715" b="6350"/>
                  <wp:wrapNone/>
                  <wp:docPr id="15" name="IM 6"/>
                  <wp:cNvGraphicFramePr/>
                  <a:graphic xmlns:a="http://schemas.openxmlformats.org/drawingml/2006/main">
                    <a:graphicData uri="http://schemas.openxmlformats.org/drawingml/2006/picture">
                      <pic:pic xmlns:pic="http://schemas.openxmlformats.org/drawingml/2006/picture">
                        <pic:nvPicPr>
                          <pic:cNvPr id="15" name="IM 6"/>
                          <pic:cNvPicPr/>
                        </pic:nvPicPr>
                        <pic:blipFill>
                          <a:blip r:embed="rId14"/>
                          <a:stretch>
                            <a:fillRect/>
                          </a:stretch>
                        </pic:blipFill>
                        <pic:spPr>
                          <a:xfrm>
                            <a:off x="0" y="0"/>
                            <a:ext cx="2432685" cy="1936750"/>
                          </a:xfrm>
                          <a:prstGeom prst="rect">
                            <a:avLst/>
                          </a:prstGeom>
                          <a:noFill/>
                          <a:ln>
                            <a:noFill/>
                          </a:ln>
                        </pic:spPr>
                      </pic:pic>
                    </a:graphicData>
                  </a:graphic>
                </wp:anchor>
              </w:drawing>
            </w:r>
          </w:p>
        </w:tc>
        <w:tc>
          <w:tcPr>
            <w:tcW w:w="4258" w:type="dxa"/>
            <w:noWrap w:val="0"/>
            <w:vAlign w:val="top"/>
          </w:tcPr>
          <w:p>
            <w:pPr>
              <w:pStyle w:val="35"/>
              <w:jc w:val="center"/>
              <w:rPr>
                <w:rFonts w:hint="default" w:ascii="Times New Roman" w:hAnsi="Times New Roman" w:eastAsia="仿宋" w:cs="Times New Roman"/>
                <w:color w:val="auto"/>
                <w:lang w:val="en-US" w:eastAsia="zh-CN"/>
              </w:rPr>
            </w:pPr>
            <w:r>
              <w:rPr>
                <w:color w:val="auto"/>
                <w:position w:val="-122"/>
              </w:rPr>
              <w:drawing>
                <wp:anchor distT="0" distB="0" distL="114300" distR="114300" simplePos="0" relativeHeight="251694080" behindDoc="1" locked="0" layoutInCell="1" allowOverlap="1">
                  <wp:simplePos x="0" y="0"/>
                  <wp:positionH relativeFrom="column">
                    <wp:posOffset>10160</wp:posOffset>
                  </wp:positionH>
                  <wp:positionV relativeFrom="paragraph">
                    <wp:posOffset>81280</wp:posOffset>
                  </wp:positionV>
                  <wp:extent cx="2546350" cy="1907540"/>
                  <wp:effectExtent l="0" t="0" r="6350" b="16510"/>
                  <wp:wrapNone/>
                  <wp:docPr id="21" name="IM 8"/>
                  <wp:cNvGraphicFramePr/>
                  <a:graphic xmlns:a="http://schemas.openxmlformats.org/drawingml/2006/main">
                    <a:graphicData uri="http://schemas.openxmlformats.org/drawingml/2006/picture">
                      <pic:pic xmlns:pic="http://schemas.openxmlformats.org/drawingml/2006/picture">
                        <pic:nvPicPr>
                          <pic:cNvPr id="21" name="IM 8"/>
                          <pic:cNvPicPr/>
                        </pic:nvPicPr>
                        <pic:blipFill>
                          <a:blip r:embed="rId15"/>
                          <a:stretch>
                            <a:fillRect/>
                          </a:stretch>
                        </pic:blipFill>
                        <pic:spPr>
                          <a:xfrm>
                            <a:off x="0" y="0"/>
                            <a:ext cx="2546350" cy="19075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425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项目区现状</w:t>
            </w:r>
          </w:p>
        </w:tc>
        <w:tc>
          <w:tcPr>
            <w:tcW w:w="425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lang w:val="en-US" w:eastAsia="zh-CN"/>
              </w:rPr>
            </w:pPr>
            <w:r>
              <w:rPr>
                <w:rFonts w:hint="eastAsia" w:ascii="Times New Roman" w:hAnsi="Times New Roman" w:eastAsia="仿宋" w:cs="Times New Roman"/>
                <w:b/>
                <w:color w:val="auto"/>
                <w:szCs w:val="28"/>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5"/>
              <w:jc w:val="center"/>
              <w:rPr>
                <w:rFonts w:hint="default" w:ascii="Times New Roman" w:hAnsi="Times New Roman" w:eastAsia="仿宋" w:cs="Times New Roman"/>
                <w:b/>
                <w:color w:val="auto"/>
                <w:szCs w:val="28"/>
                <w:lang w:val="en-US" w:eastAsia="zh-CN"/>
              </w:rPr>
            </w:pPr>
            <w:r>
              <w:rPr>
                <w:color w:val="auto"/>
                <w:position w:val="-121"/>
              </w:rPr>
              <w:drawing>
                <wp:anchor distT="0" distB="0" distL="114300" distR="114300" simplePos="0" relativeHeight="251696128" behindDoc="1" locked="0" layoutInCell="1" allowOverlap="1">
                  <wp:simplePos x="0" y="0"/>
                  <wp:positionH relativeFrom="column">
                    <wp:posOffset>0</wp:posOffset>
                  </wp:positionH>
                  <wp:positionV relativeFrom="paragraph">
                    <wp:posOffset>85090</wp:posOffset>
                  </wp:positionV>
                  <wp:extent cx="2573655" cy="1915160"/>
                  <wp:effectExtent l="0" t="0" r="17145" b="8890"/>
                  <wp:wrapNone/>
                  <wp:docPr id="17" name="IM 10"/>
                  <wp:cNvGraphicFramePr/>
                  <a:graphic xmlns:a="http://schemas.openxmlformats.org/drawingml/2006/main">
                    <a:graphicData uri="http://schemas.openxmlformats.org/drawingml/2006/picture">
                      <pic:pic xmlns:pic="http://schemas.openxmlformats.org/drawingml/2006/picture">
                        <pic:nvPicPr>
                          <pic:cNvPr id="17" name="IM 10"/>
                          <pic:cNvPicPr/>
                        </pic:nvPicPr>
                        <pic:blipFill>
                          <a:blip r:embed="rId16"/>
                          <a:stretch>
                            <a:fillRect/>
                          </a:stretch>
                        </pic:blipFill>
                        <pic:spPr>
                          <a:xfrm>
                            <a:off x="0" y="0"/>
                            <a:ext cx="2573655" cy="1915160"/>
                          </a:xfrm>
                          <a:prstGeom prst="rect">
                            <a:avLst/>
                          </a:prstGeom>
                          <a:noFill/>
                          <a:ln>
                            <a:noFill/>
                          </a:ln>
                        </pic:spPr>
                      </pic:pic>
                    </a:graphicData>
                  </a:graphic>
                </wp:anchor>
              </w:drawing>
            </w:r>
          </w:p>
        </w:tc>
        <w:tc>
          <w:tcPr>
            <w:tcW w:w="4258" w:type="dxa"/>
            <w:noWrap w:val="0"/>
            <w:vAlign w:val="top"/>
          </w:tcPr>
          <w:p>
            <w:pPr>
              <w:pStyle w:val="35"/>
              <w:jc w:val="center"/>
              <w:rPr>
                <w:rFonts w:hint="default" w:ascii="Times New Roman" w:hAnsi="Times New Roman" w:eastAsia="仿宋" w:cs="Times New Roman"/>
                <w:color w:val="auto"/>
                <w:lang w:val="en-US" w:eastAsia="zh-CN"/>
              </w:rPr>
            </w:pPr>
            <w:r>
              <w:rPr>
                <w:color w:val="auto"/>
                <w:position w:val="-122"/>
              </w:rPr>
              <w:drawing>
                <wp:anchor distT="0" distB="0" distL="114300" distR="114300" simplePos="0" relativeHeight="251700224" behindDoc="0" locked="0" layoutInCell="1" allowOverlap="1">
                  <wp:simplePos x="0" y="0"/>
                  <wp:positionH relativeFrom="column">
                    <wp:posOffset>0</wp:posOffset>
                  </wp:positionH>
                  <wp:positionV relativeFrom="paragraph">
                    <wp:posOffset>65405</wp:posOffset>
                  </wp:positionV>
                  <wp:extent cx="2572385" cy="1954530"/>
                  <wp:effectExtent l="0" t="0" r="18415" b="7620"/>
                  <wp:wrapNone/>
                  <wp:docPr id="14" name="IM 12"/>
                  <wp:cNvGraphicFramePr/>
                  <a:graphic xmlns:a="http://schemas.openxmlformats.org/drawingml/2006/main">
                    <a:graphicData uri="http://schemas.openxmlformats.org/drawingml/2006/picture">
                      <pic:pic xmlns:pic="http://schemas.openxmlformats.org/drawingml/2006/picture">
                        <pic:nvPicPr>
                          <pic:cNvPr id="14" name="IM 12"/>
                          <pic:cNvPicPr/>
                        </pic:nvPicPr>
                        <pic:blipFill>
                          <a:blip r:embed="rId17"/>
                          <a:stretch>
                            <a:fillRect/>
                          </a:stretch>
                        </pic:blipFill>
                        <pic:spPr>
                          <a:xfrm>
                            <a:off x="0" y="0"/>
                            <a:ext cx="2572385" cy="19545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58" w:type="dxa"/>
            <w:noWrap w:val="0"/>
            <w:vAlign w:val="top"/>
          </w:tcPr>
          <w:p>
            <w:pPr>
              <w:pStyle w:val="35"/>
              <w:jc w:val="center"/>
              <w:rPr>
                <w:rFonts w:hint="default" w:ascii="Times New Roman" w:hAnsi="Times New Roman" w:eastAsia="仿宋" w:cs="Times New Roman"/>
                <w:b/>
                <w:color w:val="auto"/>
                <w:szCs w:val="28"/>
                <w:lang w:val="en-US" w:eastAsia="zh-CN"/>
              </w:rPr>
            </w:pPr>
            <w:r>
              <w:rPr>
                <w:rFonts w:hint="eastAsia" w:ascii="Times New Roman" w:hAnsi="Times New Roman" w:eastAsia="仿宋" w:cs="Times New Roman"/>
                <w:b/>
                <w:color w:val="auto"/>
                <w:szCs w:val="28"/>
                <w:lang w:val="en-US" w:eastAsia="zh-CN"/>
              </w:rPr>
              <w:t>项目区现状</w:t>
            </w:r>
          </w:p>
        </w:tc>
        <w:tc>
          <w:tcPr>
            <w:tcW w:w="4258" w:type="dxa"/>
            <w:noWrap w:val="0"/>
            <w:vAlign w:val="top"/>
          </w:tcPr>
          <w:p>
            <w:pPr>
              <w:pStyle w:val="35"/>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b/>
                <w:color w:val="auto"/>
                <w:szCs w:val="28"/>
                <w:lang w:val="en-US" w:eastAsia="zh-CN"/>
              </w:rPr>
              <w:t>项目区现状</w:t>
            </w:r>
          </w:p>
        </w:tc>
      </w:tr>
    </w:tbl>
    <w:p>
      <w:pPr>
        <w:pStyle w:val="9"/>
        <w:rPr>
          <w:rFonts w:hint="default" w:ascii="Times New Roman" w:hAnsi="Times New Roman" w:eastAsia="仿宋" w:cs="Times New Roman"/>
          <w:color w:val="auto"/>
        </w:rPr>
      </w:pPr>
    </w:p>
    <w:p>
      <w:pPr>
        <w:rPr>
          <w:color w:val="auto"/>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color w:val="auto"/>
          <w:sz w:val="21"/>
        </w:rPr>
        <mc:AlternateContent>
          <mc:Choice Requires="wps">
            <w:drawing>
              <wp:anchor distT="0" distB="0" distL="114300" distR="114300" simplePos="0" relativeHeight="251697152" behindDoc="0" locked="0" layoutInCell="1" allowOverlap="1">
                <wp:simplePos x="0" y="0"/>
                <wp:positionH relativeFrom="column">
                  <wp:posOffset>813435</wp:posOffset>
                </wp:positionH>
                <wp:positionV relativeFrom="paragraph">
                  <wp:posOffset>-247650</wp:posOffset>
                </wp:positionV>
                <wp:extent cx="3770630" cy="424815"/>
                <wp:effectExtent l="0" t="0" r="0" b="0"/>
                <wp:wrapNone/>
                <wp:docPr id="16" name="文本框 16"/>
                <wp:cNvGraphicFramePr/>
                <a:graphic xmlns:a="http://schemas.openxmlformats.org/drawingml/2006/main">
                  <a:graphicData uri="http://schemas.microsoft.com/office/word/2010/wordprocessingShape">
                    <wps:wsp>
                      <wps:cNvSpPr txBox="1"/>
                      <wps:spPr>
                        <a:xfrm>
                          <a:off x="1192530" y="8201025"/>
                          <a:ext cx="3770630" cy="424815"/>
                        </a:xfrm>
                        <a:prstGeom prst="rect">
                          <a:avLst/>
                        </a:prstGeom>
                        <a:noFill/>
                        <a:ln w="6350">
                          <a:noFill/>
                        </a:ln>
                        <a:effectLst/>
                      </wps:spPr>
                      <wps:txb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05pt;margin-top:-19.5pt;height:33.45pt;width:296.9pt;z-index:251697152;mso-width-relative:page;mso-height-relative:page;" filled="f" stroked="f" coordsize="21600,21600" o:gfxdata="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lATofbAAAACgEAAA8A&#10;AAAAAAAAAQAgAAAAIgAAAGRycy9kb3ducmV2LnhtbFBLAQIUABQAAAAIAIdO4kA9HZD5TQIAAIIE&#10;AAAOAAAAAAAAAAEAIAAAACoBAABkcnMvZTJvRG9jLnhtbFBLBQYAAAAABgAGAFkBAADpBQAAAAA=&#10;">
                <v:fill on="f" focussize="0,0"/>
                <v:stroke on="f" weight="0.5pt"/>
                <v:imagedata o:title=""/>
                <o:lock v:ext="edit" aspectratio="f"/>
                <v:textbo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v:textbox>
              </v:shape>
            </w:pict>
          </mc:Fallback>
        </mc:AlternateContent>
      </w:r>
    </w:p>
    <w:p>
      <w:pPr>
        <w:pStyle w:val="9"/>
        <w:rPr>
          <w:rFonts w:hint="default" w:ascii="Times New Roman" w:hAnsi="Times New Roman" w:eastAsia="仿宋" w:cs="Times New Roman"/>
          <w:color w:val="auto"/>
        </w:rPr>
      </w:pPr>
    </w:p>
    <w:p>
      <w:pPr>
        <w:rPr>
          <w:color w:val="auto"/>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color w:val="auto"/>
          <w:sz w:val="21"/>
        </w:rPr>
        <mc:AlternateContent>
          <mc:Choice Requires="wps">
            <w:drawing>
              <wp:anchor distT="0" distB="0" distL="114300" distR="114300" simplePos="0" relativeHeight="251693056" behindDoc="0" locked="0" layoutInCell="1" allowOverlap="1">
                <wp:simplePos x="0" y="0"/>
                <wp:positionH relativeFrom="column">
                  <wp:posOffset>813435</wp:posOffset>
                </wp:positionH>
                <wp:positionV relativeFrom="paragraph">
                  <wp:posOffset>-247650</wp:posOffset>
                </wp:positionV>
                <wp:extent cx="3770630" cy="424815"/>
                <wp:effectExtent l="0" t="0" r="0" b="0"/>
                <wp:wrapNone/>
                <wp:docPr id="51" name="文本框 51"/>
                <wp:cNvGraphicFramePr/>
                <a:graphic xmlns:a="http://schemas.openxmlformats.org/drawingml/2006/main">
                  <a:graphicData uri="http://schemas.microsoft.com/office/word/2010/wordprocessingShape">
                    <wps:wsp>
                      <wps:cNvSpPr txBox="1"/>
                      <wps:spPr>
                        <a:xfrm>
                          <a:off x="1192530" y="8201025"/>
                          <a:ext cx="3770630" cy="424815"/>
                        </a:xfrm>
                        <a:prstGeom prst="rect">
                          <a:avLst/>
                        </a:prstGeom>
                        <a:noFill/>
                        <a:ln w="6350">
                          <a:noFill/>
                        </a:ln>
                        <a:effectLst/>
                      </wps:spPr>
                      <wps:txbx>
                        <w:txbxContent>
                          <w:p>
                            <w:pPr>
                              <w:jc w:val="center"/>
                              <w:rPr>
                                <w:highlight w:val="no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05pt;margin-top:-19.5pt;height:33.45pt;width:296.9pt;z-index:251693056;mso-width-relative:page;mso-height-relative:page;" filled="f" stroked="f" coordsize="21600,21600" o:gfxdata="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lATofbAAAACgEAAA8A&#10;AAAAAAAAAQAgAAAAIgAAAGRycy9kb3ducmV2LnhtbFBLAQIUABQAAAAIAIdO4kC+VzSrTQIAAIIE&#10;AAAOAAAAAAAAAAEAIAAAACoBAABkcnMvZTJvRG9jLnhtbFBLBQYAAAAABgAGAFkBAADpBQAAAAA=&#10;">
                <v:fill on="f" focussize="0,0"/>
                <v:stroke on="f" weight="0.5pt"/>
                <v:imagedata o:title=""/>
                <o:lock v:ext="edit" aspectratio="f"/>
                <v:textbox>
                  <w:txbxContent>
                    <w:p>
                      <w:pPr>
                        <w:jc w:val="center"/>
                        <w:rPr>
                          <w:highlight w:val="none"/>
                        </w:rPr>
                      </w:pPr>
                    </w:p>
                  </w:txbxContent>
                </v:textbox>
              </v:shape>
            </w:pict>
          </mc:Fallback>
        </mc:AlternateContent>
      </w: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一、建设项目基本情况</w:t>
      </w:r>
    </w:p>
    <w:tbl>
      <w:tblPr>
        <w:tblStyle w:val="26"/>
        <w:tblW w:w="0" w:type="auto"/>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5"/>
        <w:gridCol w:w="2558"/>
        <w:gridCol w:w="2355"/>
        <w:gridCol w:w="8"/>
        <w:gridCol w:w="2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建设项目名称</w:t>
            </w:r>
          </w:p>
        </w:tc>
        <w:tc>
          <w:tcPr>
            <w:tcW w:w="7758" w:type="dxa"/>
            <w:gridSpan w:val="4"/>
            <w:vAlign w:val="center"/>
          </w:tcPr>
          <w:p>
            <w:pPr>
              <w:pStyle w:val="47"/>
              <w:spacing w:line="240" w:lineRule="auto"/>
              <w:ind w:firstLine="0" w:firstLineChars="0"/>
              <w:rPr>
                <w:rFonts w:hint="default" w:ascii="Times New Roman" w:hAnsi="Times New Roman" w:eastAsia="仿宋" w:cs="Times New Roman"/>
                <w:color w:val="auto"/>
                <w:kern w:val="2"/>
                <w:sz w:val="24"/>
                <w:szCs w:val="24"/>
                <w:highlight w:val="none"/>
                <w:lang w:eastAsia="zh-CN" w:bidi="ar-SA"/>
              </w:rPr>
            </w:pPr>
            <w:r>
              <w:rPr>
                <w:rFonts w:hint="eastAsia" w:ascii="Times New Roman" w:hAnsi="Times New Roman" w:eastAsia="仿宋" w:cs="Times New Roman"/>
                <w:color w:val="auto"/>
                <w:kern w:val="2"/>
                <w:sz w:val="24"/>
                <w:szCs w:val="24"/>
                <w:highlight w:val="none"/>
                <w:lang w:eastAsia="zh-CN" w:bidi="ar-SA"/>
              </w:rPr>
              <w:t>新疆鄯善县连木沁镇阿克墩村北建筑用砂矿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项目代码</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建设单位联系人</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c>
          <w:tcPr>
            <w:tcW w:w="2363"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联系方式</w:t>
            </w:r>
          </w:p>
        </w:tc>
        <w:tc>
          <w:tcPr>
            <w:tcW w:w="2837"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lang w:val="zh-CN" w:bidi="zh-CN"/>
              </w:rPr>
            </w:pPr>
            <w:r>
              <w:rPr>
                <w:rFonts w:hint="default" w:ascii="Times New Roman" w:hAnsi="Times New Roman" w:eastAsia="仿宋" w:cs="Times New Roman"/>
                <w:color w:val="auto"/>
                <w:sz w:val="24"/>
                <w:szCs w:val="24"/>
                <w:lang w:val="zh-CN"/>
              </w:rPr>
              <w:t>建设地点</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地理</w:t>
            </w:r>
            <w:bookmarkStart w:id="7" w:name="_GoBack"/>
            <w:bookmarkEnd w:id="7"/>
            <w:r>
              <w:rPr>
                <w:rFonts w:hint="default" w:ascii="Times New Roman" w:hAnsi="Times New Roman" w:eastAsia="仿宋" w:cs="Times New Roman"/>
                <w:color w:val="auto"/>
                <w:sz w:val="24"/>
                <w:szCs w:val="24"/>
              </w:rPr>
              <w:t>坐标</w:t>
            </w:r>
          </w:p>
        </w:tc>
        <w:tc>
          <w:tcPr>
            <w:tcW w:w="7758" w:type="dxa"/>
            <w:gridSpan w:val="4"/>
            <w:vAlign w:val="center"/>
          </w:tcPr>
          <w:p>
            <w:pPr>
              <w:adjustRightInd w:val="0"/>
              <w:snapToGrid w:val="0"/>
              <w:spacing w:line="240" w:lineRule="auto"/>
              <w:ind w:firstLine="0" w:firstLineChars="0"/>
              <w:jc w:val="both"/>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行业类别</w:t>
            </w:r>
          </w:p>
        </w:tc>
        <w:tc>
          <w:tcPr>
            <w:tcW w:w="2558" w:type="dxa"/>
            <w:vAlign w:val="center"/>
          </w:tcPr>
          <w:p>
            <w:pPr>
              <w:pStyle w:val="47"/>
              <w:spacing w:before="2" w:line="240" w:lineRule="auto"/>
              <w:ind w:right="211"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八、非金属矿采选业，11、土砂石开采（101）（不含河道采砂项目）</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用地（用海）面积（m</w:t>
            </w:r>
            <w:r>
              <w:rPr>
                <w:rFonts w:hint="default" w:ascii="Times New Roman" w:hAnsi="Times New Roman" w:eastAsia="仿宋" w:cs="Times New Roman"/>
                <w:color w:val="auto"/>
                <w:sz w:val="24"/>
                <w:szCs w:val="24"/>
                <w:highlight w:val="none"/>
                <w:vertAlign w:val="superscript"/>
              </w:rPr>
              <w:t>2</w:t>
            </w:r>
            <w:r>
              <w:rPr>
                <w:rFonts w:hint="default" w:ascii="Times New Roman" w:hAnsi="Times New Roman" w:eastAsia="仿宋" w:cs="Times New Roman"/>
                <w:color w:val="auto"/>
                <w:sz w:val="24"/>
                <w:szCs w:val="24"/>
                <w:highlight w:val="none"/>
              </w:rPr>
              <w:t>）/长度（km）</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100060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建设性质</w:t>
            </w:r>
          </w:p>
        </w:tc>
        <w:tc>
          <w:tcPr>
            <w:tcW w:w="2558" w:type="dxa"/>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新建（迁建）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□改建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□扩建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□技术改造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申报情形</w:t>
            </w:r>
          </w:p>
        </w:tc>
        <w:tc>
          <w:tcPr>
            <w:tcW w:w="2845" w:type="dxa"/>
            <w:gridSpan w:val="2"/>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首次申报项目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□不予批准后再次申报项目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□超五年重新审核项目</w:t>
            </w:r>
          </w:p>
          <w:p>
            <w:pPr>
              <w:adjustRightInd w:val="0"/>
              <w:snapToGrid w:val="0"/>
              <w:spacing w:line="240" w:lineRule="auto"/>
              <w:ind w:firstLine="0"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项目审批（核准/备案）部门（选填）</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备案）文号（选填）</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总投资（万元）</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806</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环保投资（万元）</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123.31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环保投资占比（%）</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15.29</w:t>
            </w:r>
            <w:r>
              <w:rPr>
                <w:rFonts w:hint="default" w:ascii="Times New Roman" w:hAnsi="Times New Roman" w:eastAsia="仿宋" w:cs="Times New Roman"/>
                <w:color w:val="auto"/>
                <w:sz w:val="24"/>
                <w:szCs w:val="24"/>
                <w:highlight w:val="none"/>
                <w:lang w:val="en-US" w:eastAsia="zh-CN"/>
              </w:rPr>
              <w:t>%</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施工工期</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是否开工建设</w:t>
            </w:r>
          </w:p>
        </w:tc>
        <w:tc>
          <w:tcPr>
            <w:tcW w:w="7758" w:type="dxa"/>
            <w:gridSpan w:val="4"/>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2" w:char="0052"/>
            </w:r>
            <w:r>
              <w:rPr>
                <w:rFonts w:hint="default" w:ascii="Times New Roman" w:hAnsi="Times New Roman" w:eastAsia="仿宋" w:cs="Times New Roman"/>
                <w:color w:val="auto"/>
                <w:sz w:val="24"/>
                <w:szCs w:val="24"/>
                <w:highlight w:val="none"/>
              </w:rPr>
              <w:t>否</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专项评价设置情况</w:t>
            </w:r>
          </w:p>
        </w:tc>
        <w:tc>
          <w:tcPr>
            <w:tcW w:w="7758" w:type="dxa"/>
            <w:gridSpan w:val="4"/>
            <w:tcMar>
              <w:top w:w="16" w:type="dxa"/>
              <w:left w:w="16" w:type="dxa"/>
              <w:right w:w="16" w:type="dxa"/>
            </w:tcMar>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规划情况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《新疆维吾尔自治区矿产资源总体规划》（</w:t>
            </w:r>
            <w:r>
              <w:rPr>
                <w:rFonts w:hint="default" w:ascii="Times New Roman" w:hAnsi="Times New Roman" w:eastAsia="仿宋" w:cs="Times New Roman"/>
                <w:color w:val="auto"/>
                <w:sz w:val="24"/>
                <w:szCs w:val="24"/>
                <w:lang w:val="en-US" w:eastAsia="zh-CN"/>
              </w:rPr>
              <w:t>2021</w:t>
            </w: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25</w:t>
            </w:r>
            <w:r>
              <w:rPr>
                <w:rFonts w:hint="default" w:ascii="Times New Roman" w:hAnsi="Times New Roman" w:eastAsia="仿宋" w:cs="Times New Roman"/>
                <w:color w:val="auto"/>
                <w:sz w:val="24"/>
                <w:szCs w:val="24"/>
              </w:rPr>
              <w:t>年），自然资源部；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规划环境影响评价情况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rPr>
            </w:pPr>
            <w:r>
              <w:rPr>
                <w:rFonts w:hint="eastAsia" w:eastAsia="仿宋" w:cs="Times New Roman"/>
                <w:color w:val="auto"/>
                <w:sz w:val="24"/>
                <w:szCs w:val="24"/>
                <w:lang w:val="en-US" w:eastAsia="zh-CN"/>
              </w:rPr>
              <w:t>《关于&lt;新疆维吾尔自治区矿产资源总体规划（2021-2025）环境影响报告书&gt;的审查意见》环审[2022]124号，2022年8月12日，生态环境部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规划及</w:t>
            </w:r>
            <w:r>
              <w:rPr>
                <w:rFonts w:hint="default" w:ascii="Times New Roman" w:hAnsi="Times New Roman" w:eastAsia="仿宋" w:cs="Times New Roman"/>
                <w:color w:val="auto"/>
                <w:sz w:val="24"/>
                <w:szCs w:val="24"/>
              </w:rPr>
              <w:t>规划环境影响评价</w:t>
            </w:r>
            <w:r>
              <w:rPr>
                <w:rFonts w:hint="default" w:ascii="Times New Roman" w:hAnsi="Times New Roman" w:eastAsia="仿宋" w:cs="Times New Roman"/>
                <w:color w:val="auto"/>
                <w:kern w:val="0"/>
                <w:sz w:val="24"/>
                <w:szCs w:val="24"/>
              </w:rPr>
              <w:t>符合性分析</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rPr>
              <w:t>本项目</w:t>
            </w:r>
            <w:r>
              <w:rPr>
                <w:rFonts w:hint="default" w:ascii="Times New Roman" w:hAnsi="Times New Roman" w:eastAsia="仿宋" w:cs="Times New Roman"/>
                <w:bCs/>
                <w:color w:val="auto"/>
                <w:kern w:val="0"/>
                <w:sz w:val="24"/>
                <w:szCs w:val="24"/>
                <w:lang w:eastAsia="zh-CN"/>
              </w:rPr>
              <w:t>与</w:t>
            </w:r>
            <w:r>
              <w:rPr>
                <w:rFonts w:hint="default" w:ascii="Times New Roman" w:hAnsi="Times New Roman" w:eastAsia="仿宋" w:cs="Times New Roman"/>
                <w:bCs/>
                <w:color w:val="auto"/>
                <w:kern w:val="0"/>
                <w:sz w:val="24"/>
                <w:szCs w:val="24"/>
              </w:rPr>
              <w:t>《新疆维吾尔自治区矿产资源总体规划（20</w:t>
            </w:r>
            <w:r>
              <w:rPr>
                <w:rFonts w:hint="default" w:ascii="Times New Roman" w:hAnsi="Times New Roman" w:eastAsia="仿宋" w:cs="Times New Roman"/>
                <w:bCs/>
                <w:color w:val="auto"/>
                <w:kern w:val="0"/>
                <w:sz w:val="24"/>
                <w:szCs w:val="24"/>
                <w:lang w:val="en-US" w:eastAsia="zh-CN"/>
              </w:rPr>
              <w:t>21</w:t>
            </w:r>
            <w:r>
              <w:rPr>
                <w:rFonts w:hint="default" w:ascii="Times New Roman" w:hAnsi="Times New Roman" w:eastAsia="仿宋" w:cs="Times New Roman"/>
                <w:bCs/>
                <w:color w:val="auto"/>
                <w:kern w:val="0"/>
                <w:sz w:val="24"/>
                <w:szCs w:val="24"/>
              </w:rPr>
              <w:t>－202</w:t>
            </w:r>
            <w:r>
              <w:rPr>
                <w:rFonts w:hint="default" w:ascii="Times New Roman" w:hAnsi="Times New Roman" w:eastAsia="仿宋" w:cs="Times New Roman"/>
                <w:bCs/>
                <w:color w:val="auto"/>
                <w:kern w:val="0"/>
                <w:sz w:val="24"/>
                <w:szCs w:val="24"/>
                <w:lang w:val="en-US" w:eastAsia="zh-CN"/>
              </w:rPr>
              <w:t>5</w:t>
            </w:r>
            <w:r>
              <w:rPr>
                <w:rFonts w:hint="default" w:ascii="Times New Roman" w:hAnsi="Times New Roman" w:eastAsia="仿宋" w:cs="Times New Roman"/>
                <w:bCs/>
                <w:color w:val="auto"/>
                <w:kern w:val="0"/>
                <w:sz w:val="24"/>
                <w:szCs w:val="24"/>
              </w:rPr>
              <w:t>年）》</w:t>
            </w:r>
            <w:r>
              <w:rPr>
                <w:rFonts w:hint="default" w:ascii="Times New Roman" w:hAnsi="Times New Roman" w:eastAsia="仿宋" w:cs="Times New Roman"/>
                <w:bCs/>
                <w:color w:val="auto"/>
                <w:kern w:val="0"/>
                <w:sz w:val="24"/>
                <w:szCs w:val="24"/>
                <w:lang w:val="en-US" w:eastAsia="zh-CN"/>
              </w:rPr>
              <w:t>的</w:t>
            </w:r>
            <w:r>
              <w:rPr>
                <w:rFonts w:hint="default" w:ascii="Times New Roman" w:hAnsi="Times New Roman" w:eastAsia="仿宋" w:cs="Times New Roman"/>
                <w:bCs/>
                <w:color w:val="auto"/>
                <w:kern w:val="0"/>
                <w:sz w:val="24"/>
                <w:szCs w:val="24"/>
              </w:rPr>
              <w:t>符合性分析见表1-1</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与《新疆维吾尔自治区矿产资源总体规划（2021-2025）环境影响报告书》的审查意见符合性分析</w:t>
            </w:r>
            <w:r>
              <w:rPr>
                <w:rFonts w:hint="default" w:ascii="Times New Roman" w:hAnsi="Times New Roman" w:eastAsia="仿宋" w:cs="Times New Roman"/>
                <w:color w:val="auto"/>
                <w:sz w:val="24"/>
                <w:szCs w:val="24"/>
                <w:lang w:val="en-US" w:eastAsia="zh-CN"/>
              </w:rPr>
              <w:t>见表1-2。</w:t>
            </w: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表1-1与《新疆维吾尔自治区矿产资源总体规划（20</w:t>
            </w:r>
            <w:r>
              <w:rPr>
                <w:rFonts w:hint="default" w:ascii="Times New Roman" w:hAnsi="Times New Roman" w:eastAsia="仿宋" w:cs="Times New Roman"/>
                <w:b/>
                <w:color w:val="auto"/>
                <w:kern w:val="0"/>
                <w:sz w:val="21"/>
                <w:szCs w:val="21"/>
                <w:lang w:val="en-US" w:eastAsia="zh-CN"/>
              </w:rPr>
              <w:t>21</w:t>
            </w:r>
            <w:r>
              <w:rPr>
                <w:rFonts w:hint="default" w:ascii="Times New Roman" w:hAnsi="Times New Roman" w:eastAsia="仿宋" w:cs="Times New Roman"/>
                <w:b/>
                <w:color w:val="auto"/>
                <w:kern w:val="0"/>
                <w:sz w:val="21"/>
                <w:szCs w:val="21"/>
              </w:rPr>
              <w:t>－202</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年）》符合性分析</w:t>
            </w:r>
          </w:p>
          <w:tbl>
            <w:tblPr>
              <w:tblStyle w:val="26"/>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4"/>
              <w:gridCol w:w="273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《新疆维吾尔自治区矿产资源总体规划</w:t>
                  </w:r>
                </w:p>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21</w:t>
                  </w:r>
                  <w:r>
                    <w:rPr>
                      <w:rFonts w:hint="default" w:ascii="Times New Roman" w:hAnsi="Times New Roman" w:eastAsia="仿宋" w:cs="Times New Roman"/>
                      <w:color w:val="auto"/>
                      <w:kern w:val="0"/>
                      <w:sz w:val="21"/>
                      <w:szCs w:val="21"/>
                    </w:rPr>
                    <w:t>－202</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年）》要求</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b/>
                      <w:bCs/>
                      <w:color w:val="auto"/>
                      <w:kern w:val="0"/>
                      <w:sz w:val="21"/>
                      <w:szCs w:val="21"/>
                    </w:rPr>
                    <w:t>重点勘查区</w:t>
                  </w:r>
                  <w:r>
                    <w:rPr>
                      <w:rFonts w:hint="default" w:ascii="Times New Roman" w:hAnsi="Times New Roman" w:eastAsia="仿宋" w:cs="Times New Roman"/>
                      <w:color w:val="auto"/>
                      <w:kern w:val="0"/>
                      <w:sz w:val="21"/>
                      <w:szCs w:val="21"/>
                    </w:rPr>
                    <w:t>：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r>
                    <w:rPr>
                      <w:rFonts w:hint="default" w:ascii="Times New Roman" w:hAnsi="Times New Roman" w:eastAsia="仿宋" w:cs="Times New Roman"/>
                      <w:color w:val="auto"/>
                      <w:kern w:val="0"/>
                      <w:sz w:val="21"/>
                      <w:szCs w:val="21"/>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采矿权通过挂牌竞拍取得，本项目的建成后，有利于</w:t>
                  </w:r>
                  <w:r>
                    <w:rPr>
                      <w:rFonts w:hint="eastAsia" w:eastAsia="仿宋" w:cs="Times New Roman"/>
                      <w:color w:val="auto"/>
                      <w:kern w:val="0"/>
                      <w:sz w:val="21"/>
                      <w:szCs w:val="21"/>
                      <w:lang w:val="en-US" w:eastAsia="zh-CN"/>
                    </w:rPr>
                    <w:t>鄯善县</w:t>
                  </w:r>
                  <w:r>
                    <w:rPr>
                      <w:rFonts w:hint="default" w:ascii="Times New Roman" w:hAnsi="Times New Roman" w:eastAsia="仿宋" w:cs="Times New Roman"/>
                      <w:color w:val="auto"/>
                      <w:kern w:val="0"/>
                      <w:sz w:val="21"/>
                      <w:szCs w:val="21"/>
                    </w:rPr>
                    <w:t>的社会发展</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6"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b/>
                      <w:bCs/>
                      <w:color w:val="auto"/>
                      <w:kern w:val="0"/>
                      <w:sz w:val="21"/>
                      <w:szCs w:val="21"/>
                      <w:highlight w:val="none"/>
                    </w:rPr>
                    <w:t>限制勘查区</w:t>
                  </w:r>
                  <w:r>
                    <w:rPr>
                      <w:rFonts w:hint="default" w:ascii="Times New Roman" w:hAnsi="Times New Roman" w:eastAsia="仿宋" w:cs="Times New Roman"/>
                      <w:color w:val="auto"/>
                      <w:kern w:val="0"/>
                      <w:sz w:val="21"/>
                      <w:szCs w:val="21"/>
                      <w:highlight w:val="none"/>
                    </w:rPr>
                    <w:t>：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r>
                    <w:rPr>
                      <w:rFonts w:hint="default" w:ascii="Times New Roman" w:hAnsi="Times New Roman" w:eastAsia="仿宋" w:cs="Times New Roman"/>
                      <w:color w:val="auto"/>
                      <w:kern w:val="0"/>
                      <w:sz w:val="21"/>
                      <w:szCs w:val="21"/>
                      <w:highlight w:val="none"/>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本项目不涉及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及有关法律法规规定的限制勘查区</w:t>
                  </w:r>
                  <w:r>
                    <w:rPr>
                      <w:rFonts w:hint="default" w:ascii="Times New Roman" w:hAnsi="Times New Roman" w:eastAsia="仿宋"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重点矿区</w:t>
                  </w:r>
                  <w:r>
                    <w:rPr>
                      <w:rFonts w:hint="default" w:ascii="Times New Roman" w:hAnsi="Times New Roman" w:eastAsia="仿宋" w:cs="Times New Roman"/>
                      <w:color w:val="auto"/>
                      <w:kern w:val="0"/>
                      <w:sz w:val="21"/>
                      <w:szCs w:val="21"/>
                    </w:rPr>
                    <w:t>：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eastAsia" w:eastAsia="仿宋" w:cs="Times New Roman"/>
                      <w:color w:val="auto"/>
                      <w:kern w:val="0"/>
                      <w:sz w:val="21"/>
                      <w:szCs w:val="21"/>
                      <w:lang w:eastAsia="zh-CN"/>
                    </w:rPr>
                    <w:t>本项目位于新疆维吾尔自治区吐鲁番地区鄯善县北西296°方位，直线距离13.4千米</w:t>
                  </w:r>
                  <w:r>
                    <w:rPr>
                      <w:rFonts w:hint="default" w:ascii="Times New Roman" w:hAnsi="Times New Roman" w:eastAsia="仿宋" w:cs="Times New Roman"/>
                      <w:color w:val="auto"/>
                      <w:kern w:val="0"/>
                      <w:sz w:val="21"/>
                      <w:szCs w:val="21"/>
                      <w:lang w:val="en-US" w:eastAsia="zh-CN"/>
                    </w:rPr>
                    <w:t>项目的建设有利于矿山资源的开发，</w:t>
                  </w:r>
                  <w:r>
                    <w:rPr>
                      <w:rFonts w:hint="default" w:ascii="Times New Roman" w:hAnsi="Times New Roman" w:eastAsia="仿宋" w:cs="Times New Roman"/>
                      <w:color w:val="auto"/>
                      <w:kern w:val="0"/>
                      <w:sz w:val="21"/>
                      <w:szCs w:val="21"/>
                    </w:rPr>
                    <w:t>矿山占有矿石资源储量与矿山开采规模及矿山服务年限相匹配，具备与矿山开采规模相配套的人才、资金、技术和管理资质条件，符合当地的矿产资源总体规划</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限制开采区</w:t>
                  </w:r>
                  <w:r>
                    <w:rPr>
                      <w:rFonts w:hint="default" w:ascii="Times New Roman" w:hAnsi="Times New Roman" w:eastAsia="仿宋" w:cs="Times New Roman"/>
                      <w:color w:val="auto"/>
                      <w:kern w:val="0"/>
                      <w:sz w:val="21"/>
                      <w:szCs w:val="21"/>
                    </w:rPr>
                    <w:t>：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811" w:type="pct"/>
                  <w:vMerge w:val="restar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本项目不在限制开采区，亦不在禁止开采区内，符合规划要求</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禁止开采区</w:t>
                  </w:r>
                  <w:r>
                    <w:rPr>
                      <w:rFonts w:hint="default" w:ascii="Times New Roman" w:hAnsi="Times New Roman" w:eastAsia="仿宋" w:cs="Times New Roman"/>
                      <w:color w:val="auto"/>
                      <w:kern w:val="0"/>
                      <w:sz w:val="21"/>
                      <w:szCs w:val="21"/>
                    </w:rPr>
                    <w:t>：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811" w:type="pct"/>
                  <w:vMerge w:val="continue"/>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811" w:type="pct"/>
                  <w:vAlign w:val="center"/>
                </w:tcPr>
                <w:p>
                  <w:pPr>
                    <w:widowControl/>
                    <w:adjustRightInd w:val="0"/>
                    <w:snapToGrid w:val="0"/>
                    <w:spacing w:line="240" w:lineRule="auto"/>
                    <w:ind w:firstLine="0" w:firstLineChars="0"/>
                    <w:jc w:val="center"/>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本项目建设单位通过挂牌竞拍取得</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采矿权，并已制定了矿产资源开发利用方案，建设单位</w:t>
                  </w:r>
                  <w:r>
                    <w:rPr>
                      <w:rFonts w:hint="default" w:ascii="Times New Roman" w:hAnsi="Times New Roman" w:eastAsia="仿宋" w:cs="Times New Roman"/>
                      <w:color w:val="auto"/>
                      <w:kern w:val="0"/>
                      <w:sz w:val="21"/>
                      <w:szCs w:val="21"/>
                      <w:lang w:val="en-US" w:eastAsia="zh-CN"/>
                    </w:rPr>
                    <w:t>已</w:t>
                  </w:r>
                  <w:r>
                    <w:rPr>
                      <w:rFonts w:hint="default" w:ascii="Times New Roman" w:hAnsi="Times New Roman" w:eastAsia="仿宋" w:cs="Times New Roman"/>
                      <w:color w:val="auto"/>
                      <w:kern w:val="0"/>
                      <w:sz w:val="21"/>
                      <w:szCs w:val="21"/>
                    </w:rPr>
                    <w:t>委托</w:t>
                  </w:r>
                  <w:r>
                    <w:rPr>
                      <w:rFonts w:hint="default" w:ascii="Times New Roman" w:hAnsi="Times New Roman" w:eastAsia="仿宋" w:cs="Times New Roman"/>
                      <w:color w:val="auto"/>
                      <w:kern w:val="0"/>
                      <w:sz w:val="21"/>
                      <w:szCs w:val="21"/>
                      <w:lang w:eastAsia="zh-CN"/>
                    </w:rPr>
                    <w:t>新疆瑞新源矿业技术有限公司</w:t>
                  </w:r>
                  <w:r>
                    <w:rPr>
                      <w:rFonts w:hint="default" w:ascii="Times New Roman" w:hAnsi="Times New Roman" w:eastAsia="仿宋" w:cs="Times New Roman"/>
                      <w:color w:val="auto"/>
                      <w:kern w:val="0"/>
                      <w:sz w:val="21"/>
                      <w:szCs w:val="21"/>
                    </w:rPr>
                    <w:t>编制</w:t>
                  </w:r>
                  <w:r>
                    <w:rPr>
                      <w:rFonts w:hint="default" w:ascii="Times New Roman" w:hAnsi="Times New Roman" w:eastAsia="仿宋" w:cs="Times New Roman"/>
                      <w:color w:val="auto"/>
                      <w:kern w:val="0"/>
                      <w:sz w:val="21"/>
                      <w:szCs w:val="21"/>
                      <w:lang w:val="en-US" w:eastAsia="zh-CN"/>
                    </w:rPr>
                    <w:t>了《新疆鄯善县连木沁镇阿克墩村北建筑用砂矿矿产资源开发利用与生态保护修复方案》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做到边开采边复垦</w:t>
                  </w:r>
                  <w:r>
                    <w:rPr>
                      <w:rFonts w:hint="eastAsia"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pStyle w:val="67"/>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default" w:ascii="Times New Roman" w:hAnsi="Times New Roman" w:eastAsia="仿宋" w:cs="Times New Roman"/>
                <w:b/>
                <w:color w:val="auto"/>
                <w:kern w:val="0"/>
                <w:sz w:val="21"/>
                <w:szCs w:val="21"/>
                <w:lang w:val="en-US" w:eastAsia="zh-CN"/>
              </w:rPr>
              <w:t>2</w:t>
            </w:r>
            <w:r>
              <w:rPr>
                <w:rFonts w:hint="default" w:ascii="Times New Roman" w:hAnsi="Times New Roman" w:eastAsia="仿宋" w:cs="Times New Roman"/>
                <w:b/>
                <w:color w:val="auto"/>
                <w:kern w:val="0"/>
                <w:sz w:val="21"/>
                <w:szCs w:val="21"/>
              </w:rPr>
              <w:t>与《新疆维吾尔自治区矿产资源总体规划（2021-2025）环境影响报告书》的审查意见符合性分析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9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vertAlign w:val="baseline"/>
                    </w:rPr>
                    <w:t>《新疆维吾尔自治区矿产资源总体规划（2021-2025）环境影响报告书）环境影响报告书》的审查意见</w:t>
                  </w:r>
                </w:p>
              </w:tc>
              <w:tc>
                <w:tcPr>
                  <w:tcW w:w="1983"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本项目</w:t>
                  </w:r>
                </w:p>
              </w:tc>
              <w:tc>
                <w:tcPr>
                  <w:tcW w:w="798"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本项目不占用禁止开发的区域，矿区范围内无保护区等环境敏感目标；环评要求</w:t>
                  </w:r>
                  <w:r>
                    <w:rPr>
                      <w:rFonts w:hint="eastAsia" w:ascii="Times New Roman" w:hAnsi="Times New Roman" w:eastAsia="仿宋" w:cs="Times New Roman"/>
                      <w:color w:val="auto"/>
                      <w:sz w:val="21"/>
                      <w:szCs w:val="21"/>
                      <w:vertAlign w:val="baseline"/>
                      <w:lang w:val="en-US" w:eastAsia="zh-CN"/>
                    </w:rPr>
                    <w:t>建筑用砂</w:t>
                  </w:r>
                  <w:r>
                    <w:rPr>
                      <w:rFonts w:hint="default" w:ascii="Times New Roman" w:hAnsi="Times New Roman" w:eastAsia="仿宋" w:cs="Times New Roman"/>
                      <w:color w:val="auto"/>
                      <w:sz w:val="21"/>
                      <w:szCs w:val="21"/>
                      <w:vertAlign w:val="baseline"/>
                      <w:lang w:val="en-US" w:eastAsia="zh-CN"/>
                    </w:rPr>
                    <w:t>按照绿色矿山水平进行建设；环评中提出了生态保护和污染防治措施，确保矿山达到绿色矿山建设水平。</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本项目不涉及生态保护红线；属国家规划矿区；</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建设符合“三线一单”要求，符合生态环境分区管控及相关环境保护要求。</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本项目建设规模符合矿区总体规划要求和《产业结构调整指导目录（2024年）》；建设规模属于</w:t>
                  </w:r>
                  <w:r>
                    <w:rPr>
                      <w:rFonts w:hint="eastAsia" w:ascii="Times New Roman" w:hAnsi="Times New Roman" w:eastAsia="仿宋" w:cs="Times New Roman"/>
                      <w:color w:val="auto"/>
                      <w:sz w:val="21"/>
                      <w:szCs w:val="21"/>
                      <w:vertAlign w:val="baseline"/>
                      <w:lang w:val="en-US" w:eastAsia="zh-CN"/>
                    </w:rPr>
                    <w:t>大</w:t>
                  </w:r>
                  <w:r>
                    <w:rPr>
                      <w:rFonts w:hint="default" w:ascii="Times New Roman" w:hAnsi="Times New Roman" w:eastAsia="仿宋" w:cs="Times New Roman"/>
                      <w:color w:val="auto"/>
                      <w:sz w:val="21"/>
                      <w:szCs w:val="21"/>
                      <w:vertAlign w:val="baseline"/>
                      <w:lang w:val="en-US" w:eastAsia="zh-CN"/>
                    </w:rPr>
                    <w:t>型矿山，符合矿山最低开采规模准入要求；煤矿对</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进行了生态整治和土地复垦</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建设符合自治区生态环境分区管控方案；不涉及生态红线；矿山建设和运营过程中采取了污染防治措施和生态保护措施，减轻</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开采带来的不良环境影响。</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已加强</w:t>
                  </w:r>
                  <w:r>
                    <w:rPr>
                      <w:rFonts w:hint="default" w:ascii="Times New Roman" w:hAnsi="Times New Roman" w:eastAsia="仿宋" w:cs="Times New Roman"/>
                      <w:color w:val="auto"/>
                      <w:sz w:val="21"/>
                      <w:szCs w:val="21"/>
                      <w:vertAlign w:val="baseline"/>
                      <w:lang w:val="en-US" w:eastAsia="zh-CN"/>
                    </w:rPr>
                    <w:t>矿山生态恢复和环境治理；对运营过程中的废气、废水等</w:t>
                  </w:r>
                  <w:r>
                    <w:rPr>
                      <w:rFonts w:hint="eastAsia" w:ascii="Times New Roman" w:hAnsi="Times New Roman" w:eastAsia="仿宋" w:cs="Times New Roman"/>
                      <w:color w:val="auto"/>
                      <w:sz w:val="21"/>
                      <w:szCs w:val="21"/>
                      <w:vertAlign w:val="baseline"/>
                      <w:lang w:val="en-US" w:eastAsia="zh-CN"/>
                    </w:rPr>
                    <w:t>提出</w:t>
                  </w:r>
                  <w:r>
                    <w:rPr>
                      <w:rFonts w:hint="default" w:ascii="Times New Roman" w:hAnsi="Times New Roman" w:eastAsia="仿宋" w:cs="Times New Roman"/>
                      <w:color w:val="auto"/>
                      <w:sz w:val="21"/>
                      <w:szCs w:val="21"/>
                      <w:vertAlign w:val="baseline"/>
                      <w:lang w:val="en-US" w:eastAsia="zh-CN"/>
                    </w:rPr>
                    <w:t>污染防治措施。</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环评要求</w:t>
                  </w:r>
                  <w:r>
                    <w:rPr>
                      <w:rFonts w:hint="eastAsia" w:ascii="Times New Roman" w:hAnsi="Times New Roman" w:eastAsia="仿宋" w:cs="Times New Roman"/>
                      <w:color w:val="auto"/>
                      <w:sz w:val="21"/>
                      <w:szCs w:val="21"/>
                      <w:vertAlign w:val="baseline"/>
                      <w:lang w:val="en-US" w:eastAsia="zh-CN"/>
                    </w:rPr>
                    <w:t>建筑用砂矿</w:t>
                  </w:r>
                  <w:r>
                    <w:rPr>
                      <w:rFonts w:hint="default" w:ascii="Times New Roman" w:hAnsi="Times New Roman" w:eastAsia="仿宋" w:cs="Times New Roman"/>
                      <w:color w:val="auto"/>
                      <w:sz w:val="21"/>
                      <w:szCs w:val="21"/>
                      <w:vertAlign w:val="baseline"/>
                      <w:lang w:val="en-US" w:eastAsia="zh-CN"/>
                    </w:rPr>
                    <w:t>建设生态、地下水、土壤等监控体系和预警机制；采取污染防治措施和生态保护措施，防止地下水、土壤环境质量下降。</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bl>
          <w:p>
            <w:pPr>
              <w:pStyle w:val="36"/>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bookmarkStart w:id="0" w:name="_Hlk56690880"/>
            <w:r>
              <w:rPr>
                <w:rFonts w:hint="default" w:ascii="Times New Roman" w:hAnsi="Times New Roman" w:eastAsia="仿宋" w:cs="Times New Roman"/>
                <w:color w:val="auto"/>
                <w:kern w:val="0"/>
                <w:sz w:val="24"/>
                <w:szCs w:val="24"/>
              </w:rPr>
              <w:t>其他符合性分析</w:t>
            </w:r>
            <w:bookmarkEnd w:id="0"/>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1、产业政策符合性分析</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调查分析，本项目生产规模、采用生产工艺和设备及产品均不属于《产业结构调整指导目录（2024年本）》2023年第7号令中鼓励类、限制类和淘汰类的项目，属于鼓励类、限制类和淘汰类之外的允许类项目，符合国家、自治区及地方当前产业政策的要求。</w:t>
            </w:r>
          </w:p>
          <w:p>
            <w:pPr>
              <w:numPr>
                <w:ilvl w:val="0"/>
                <w:numId w:val="1"/>
              </w:numPr>
              <w:autoSpaceDE w:val="0"/>
              <w:autoSpaceDN w:val="0"/>
              <w:adjustRightInd w:val="0"/>
              <w:snapToGrid w:val="0"/>
              <w:ind w:firstLine="422"/>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根据新疆维吾尔自治区人民政府办公厅新政发〔2021〕18号《关于印发《新疆维吾尔自治区“三线一单”生态环境分区管控方案》的通知》要求，</w:t>
            </w:r>
          </w:p>
          <w:p>
            <w:pPr>
              <w:pStyle w:val="86"/>
              <w:spacing w:line="360" w:lineRule="auto"/>
              <w:ind w:left="0" w:leftChars="0" w:firstLine="0" w:firstLineChars="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对照自治区编制的三线一单生态环境分区管控要求，分析如下。</w:t>
            </w:r>
          </w:p>
          <w:p>
            <w:pPr>
              <w:pStyle w:val="86"/>
              <w:spacing w:line="360" w:lineRule="auto"/>
              <w:ind w:left="0" w:leftChars="0" w:firstLine="0" w:firstLineChars="0"/>
              <w:jc w:val="center"/>
              <w:rPr>
                <w:rFonts w:hint="default" w:ascii="Times New Roman" w:hAnsi="Times New Roman" w:eastAsia="仿宋" w:cs="Times New Roman"/>
                <w:b/>
                <w:bCs/>
                <w:color w:val="auto"/>
                <w:kern w:val="0"/>
                <w:sz w:val="21"/>
                <w:szCs w:val="21"/>
                <w:lang w:val="en-US" w:eastAsia="zh-CN" w:bidi="ar-SA"/>
              </w:rPr>
            </w:pPr>
            <w:r>
              <w:rPr>
                <w:rFonts w:hint="eastAsia" w:ascii="Times New Roman" w:hAnsi="Times New Roman" w:eastAsia="仿宋" w:cs="Times New Roman"/>
                <w:b/>
                <w:bCs/>
                <w:color w:val="auto"/>
                <w:kern w:val="0"/>
                <w:sz w:val="21"/>
                <w:szCs w:val="21"/>
                <w:lang w:val="en-US" w:eastAsia="zh-CN" w:bidi="ar-SA"/>
              </w:rPr>
              <w:t>表1-3</w:t>
            </w:r>
            <w:r>
              <w:rPr>
                <w:rFonts w:hint="default" w:ascii="Times New Roman" w:hAnsi="Times New Roman" w:eastAsia="仿宋" w:cs="Times New Roman"/>
                <w:b/>
                <w:bCs/>
                <w:color w:val="auto"/>
                <w:kern w:val="0"/>
                <w:sz w:val="21"/>
                <w:szCs w:val="21"/>
                <w:lang w:val="en-US" w:eastAsia="zh-CN" w:bidi="ar-SA"/>
              </w:rPr>
              <w:t>与新疆维吾尔自治区“三线一单”符合性分析</w:t>
            </w:r>
          </w:p>
          <w:tbl>
            <w:tblPr>
              <w:tblStyle w:val="87"/>
              <w:tblW w:w="494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542"/>
              <w:gridCol w:w="2941"/>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734"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“三线一单”要求</w:t>
                  </w:r>
                </w:p>
              </w:tc>
              <w:tc>
                <w:tcPr>
                  <w:tcW w:w="192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4"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生态保护红线</w:t>
                  </w:r>
                </w:p>
              </w:tc>
              <w:tc>
                <w:tcPr>
                  <w:tcW w:w="231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926"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项目位于新疆维吾尔自治区吐鲁番地区</w:t>
                  </w:r>
                  <w:r>
                    <w:rPr>
                      <w:rFonts w:hint="eastAsia" w:ascii="Times New Roman" w:hAnsi="Times New Roman" w:eastAsia="仿宋" w:cs="Times New Roman"/>
                      <w:b w:val="0"/>
                      <w:bCs w:val="0"/>
                      <w:color w:val="auto"/>
                      <w:kern w:val="2"/>
                      <w:sz w:val="21"/>
                      <w:szCs w:val="21"/>
                      <w:vertAlign w:val="baseline"/>
                      <w:lang w:val="en-US" w:eastAsia="zh-CN" w:bidi="ar-SA"/>
                    </w:rPr>
                    <w:t>鄯善县北西296°方位，直线距离13.4千米</w:t>
                  </w:r>
                  <w:r>
                    <w:rPr>
                      <w:rFonts w:hint="default" w:ascii="Times New Roman" w:hAnsi="Times New Roman" w:eastAsia="仿宋" w:cs="Times New Roman"/>
                      <w:b w:val="0"/>
                      <w:bCs w:val="0"/>
                      <w:color w:val="auto"/>
                      <w:kern w:val="2"/>
                      <w:sz w:val="21"/>
                      <w:szCs w:val="21"/>
                      <w:vertAlign w:val="baseline"/>
                      <w:lang w:val="en-US" w:eastAsia="zh-CN" w:bidi="ar-SA"/>
                    </w:rPr>
                    <w:t>，项目周边无自然保护区、饮用水源地保护区等生态保护目标，符合生态保护红线要求。</w:t>
                  </w:r>
                </w:p>
              </w:tc>
              <w:tc>
                <w:tcPr>
                  <w:tcW w:w="33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4"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环境质量底线</w:t>
                  </w:r>
                </w:p>
              </w:tc>
              <w:tc>
                <w:tcPr>
                  <w:tcW w:w="231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6"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4"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资源利用上线</w:t>
                  </w:r>
                </w:p>
              </w:tc>
              <w:tc>
                <w:tcPr>
                  <w:tcW w:w="231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926"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本项目为土砂石开采项目，运营期间仅使用少量水资源和电量，不会突破资源利用上线。</w:t>
                  </w:r>
                </w:p>
              </w:tc>
              <w:tc>
                <w:tcPr>
                  <w:tcW w:w="33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4"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环境准入清单</w:t>
                  </w:r>
                </w:p>
              </w:tc>
              <w:tc>
                <w:tcPr>
                  <w:tcW w:w="2319"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926"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属于土砂石开采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bl>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通过上表可知，本项目与《新疆维吾尔自治区“三线一单”生态环境分区管控方案的通知》相符。</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（2）与吐鲁番市“三线一单”符合性：</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①生态保护红线</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本项目位于新疆吐鲁番市</w:t>
            </w:r>
            <w:r>
              <w:rPr>
                <w:rFonts w:hint="eastAsia" w:eastAsia="仿宋" w:cs="Times New Roman"/>
                <w:color w:val="auto"/>
                <w:kern w:val="0"/>
                <w:sz w:val="24"/>
                <w:szCs w:val="24"/>
                <w:highlight w:val="none"/>
                <w:lang w:val="en-US" w:eastAsia="zh-CN" w:bidi="ar"/>
              </w:rPr>
              <w:t>鄯善县连木沁镇</w:t>
            </w:r>
            <w:r>
              <w:rPr>
                <w:rFonts w:hint="default" w:ascii="Times New Roman" w:hAnsi="Times New Roman" w:eastAsia="仿宋" w:cs="Times New Roman"/>
                <w:color w:val="auto"/>
                <w:kern w:val="0"/>
                <w:sz w:val="24"/>
                <w:szCs w:val="24"/>
                <w:highlight w:val="none"/>
                <w:lang w:val="en-US" w:eastAsia="zh-CN" w:bidi="ar"/>
              </w:rPr>
              <w:t>，不位于生态保护红线区域和生态保护红线区以外的饮用水水源保护区、水源涵养区、防风固沙区、土地沙化防控区、水土流失防控区等一般生态空间管控区，项目所在区域属于重点管控单元，不属于生态红线划定范围区。</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②环境质量底线</w:t>
            </w:r>
          </w:p>
          <w:p>
            <w:pPr>
              <w:keepNext w:val="0"/>
              <w:keepLines w:val="0"/>
              <w:widowControl/>
              <w:suppressLineNumbers w:val="0"/>
              <w:jc w:val="left"/>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color w:val="auto"/>
                <w:kern w:val="0"/>
                <w:sz w:val="24"/>
                <w:szCs w:val="24"/>
                <w:highlight w:val="none"/>
                <w:lang w:val="en-US" w:eastAsia="zh-CN" w:bidi="ar"/>
              </w:rPr>
              <w:t>依据《生态保护红线、环境质量底线、资源利用上线和环境准入负面清单编制技术指南（试行）》（环办环评[2017]99号），环境质量底线是指按照水、大气、土壤</w:t>
            </w:r>
            <w:r>
              <w:rPr>
                <w:rFonts w:hint="default" w:ascii="Times New Roman" w:hAnsi="Times New Roman" w:eastAsia="仿宋" w:cs="Times New Roman"/>
                <w:b w:val="0"/>
                <w:bCs w:val="0"/>
                <w:color w:val="auto"/>
                <w:kern w:val="0"/>
                <w:sz w:val="24"/>
                <w:szCs w:val="24"/>
                <w:highlight w:val="none"/>
                <w:lang w:val="en-US" w:eastAsia="zh-CN" w:bidi="ar"/>
              </w:rPr>
              <w:t>环境</w:t>
            </w:r>
            <w:r>
              <w:rPr>
                <w:rFonts w:hint="default" w:ascii="Times New Roman" w:hAnsi="Times New Roman" w:eastAsia="仿宋" w:cs="Times New Roman"/>
                <w:b w:val="0"/>
                <w:bCs w:val="0"/>
                <w:color w:val="auto"/>
                <w:kern w:val="0"/>
                <w:sz w:val="24"/>
                <w:szCs w:val="24"/>
              </w:rPr>
              <w:t>质量不断优化的原则，结合环境质量现状和相关规划、功能区划要求，考虑环境质量改善潜力，确定的分区域分阶段环境质量目标及相应的环境管控、污染物排放控制等要求。项目所在区域地下水环境、声环境及土壤环境质量现状良好，均可达到相应的环境功能区划要求。项目污染物经处理后达标排放，对周边环境质量影响较小，符合环境质量底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③资源利用上线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依据《生态保护红线、环境质量底线、资源利用上线和环境准入负面清单编制技术指南（试行）》（环办环评[2017]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本项目主要进行煤炭提质工作，项目建设不会对区域资源利用上线造成冲击。</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④生态环境准入清单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rPr>
              <w:t>根据吐鲁番市人民政府办公室2021年6月发布的《吐鲁番市“三线一单”生态环境分区管控方案》（吐政办〔2021〕24号），吐鲁番市共划定管控单元64个，优先保护单元17个，重点管控单元36个，一般管控单元11个</w:t>
            </w: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rPr>
              <w:t>本项目位于新疆吐鲁番市</w:t>
            </w:r>
            <w:r>
              <w:rPr>
                <w:rFonts w:hint="eastAsia" w:eastAsia="仿宋" w:cs="Times New Roman"/>
                <w:b w:val="0"/>
                <w:bCs/>
                <w:color w:val="auto"/>
                <w:kern w:val="0"/>
                <w:sz w:val="24"/>
                <w:szCs w:val="24"/>
                <w:lang w:eastAsia="zh-CN"/>
              </w:rPr>
              <w:t>鄯善县连木沁镇</w:t>
            </w:r>
            <w:r>
              <w:rPr>
                <w:rFonts w:hint="default" w:ascii="Times New Roman" w:hAnsi="Times New Roman" w:eastAsia="仿宋" w:cs="Times New Roman"/>
                <w:b w:val="0"/>
                <w:bCs/>
                <w:color w:val="auto"/>
                <w:kern w:val="0"/>
                <w:sz w:val="24"/>
                <w:szCs w:val="24"/>
              </w:rPr>
              <w:t>，</w:t>
            </w:r>
            <w:r>
              <w:rPr>
                <w:rFonts w:hint="default" w:ascii="Times New Roman" w:hAnsi="Times New Roman" w:eastAsia="仿宋" w:cs="Times New Roman"/>
                <w:b w:val="0"/>
                <w:bCs/>
                <w:color w:val="auto"/>
                <w:kern w:val="0"/>
                <w:sz w:val="24"/>
                <w:szCs w:val="24"/>
                <w:highlight w:val="none"/>
                <w:lang w:val="en-US" w:eastAsia="zh-CN"/>
              </w:rPr>
              <w:t>环境管控单元编码为</w:t>
            </w:r>
            <w:r>
              <w:rPr>
                <w:rFonts w:hint="default" w:ascii="Times New Roman" w:hAnsi="Times New Roman" w:eastAsia="仿宋" w:cs="Times New Roman"/>
                <w:b w:val="0"/>
                <w:bCs/>
                <w:color w:val="auto"/>
                <w:kern w:val="0"/>
                <w:sz w:val="24"/>
                <w:szCs w:val="24"/>
              </w:rPr>
              <w:t>ZH65042130004</w:t>
            </w:r>
            <w:r>
              <w:rPr>
                <w:rFonts w:hint="default" w:ascii="Times New Roman" w:hAnsi="Times New Roman" w:eastAsia="仿宋" w:cs="Times New Roman"/>
                <w:b w:val="0"/>
                <w:bCs/>
                <w:color w:val="auto"/>
                <w:kern w:val="0"/>
                <w:sz w:val="24"/>
                <w:szCs w:val="24"/>
                <w:highlight w:val="none"/>
                <w:lang w:val="en-US" w:eastAsia="zh-CN"/>
              </w:rPr>
              <w:t>，</w:t>
            </w:r>
            <w:r>
              <w:rPr>
                <w:rFonts w:hint="default" w:ascii="Times New Roman" w:hAnsi="Times New Roman" w:eastAsia="仿宋" w:cs="Times New Roman"/>
                <w:b w:val="0"/>
                <w:bCs/>
                <w:color w:val="auto"/>
                <w:kern w:val="0"/>
                <w:sz w:val="24"/>
                <w:szCs w:val="24"/>
                <w:highlight w:val="none"/>
              </w:rPr>
              <w:t>根据吐政办〔2021〕24号项目所在单元属于</w:t>
            </w:r>
            <w:r>
              <w:rPr>
                <w:rFonts w:hint="default" w:ascii="Times New Roman" w:hAnsi="Times New Roman" w:eastAsia="仿宋" w:cs="Times New Roman"/>
                <w:b w:val="0"/>
                <w:bCs/>
                <w:color w:val="auto"/>
                <w:kern w:val="0"/>
                <w:sz w:val="24"/>
                <w:szCs w:val="24"/>
              </w:rPr>
              <w:t>鄯善县其他一般管控单元</w:t>
            </w:r>
            <w:r>
              <w:rPr>
                <w:rFonts w:hint="eastAsia"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rPr>
              <w:t>符合性分析见表1-</w:t>
            </w:r>
            <w:r>
              <w:rPr>
                <w:rFonts w:hint="eastAsia" w:eastAsia="仿宋" w:cs="Times New Roman"/>
                <w:b w:val="0"/>
                <w:bCs/>
                <w:color w:val="auto"/>
                <w:kern w:val="0"/>
                <w:sz w:val="24"/>
                <w:szCs w:val="24"/>
                <w:lang w:val="en-US" w:eastAsia="zh-CN"/>
              </w:rPr>
              <w:t>4</w:t>
            </w:r>
            <w:r>
              <w:rPr>
                <w:rFonts w:hint="default" w:ascii="Times New Roman" w:hAnsi="Times New Roman" w:eastAsia="仿宋" w:cs="Times New Roman"/>
                <w:b w:val="0"/>
                <w:bCs/>
                <w:color w:val="auto"/>
                <w:kern w:val="0"/>
                <w:sz w:val="24"/>
                <w:szCs w:val="24"/>
              </w:rPr>
              <w:t>。</w:t>
            </w:r>
            <w:r>
              <w:rPr>
                <w:rFonts w:hint="eastAsia" w:ascii="Times New Roman" w:hAnsi="Times New Roman" w:eastAsia="仿宋" w:cs="Times New Roman"/>
                <w:b w:val="0"/>
                <w:bCs/>
                <w:color w:val="auto"/>
                <w:kern w:val="0"/>
                <w:sz w:val="24"/>
                <w:szCs w:val="24"/>
                <w:lang w:val="en-US" w:eastAsia="zh-CN"/>
              </w:rPr>
              <w:t>详见图1-1：项目与吐鲁番市环境综合管控单元关系图。</w:t>
            </w:r>
          </w:p>
          <w:p>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eastAsia"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与《吐鲁番市生态环境准入清单》的符合性分析</w:t>
            </w:r>
          </w:p>
          <w:tbl>
            <w:tblPr>
              <w:tblStyle w:val="87"/>
              <w:tblW w:w="48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4023"/>
              <w:gridCol w:w="2037"/>
              <w:gridCol w:w="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314" w:type="pct"/>
                  <w:gridSpan w:val="2"/>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管控要求</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本项目情况</w:t>
                  </w:r>
                </w:p>
              </w:tc>
              <w:tc>
                <w:tcPr>
                  <w:tcW w:w="3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重空间</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布局约束</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1.禁止新建、扩建、改建原油加工、天然气加工、油母页岩提炼原油、煤制原油及其他石油制品、煤化工、炼焦、煤炭热解、电石、除单纯混合和分装外的化学原料制造、化学品制造、炼钢、炼铁、金属冶炼</w:t>
                  </w:r>
                  <w:r>
                    <w:rPr>
                      <w:rFonts w:hint="eastAsia" w:eastAsia="仿宋" w:cs="Times New Roman"/>
                      <w:b w:val="0"/>
                      <w:bCs/>
                      <w:color w:val="auto"/>
                      <w:kern w:val="0"/>
                      <w:sz w:val="21"/>
                      <w:szCs w:val="21"/>
                      <w:lang w:val="en-US" w:eastAsia="zh-CN" w:bidi="ar-SA"/>
                    </w:rPr>
                    <w:t>等</w:t>
                  </w:r>
                  <w:r>
                    <w:rPr>
                      <w:rFonts w:hint="default" w:ascii="Times New Roman" w:hAnsi="Times New Roman" w:eastAsia="仿宋" w:cs="Times New Roman"/>
                      <w:b w:val="0"/>
                      <w:bCs/>
                      <w:color w:val="auto"/>
                      <w:kern w:val="0"/>
                      <w:sz w:val="21"/>
                      <w:szCs w:val="21"/>
                      <w:lang w:val="en-US" w:eastAsia="zh-CN" w:bidi="ar-SA"/>
                    </w:rPr>
                    <w:t>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本项目不属于禁止类建设项目。</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yellow"/>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2.不得在居民集中区新建垃圾分拣中心等臭气异味影响较大的项目；不得在居民集中区新建涉及易燃易爆物质的大型仓储项目</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本项目位于鄯善连木沁镇，选址不在居民区。</w:t>
                  </w:r>
                </w:p>
              </w:tc>
              <w:tc>
                <w:tcPr>
                  <w:tcW w:w="337"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3.新建、扩建、改建公路、铁路、输油输气管道等各类工程，需要穿越、跨越坎儿井的，应当对工程建设期间、运行过程中可能给坎儿井造成的危害进行论证，并制定坎儿井保护方案。</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项目区</w:t>
                  </w:r>
                  <w:r>
                    <w:rPr>
                      <w:rFonts w:hint="eastAsia" w:ascii="Times New Roman" w:hAnsi="Times New Roman" w:eastAsia="仿宋" w:cs="Times New Roman"/>
                      <w:b w:val="0"/>
                      <w:bCs/>
                      <w:color w:val="auto"/>
                      <w:kern w:val="0"/>
                      <w:sz w:val="21"/>
                      <w:szCs w:val="21"/>
                      <w:highlight w:val="none"/>
                      <w:lang w:val="en-US" w:eastAsia="zh-CN" w:bidi="ar-SA"/>
                    </w:rPr>
                    <w:t>东</w:t>
                  </w:r>
                  <w:r>
                    <w:rPr>
                      <w:rFonts w:hint="default" w:ascii="Times New Roman" w:hAnsi="Times New Roman" w:eastAsia="仿宋" w:cs="Times New Roman"/>
                      <w:b w:val="0"/>
                      <w:bCs/>
                      <w:color w:val="auto"/>
                      <w:kern w:val="0"/>
                      <w:sz w:val="21"/>
                      <w:szCs w:val="21"/>
                      <w:highlight w:val="none"/>
                      <w:lang w:val="en-US" w:eastAsia="zh-CN" w:bidi="ar-SA"/>
                    </w:rPr>
                    <w:t>侧</w:t>
                  </w:r>
                  <w:r>
                    <w:rPr>
                      <w:rFonts w:hint="eastAsia" w:ascii="Times New Roman" w:hAnsi="Times New Roman" w:eastAsia="仿宋" w:cs="Times New Roman"/>
                      <w:b w:val="0"/>
                      <w:bCs/>
                      <w:color w:val="auto"/>
                      <w:kern w:val="0"/>
                      <w:sz w:val="21"/>
                      <w:szCs w:val="21"/>
                      <w:highlight w:val="none"/>
                      <w:lang w:val="en-US" w:eastAsia="zh-CN" w:bidi="ar-SA"/>
                    </w:rPr>
                    <w:t>191</w:t>
                  </w:r>
                  <w:r>
                    <w:rPr>
                      <w:rFonts w:hint="default" w:ascii="Times New Roman" w:hAnsi="Times New Roman" w:eastAsia="仿宋" w:cs="Times New Roman"/>
                      <w:b w:val="0"/>
                      <w:bCs/>
                      <w:color w:val="auto"/>
                      <w:kern w:val="0"/>
                      <w:sz w:val="21"/>
                      <w:szCs w:val="21"/>
                      <w:highlight w:val="none"/>
                      <w:lang w:val="en-US" w:eastAsia="zh-CN" w:bidi="ar-SA"/>
                    </w:rPr>
                    <w:t>m处靠近坎儿井，项目各类废弃物均采取合理处置措施，不排入外环境。</w:t>
                  </w:r>
                </w:p>
              </w:tc>
              <w:tc>
                <w:tcPr>
                  <w:tcW w:w="337"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yellow"/>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污染物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排放管控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本项目排放污染物均能达标。</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2.加强污水处理设施运行管理，全面加强配套管网建设，推进污泥处理处置</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本项目食堂废水经隔油处理后与其他生活污水暂存于化粪池，定期委托个人由吸污泵车拉运至鄯善县污水处理厂处置。</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3.通过经济手段引导供热、供气、供电管网覆盖区域居民减少散煤使用，大力推进“电化农村”建设。逐步将风能、太阳能、电力等清洁能源利用项目扩展到各乡镇。</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本项目供暖主要为办公室供暖，采用</w:t>
                  </w:r>
                  <w:r>
                    <w:rPr>
                      <w:rFonts w:hint="eastAsia" w:ascii="Times New Roman" w:hAnsi="Times New Roman" w:eastAsia="仿宋" w:cs="Times New Roman"/>
                      <w:b w:val="0"/>
                      <w:bCs/>
                      <w:color w:val="auto"/>
                      <w:kern w:val="0"/>
                      <w:sz w:val="21"/>
                      <w:szCs w:val="21"/>
                      <w:lang w:val="en-US" w:eastAsia="zh-CN" w:bidi="ar-SA"/>
                    </w:rPr>
                    <w:t>电暖器</w:t>
                  </w:r>
                  <w:r>
                    <w:rPr>
                      <w:rFonts w:hint="default" w:ascii="Times New Roman" w:hAnsi="Times New Roman" w:eastAsia="仿宋" w:cs="Times New Roman"/>
                      <w:b w:val="0"/>
                      <w:bCs/>
                      <w:color w:val="auto"/>
                      <w:kern w:val="0"/>
                      <w:sz w:val="21"/>
                      <w:szCs w:val="21"/>
                      <w:lang w:val="en-US" w:eastAsia="zh-CN" w:bidi="ar-SA"/>
                    </w:rPr>
                    <w:t>取暖。</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安全用药、绿色防控、农业废弃物资源化利用等农业清洁生产技术与装备；优化种植业结构与布局；加快农村环境综合整治。</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本项目不涉及。</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5.推进农村生活污水治理。因地制宜，采取“以城带村”、“以乡（镇）带村”、“联村”、“单村”、“联户”、“单户”等多种方式，实施农村生活污水治理工程，合理布局，科学设计。</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本项目食堂废水经隔油处理后与其他生活污水暂存于化粪池，定期委托个人由吸污泵车拉运至鄯善县污水处理厂处置</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6.严格按照《新疆维吾尔自治区坎儿井保护条例》对区域内坎儿井进行保护，禁止向坎儿井水源、明渠、蓄水池倾倒废污水、垃圾等废弃物。</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本项目东侧</w:t>
                  </w:r>
                  <w:r>
                    <w:rPr>
                      <w:rFonts w:hint="eastAsia" w:ascii="Times New Roman" w:hAnsi="Times New Roman" w:eastAsia="仿宋" w:cs="Times New Roman"/>
                      <w:b w:val="0"/>
                      <w:bCs/>
                      <w:color w:val="auto"/>
                      <w:kern w:val="0"/>
                      <w:sz w:val="21"/>
                      <w:szCs w:val="21"/>
                      <w:highlight w:val="none"/>
                      <w:lang w:val="en-US" w:eastAsia="zh-CN" w:bidi="ar-SA"/>
                    </w:rPr>
                    <w:t>191m处</w:t>
                  </w:r>
                  <w:r>
                    <w:rPr>
                      <w:rFonts w:hint="default" w:ascii="Times New Roman" w:hAnsi="Times New Roman" w:eastAsia="仿宋" w:cs="Times New Roman"/>
                      <w:b w:val="0"/>
                      <w:bCs/>
                      <w:color w:val="auto"/>
                      <w:kern w:val="0"/>
                      <w:sz w:val="21"/>
                      <w:szCs w:val="21"/>
                      <w:highlight w:val="none"/>
                      <w:lang w:val="en-US" w:eastAsia="zh-CN" w:bidi="ar-SA"/>
                    </w:rPr>
                    <w:t>临近坎儿井，项目各类废弃物均采取合理处置措施，不排入外环境。</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环境风险防控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1.紧邻居住、科教、医院等环境敏感点的工业用地，禁止新建环境风险潜势等级高于Ⅲ级的建设项目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w:t>
                  </w:r>
                  <w:r>
                    <w:rPr>
                      <w:rFonts w:hint="eastAsia"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2.严格管控易导致环境风险的有毒有害和易燃易爆物质的使用和贮运，涉及此类物质的项目必须编制风险应急预案</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w:t>
                  </w:r>
                  <w:r>
                    <w:rPr>
                      <w:rFonts w:hint="eastAsia"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w:t>
                  </w:r>
                  <w:r>
                    <w:rPr>
                      <w:rFonts w:hint="eastAsia" w:ascii="Times New Roman" w:hAnsi="Times New Roman"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4.加强风险防控体系建设，防范环境风险。稳妥处置突发环境污染事件，制定和完善污染事故处置应急预案，强化危险源、敏感点的监测、分析、预测、预警</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本项目环境风险主要为废矿油暂存，需加强日常管理，避免因危险废物</w:t>
                  </w:r>
                  <w:r>
                    <w:rPr>
                      <w:rFonts w:hint="eastAsia" w:ascii="Times New Roman" w:hAnsi="Times New Roman" w:eastAsia="仿宋" w:cs="Times New Roman"/>
                      <w:b w:val="0"/>
                      <w:bCs/>
                      <w:color w:val="auto"/>
                      <w:kern w:val="0"/>
                      <w:sz w:val="21"/>
                      <w:szCs w:val="21"/>
                      <w:lang w:val="en-US" w:eastAsia="zh-CN" w:bidi="ar-SA"/>
                    </w:rPr>
                    <w:t>泄漏</w:t>
                  </w:r>
                  <w:r>
                    <w:rPr>
                      <w:rFonts w:hint="default" w:ascii="Times New Roman" w:hAnsi="Times New Roman" w:eastAsia="仿宋" w:cs="Times New Roman"/>
                      <w:b w:val="0"/>
                      <w:bCs/>
                      <w:color w:val="auto"/>
                      <w:kern w:val="0"/>
                      <w:sz w:val="21"/>
                      <w:szCs w:val="21"/>
                      <w:lang w:val="en-US" w:eastAsia="zh-CN" w:bidi="ar-SA"/>
                    </w:rPr>
                    <w:t>、乱堆乱弃造成环境污染。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资源利</w:t>
                  </w: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用要求</w:t>
                  </w: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全面开展节水型社会建设，推进节水产品推广普及，限制高耗水服务业用水</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本项目不属于高耗水行业。</w:t>
                  </w:r>
                </w:p>
              </w:tc>
              <w:tc>
                <w:tcPr>
                  <w:tcW w:w="3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rPr>
            </w:pPr>
            <w:r>
              <w:rPr>
                <w:rFonts w:hint="default" w:ascii="Times New Roman" w:hAnsi="Times New Roman" w:eastAsia="仿宋" w:cs="Times New Roman"/>
                <w:b/>
                <w:bCs/>
                <w:color w:val="auto"/>
                <w:spacing w:val="-1"/>
              </w:rPr>
              <w:t>表 1-</w:t>
            </w:r>
            <w:r>
              <w:rPr>
                <w:rFonts w:hint="eastAsia" w:eastAsia="仿宋" w:cs="Times New Roman"/>
                <w:b/>
                <w:bCs/>
                <w:color w:val="auto"/>
                <w:spacing w:val="-1"/>
                <w:lang w:val="en-US" w:eastAsia="zh-CN"/>
              </w:rPr>
              <w:t>5</w:t>
            </w:r>
            <w:r>
              <w:rPr>
                <w:rFonts w:hint="default" w:ascii="Times New Roman" w:hAnsi="Times New Roman" w:eastAsia="仿宋" w:cs="Times New Roman"/>
                <w:b/>
                <w:bCs/>
                <w:color w:val="auto"/>
                <w:spacing w:val="-1"/>
              </w:rPr>
              <w:t xml:space="preserve"> 项目与鄯善县环境管控单元生态环境准入清单（ 一般管控单元）符合性</w:t>
            </w:r>
          </w:p>
          <w:tbl>
            <w:tblPr>
              <w:tblStyle w:val="26"/>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19"/>
              <w:gridCol w:w="637"/>
              <w:gridCol w:w="489"/>
              <w:gridCol w:w="3120"/>
              <w:gridCol w:w="149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7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 w:val="0"/>
                      <w:bCs/>
                      <w:color w:val="auto"/>
                      <w:kern w:val="0"/>
                      <w:sz w:val="21"/>
                      <w:szCs w:val="21"/>
                      <w:lang w:val="en-US" w:eastAsia="zh-CN"/>
                    </w:rPr>
                    <w:t>管控单元编码</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环境管控单元名称</w:t>
                  </w:r>
                </w:p>
              </w:tc>
              <w:tc>
                <w:tcPr>
                  <w:tcW w:w="4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val="en-US" w:eastAsia="zh-CN" w:bidi="en-US"/>
                    </w:rPr>
                  </w:pPr>
                  <w:r>
                    <w:rPr>
                      <w:rFonts w:hint="default" w:ascii="Times New Roman" w:hAnsi="Times New Roman" w:eastAsia="仿宋" w:cs="Times New Roman"/>
                      <w:bCs/>
                      <w:color w:val="auto"/>
                      <w:sz w:val="21"/>
                      <w:szCs w:val="21"/>
                      <w:lang w:val="en-US" w:eastAsia="zh-CN" w:bidi="en-US"/>
                    </w:rPr>
                    <w:t>环境管控单元类别</w:t>
                  </w:r>
                </w:p>
              </w:tc>
              <w:tc>
                <w:tcPr>
                  <w:tcW w:w="235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管控要求</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bidi="en-US"/>
                    </w:rPr>
                    <w:t>本项目情况</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jc w:val="center"/>
              </w:trPr>
              <w:tc>
                <w:tcPr>
                  <w:tcW w:w="47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Cs/>
                      <w:color w:val="auto"/>
                      <w:sz w:val="21"/>
                      <w:szCs w:val="21"/>
                      <w:lang w:bidi="en-US"/>
                    </w:rPr>
                    <w:t>ZH65042130004</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鄯善县其他一般管控单元</w:t>
                  </w:r>
                </w:p>
              </w:tc>
              <w:tc>
                <w:tcPr>
                  <w:tcW w:w="41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一般管控单元</w:t>
                  </w: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空间布局约束</w:t>
                  </w:r>
                </w:p>
              </w:tc>
              <w:tc>
                <w:tcPr>
                  <w:tcW w:w="2031" w:type="pct"/>
                  <w:shd w:val="clear" w:color="auto" w:fill="auto"/>
                  <w:vAlign w:val="center"/>
                </w:tcPr>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hint="eastAsia" w:ascii="仿宋_GB2312" w:hAnsi="Times New Roman" w:eastAsia="仿宋_GB2312" w:cs="Times New Roman"/>
                      <w:color w:val="auto"/>
                      <w:lang w:bidi="en-US"/>
                    </w:rPr>
                    <w:t>1.原则上禁止建设涉及一类重金属、持久性有机污染物排放的工业项目。</w:t>
                  </w:r>
                </w:p>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ascii="仿宋_GB2312" w:hAnsi="Times New Roman" w:eastAsia="仿宋_GB2312" w:cs="Times New Roman"/>
                      <w:color w:val="auto"/>
                      <w:lang w:bidi="en-US"/>
                    </w:rPr>
                    <w:t>2.</w:t>
                  </w:r>
                  <w:r>
                    <w:rPr>
                      <w:rFonts w:hint="eastAsia" w:ascii="仿宋_GB2312" w:hAnsi="Times New Roman" w:eastAsia="仿宋_GB2312" w:cs="Times New Roman"/>
                      <w:color w:val="auto"/>
                      <w:lang w:bidi="en-US"/>
                    </w:rPr>
                    <w:t>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ascii="仿宋_GB2312" w:hAnsi="Times New Roman" w:eastAsia="仿宋_GB2312" w:cs="Times New Roman"/>
                      <w:color w:val="auto"/>
                      <w:lang w:bidi="en-US"/>
                    </w:rPr>
                    <w:t>3.</w:t>
                  </w:r>
                  <w:r>
                    <w:rPr>
                      <w:rFonts w:hint="eastAsia" w:ascii="仿宋_GB2312" w:hAnsi="Times New Roman" w:eastAsia="仿宋_GB2312" w:cs="Times New Roman"/>
                      <w:color w:val="auto"/>
                      <w:lang w:bidi="en-US"/>
                    </w:rPr>
                    <w:t>推进新能源的开发和利用，鼓励发展风力发电和太阳能发电。</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仿宋_GB2312" w:hAnsi="Times New Roman" w:eastAsia="仿宋_GB2312" w:cs="Times New Roman"/>
                      <w:color w:val="auto"/>
                      <w:lang w:bidi="en-US"/>
                    </w:rPr>
                    <w:t>4</w:t>
                  </w:r>
                  <w:r>
                    <w:rPr>
                      <w:rFonts w:hint="eastAsia" w:ascii="仿宋_GB2312" w:hAnsi="Times New Roman" w:eastAsia="仿宋_GB2312" w:cs="Times New Roman"/>
                      <w:color w:val="auto"/>
                      <w:lang w:bidi="en-US"/>
                    </w:rPr>
                    <w:t>.建立集镇居住商业区、耕地保护区与工业功能区等集聚区块之间的防护带。</w:t>
                  </w:r>
                  <w:r>
                    <w:rPr>
                      <w:rFonts w:ascii="仿宋_GB2312" w:hAnsi="Times New Roman" w:eastAsia="仿宋_GB2312" w:cs="Times New Roman"/>
                      <w:color w:val="auto"/>
                      <w:lang w:bidi="en-US"/>
                    </w:rPr>
                    <w:t>5.</w:t>
                  </w:r>
                  <w:r>
                    <w:rPr>
                      <w:rFonts w:hint="eastAsia" w:ascii="仿宋_GB2312" w:hAnsi="Times New Roman" w:eastAsia="仿宋_GB2312" w:cs="Times New Roman"/>
                      <w:color w:val="auto"/>
                      <w:lang w:bidi="en-US"/>
                    </w:rPr>
                    <w:t>严格执行畜禽养殖禁养区规定，根据区域用地和消纳水平，合理确定养殖规模。加强基本农田保护，严格限制非农项目占用耕地。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污染物排放管控</w:t>
                  </w:r>
                </w:p>
              </w:tc>
              <w:tc>
                <w:tcPr>
                  <w:tcW w:w="2031" w:type="pct"/>
                  <w:shd w:val="clear" w:color="auto" w:fill="auto"/>
                  <w:vAlign w:val="center"/>
                </w:tcPr>
                <w:p>
                  <w:pPr>
                    <w:adjustRightInd w:val="0"/>
                    <w:snapToGrid w:val="0"/>
                    <w:spacing w:line="240" w:lineRule="auto"/>
                    <w:ind w:left="0" w:leftChars="0" w:firstLine="0" w:firstLineChars="0"/>
                    <w:rPr>
                      <w:rFonts w:ascii="仿宋_GB2312" w:hAnsi="Times New Roman" w:eastAsia="仿宋_GB2312" w:cs="Times New Roman"/>
                      <w:color w:val="auto"/>
                      <w:lang w:bidi="en-US"/>
                    </w:rPr>
                  </w:pPr>
                  <w:r>
                    <w:rPr>
                      <w:rFonts w:hint="eastAsia" w:ascii="Times New Roman" w:hAnsi="Times New Roman" w:eastAsia="仿宋_GB2312" w:cs="Times New Roman"/>
                      <w:bCs/>
                      <w:color w:val="auto"/>
                    </w:rPr>
                    <w:t>1</w:t>
                  </w:r>
                  <w:r>
                    <w:rPr>
                      <w:rFonts w:ascii="Times New Roman" w:hAnsi="Times New Roman" w:eastAsia="仿宋_GB2312" w:cs="Times New Roman"/>
                      <w:bCs/>
                      <w:color w:val="auto"/>
                    </w:rPr>
                    <w:t>.加强农业面源污染治理，严格控制化肥农药施加量，逐步削减农业面源污染物排放量</w:t>
                  </w:r>
                  <w:r>
                    <w:rPr>
                      <w:rFonts w:hint="eastAsia" w:ascii="仿宋_GB2312" w:hAnsi="Times New Roman" w:eastAsia="仿宋_GB2312" w:cs="Times New Roman"/>
                      <w:color w:val="auto"/>
                      <w:lang w:bidi="en-US"/>
                    </w:rPr>
                    <w:t>。</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仿宋_GB2312" w:hAnsi="Times New Roman" w:eastAsia="仿宋_GB2312" w:cs="Times New Roman"/>
                      <w:color w:val="auto"/>
                      <w:lang w:bidi="en-US"/>
                    </w:rPr>
                    <w:t>2</w:t>
                  </w:r>
                  <w:r>
                    <w:rPr>
                      <w:rFonts w:hint="eastAsia" w:ascii="仿宋_GB2312" w:hAnsi="Times New Roman" w:eastAsia="仿宋_GB2312" w:cs="Times New Roman"/>
                      <w:color w:val="auto"/>
                      <w:lang w:bidi="en-US"/>
                    </w:rPr>
                    <w:t>.加强矿产资源开采的环境保护工作。</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eastAsia"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eastAsia" w:eastAsia="仿宋" w:cs="Times New Roman"/>
                      <w:color w:val="auto"/>
                      <w:kern w:val="0"/>
                      <w:sz w:val="21"/>
                      <w:szCs w:val="21"/>
                      <w:lang w:val="zh-TW" w:eastAsia="zh-CN"/>
                    </w:rPr>
                    <w:t>排土场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环境风险防控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Times New Roman" w:hAnsi="Times New Roman" w:eastAsia="仿宋_GB2312" w:cs="Times New Roman"/>
                      <w:bCs/>
                      <w:color w:val="auto"/>
                    </w:rPr>
                    <w:t>禁止向农用地排放重金属或者其他有毒有害物质含量超标的污水、污泥，以及可能造成土壤污染的尾矿、矿渣等。加强农田土壤、灌溉水的监测及评价，对周边或区域环境风险源进行评估</w:t>
                  </w:r>
                  <w:r>
                    <w:rPr>
                      <w:rFonts w:hint="eastAsia" w:ascii="Times New Roman" w:hAnsi="Times New Roman" w:eastAsia="仿宋_GB2312" w:cs="Times New Roman"/>
                      <w:bCs/>
                      <w:color w:val="auto"/>
                    </w:rPr>
                    <w:t>。</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资源利用效率</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ascii="Times New Roman" w:hAnsi="Times New Roman" w:eastAsia="仿宋_GB2312" w:cs="Times New Roman"/>
                      <w:bCs/>
                      <w:color w:val="auto"/>
                    </w:rPr>
                    <w:t>实行水资源消耗总量和强度双控，推进农业节水，提高农业用水效率。优化能源结构，加强能源清洁利用</w:t>
                  </w:r>
                  <w:r>
                    <w:rPr>
                      <w:rFonts w:hint="eastAsia" w:ascii="Times New Roman" w:hAnsi="Times New Roman" w:eastAsia="仿宋_GB2312" w:cs="Times New Roman"/>
                      <w:bCs/>
                      <w:color w:val="auto"/>
                    </w:rPr>
                    <w:t>。</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相符</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color w:val="auto"/>
                <w:spacing w:val="-1"/>
              </w:rPr>
              <w:t>综上所述，项目符合“三线一单”相关要求。</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3、与《砂石行业绿色矿山建设规范》（DZT0316—2018）符合性分析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根据《砂石行业绿色矿山建设规范》（DZT0316</w:t>
            </w:r>
            <w:r>
              <w:rPr>
                <w:rFonts w:hint="default"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rPr>
              <w:t>2018）建设指标要求，从</w:t>
            </w:r>
            <w:r>
              <w:rPr>
                <w:rFonts w:hint="default" w:ascii="Times New Roman" w:hAnsi="Times New Roman" w:eastAsia="仿宋" w:cs="Times New Roman"/>
                <w:color w:val="auto"/>
                <w:kern w:val="0"/>
                <w:sz w:val="24"/>
                <w:szCs w:val="24"/>
                <w:lang w:val="en-US" w:eastAsia="zh-CN"/>
              </w:rPr>
              <w:t>矿区环境</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资源开发利用</w:t>
            </w:r>
            <w:r>
              <w:rPr>
                <w:rFonts w:hint="default" w:ascii="Times New Roman" w:hAnsi="Times New Roman" w:eastAsia="仿宋" w:cs="Times New Roman"/>
                <w:color w:val="auto"/>
                <w:kern w:val="0"/>
                <w:sz w:val="24"/>
                <w:szCs w:val="24"/>
              </w:rPr>
              <w:t>方式、</w:t>
            </w:r>
            <w:r>
              <w:rPr>
                <w:rFonts w:hint="default" w:ascii="Times New Roman" w:hAnsi="Times New Roman" w:eastAsia="仿宋" w:cs="Times New Roman"/>
                <w:color w:val="auto"/>
                <w:kern w:val="0"/>
                <w:sz w:val="24"/>
                <w:szCs w:val="24"/>
                <w:lang w:val="en-US" w:eastAsia="zh-CN"/>
              </w:rPr>
              <w:t>资源综合利用</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节能减排、科技创新与数字化矿山、</w:t>
            </w:r>
            <w:r>
              <w:rPr>
                <w:rFonts w:hint="default" w:ascii="Times New Roman" w:hAnsi="Times New Roman" w:eastAsia="仿宋" w:cs="Times New Roman"/>
                <w:color w:val="auto"/>
                <w:kern w:val="0"/>
                <w:sz w:val="24"/>
                <w:szCs w:val="24"/>
              </w:rPr>
              <w:t>企业管理等多方面建设绿色矿山。</w:t>
            </w:r>
            <w:r>
              <w:rPr>
                <w:rFonts w:hint="default" w:ascii="Times New Roman" w:hAnsi="Times New Roman" w:eastAsia="仿宋" w:cs="Times New Roman"/>
                <w:color w:val="auto"/>
                <w:kern w:val="0"/>
                <w:sz w:val="24"/>
                <w:szCs w:val="24"/>
                <w:lang w:val="en-US" w:eastAsia="zh-CN"/>
              </w:rPr>
              <w:t>本项目与《砂石行业绿色矿山建设规范》（DZT0316-2018）符合性分析见表1-</w:t>
            </w:r>
            <w:r>
              <w:rPr>
                <w:rFonts w:hint="eastAsia" w:eastAsia="仿宋" w:cs="Times New Roman"/>
                <w:color w:val="auto"/>
                <w:kern w:val="0"/>
                <w:sz w:val="24"/>
                <w:szCs w:val="24"/>
                <w:lang w:val="en-US" w:eastAsia="zh-CN"/>
              </w:rPr>
              <w:t>6</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6</w:t>
            </w:r>
            <w:r>
              <w:rPr>
                <w:rFonts w:hint="default" w:ascii="Times New Roman" w:hAnsi="Times New Roman" w:eastAsia="仿宋" w:cs="Times New Roman"/>
                <w:b/>
                <w:color w:val="auto"/>
                <w:sz w:val="21"/>
                <w:szCs w:val="21"/>
                <w:lang w:val="zh-TW" w:eastAsia="zh-CN"/>
              </w:rPr>
              <w:t>《砂石行业绿色矿山建设规范》（DZT0316-2018）</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40"/>
              <w:gridCol w:w="2615"/>
              <w:gridCol w:w="330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指标</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矿区环境</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功能分区布局合理，矿区应绿化、美化，整体环境整洁美观；砂石原料开采、生产、运输、贮存等管理规范有序；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157" w:type="pct"/>
                  <w:vAlign w:val="center"/>
                </w:tcPr>
                <w:p>
                  <w:pPr>
                    <w:autoSpaceDE w:val="0"/>
                    <w:autoSpaceDN w:val="0"/>
                    <w:adjustRightInd w:val="0"/>
                    <w:snapToGrid w:val="0"/>
                    <w:spacing w:line="240" w:lineRule="auto"/>
                    <w:ind w:left="0" w:leftChars="0" w:firstLine="0" w:firstLineChars="0"/>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sz w:val="21"/>
                      <w:szCs w:val="21"/>
                      <w:lang w:val="en-US" w:eastAsia="zh-CN"/>
                    </w:rPr>
                    <w:t>根据项目总平面图设计，矿区布置拟按生产、生活、贮存等功能区分开设置，针对不同功能区设置</w:t>
                  </w:r>
                  <w:r>
                    <w:rPr>
                      <w:rFonts w:hint="default" w:ascii="Times New Roman" w:hAnsi="Times New Roman" w:eastAsia="仿宋" w:cs="Times New Roman"/>
                      <w:color w:val="auto"/>
                      <w:sz w:val="21"/>
                      <w:szCs w:val="21"/>
                    </w:rPr>
                    <w:t>相应的管理机构和管理制度，</w:t>
                  </w:r>
                  <w:r>
                    <w:rPr>
                      <w:rFonts w:hint="default" w:ascii="Times New Roman" w:hAnsi="Times New Roman" w:eastAsia="仿宋" w:cs="Times New Roman"/>
                      <w:color w:val="auto"/>
                      <w:sz w:val="21"/>
                      <w:szCs w:val="21"/>
                      <w:lang w:val="en-US" w:eastAsia="zh-CN"/>
                    </w:rPr>
                    <w:t>运行后的道路、供水、供电、卫生</w:t>
                  </w:r>
                  <w:r>
                    <w:rPr>
                      <w:rFonts w:hint="default" w:ascii="Times New Roman" w:hAnsi="Times New Roman" w:eastAsia="仿宋" w:cs="Times New Roman"/>
                      <w:color w:val="auto"/>
                      <w:sz w:val="21"/>
                      <w:szCs w:val="21"/>
                    </w:rPr>
                    <w:t>、环保等配套设施</w:t>
                  </w:r>
                  <w:r>
                    <w:rPr>
                      <w:rFonts w:hint="default" w:ascii="Times New Roman" w:hAnsi="Times New Roman" w:eastAsia="仿宋" w:cs="Times New Roman"/>
                      <w:color w:val="auto"/>
                      <w:sz w:val="21"/>
                      <w:szCs w:val="21"/>
                      <w:lang w:val="en-US" w:eastAsia="zh-CN"/>
                    </w:rPr>
                    <w:t>拟配备齐全。开采及装卸过程拟采取洒水降尘；运输道路洒水降尘，运输车辆篷布遮盖，限速；堆土场采用</w:t>
                  </w:r>
                  <w:r>
                    <w:rPr>
                      <w:rFonts w:hint="eastAsia" w:eastAsia="仿宋" w:cs="Times New Roman"/>
                      <w:color w:val="auto"/>
                      <w:sz w:val="21"/>
                      <w:szCs w:val="21"/>
                      <w:lang w:val="en-US" w:eastAsia="zh-CN"/>
                    </w:rPr>
                    <w:t>防尘网</w:t>
                  </w:r>
                  <w:r>
                    <w:rPr>
                      <w:rFonts w:hint="default" w:ascii="Times New Roman" w:hAnsi="Times New Roman" w:eastAsia="仿宋" w:cs="Times New Roman"/>
                      <w:color w:val="auto"/>
                      <w:sz w:val="21"/>
                      <w:szCs w:val="21"/>
                      <w:lang w:val="en-US" w:eastAsia="zh-CN"/>
                    </w:rPr>
                    <w:t>遮盖，并洒水</w:t>
                  </w:r>
                  <w:r>
                    <w:rPr>
                      <w:rFonts w:hint="default" w:ascii="Times New Roman" w:hAnsi="Times New Roman" w:eastAsia="仿宋" w:cs="Times New Roman"/>
                      <w:color w:val="auto"/>
                      <w:sz w:val="21"/>
                      <w:szCs w:val="21"/>
                      <w:highlight w:val="none"/>
                      <w:lang w:val="en-US" w:eastAsia="zh-CN"/>
                    </w:rPr>
                    <w:t>保湿，避免粉尘产生。食堂废水经隔油处理后与其他生活污水暂存于化粪池，定期委托个人由吸污泵车拉运至鄯善县污水处理厂处置，生活垃圾由垃圾箱统一收集后由环卫部门妥善处置。本项目对筛分工序进行局部密闭，无法密闭部位安装水喷淋降尘。</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资源开发方式</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应与环境保护、资源保护和城乡建设相协调，最大限度减少对自然环境的扰动和破坏，选择资源节约型、环境友好型开发方式。采用先进的工艺技术与装备，做到绿色开采、绿色生产、绿色存贮、绿色运输。应贯彻“边开采、边恢复”的原则，及时治理恢复矿山地质环境，复垦矿山占用土地和损毁土地。治理率和复垦率应达到矿山地质环境保护与土地复垦方案的要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干法生产应配备高效除尘设备，并保持与生产设备同步运行。湿法生产应配置泥粉和水分离废水处理和循环使用系统。生产加工车间的产尘点要封闭，有利于形成负压除尘，皮带运输系统廊道应选用封闭方式，防止粉尘逸散。应选用低噪声生产设备，对高噪强振的设备，应采取消声、减振措施，合理设计工艺布置，控制噪声传播。砂石骨料成品堆场（库）应地面硬化，分类或分仓储存</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eastAsia" w:eastAsia="仿宋" w:cs="Times New Roman"/>
                      <w:color w:val="auto"/>
                      <w:kern w:val="0"/>
                      <w:sz w:val="21"/>
                      <w:szCs w:val="21"/>
                      <w:lang w:eastAsia="zh-CN"/>
                    </w:rPr>
                    <w:t>新疆鄯善县连木沁镇阿克墩村北建筑用砂矿</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eastAsia" w:eastAsia="仿宋" w:cs="Times New Roman"/>
                      <w:color w:val="auto"/>
                      <w:kern w:val="0"/>
                      <w:sz w:val="21"/>
                      <w:szCs w:val="21"/>
                      <w:lang w:val="zh-TW" w:eastAsia="zh-CN"/>
                    </w:rPr>
                    <w:t>排土场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。本项目开采方式采用挖掘机自上而下水平分层开采，本项目运输道路</w:t>
                  </w:r>
                  <w:r>
                    <w:rPr>
                      <w:rFonts w:hint="default" w:ascii="Times New Roman" w:hAnsi="Times New Roman" w:eastAsia="仿宋" w:cs="Times New Roman"/>
                      <w:color w:val="auto"/>
                      <w:sz w:val="21"/>
                      <w:szCs w:val="21"/>
                      <w:lang w:val="zh-TW"/>
                    </w:rPr>
                    <w:t>采用碎石硬化，道路定时洒水，出入车辆清洗轮胎，运输过程中遮盖，限速，以减少扬尘量。</w:t>
                  </w:r>
                  <w:r>
                    <w:rPr>
                      <w:rFonts w:hint="default" w:ascii="Times New Roman" w:hAnsi="Times New Roman" w:eastAsia="仿宋" w:cs="Times New Roman"/>
                      <w:color w:val="auto"/>
                      <w:sz w:val="21"/>
                      <w:szCs w:val="21"/>
                      <w:lang w:val="zh-TW" w:eastAsia="zh-CN"/>
                    </w:rPr>
                    <w:t>本项目</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color w:val="auto"/>
                      <w:sz w:val="21"/>
                      <w:szCs w:val="21"/>
                      <w:lang w:val="en-US" w:eastAsia="zh-CN"/>
                    </w:rPr>
                    <w:t>。</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资源综合利用</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按照减量化、资源化。再利用的原则，对砂石生产工艺合理优化设计，提高成品率。充分利用石粉、泥粉等加工.副产品，提高资源综合利用水平。生产工艺技术和设备应符合国土资源部《矿产资源节约与综合利用鼓励、限制和淘汰技术目录》要求.剥离表土后，砂石矿山资源综合利用率不低于95%。</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本项目运营期采取的生产工艺技术和设备符合国土资源部《矿产资源节约与综合利用鼓励、限制和淘汰技术目录》要求；本项目运营期固废主要为生产废砂石，</w:t>
                  </w:r>
                  <w:r>
                    <w:rPr>
                      <w:rFonts w:hint="eastAsia" w:ascii="Times New Roman" w:hAnsi="Times New Roman" w:eastAsia="仿宋" w:cs="Times New Roman"/>
                      <w:color w:val="auto"/>
                      <w:kern w:val="0"/>
                      <w:sz w:val="21"/>
                      <w:szCs w:val="21"/>
                      <w:vertAlign w:val="baseline"/>
                      <w:lang w:val="en-US" w:eastAsia="zh-CN"/>
                    </w:rPr>
                    <w:t>后期</w:t>
                  </w:r>
                  <w:r>
                    <w:rPr>
                      <w:rFonts w:hint="default" w:ascii="Times New Roman" w:hAnsi="Times New Roman" w:eastAsia="仿宋" w:cs="Times New Roman"/>
                      <w:color w:val="auto"/>
                      <w:kern w:val="0"/>
                      <w:sz w:val="21"/>
                      <w:szCs w:val="21"/>
                      <w:vertAlign w:val="baseline"/>
                      <w:lang w:val="en-US" w:eastAsia="zh-CN"/>
                    </w:rPr>
                    <w:t>用于闭矿后采坑回填及周边生态修复，满足资源综合利用的要求。</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节能减排</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建立能耗核算体系，采取节能减排措施，降低砂石生产能耗和设备损耗，使三废和噪音排放达到环保标准。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w:t>
                  </w:r>
                  <w:r>
                    <w:rPr>
                      <w:rFonts w:hint="default" w:ascii="Times New Roman" w:hAnsi="Times New Roman" w:eastAsia="仿宋" w:cs="Times New Roman"/>
                      <w:color w:val="auto"/>
                      <w:kern w:val="0"/>
                      <w:sz w:val="21"/>
                      <w:szCs w:val="21"/>
                      <w:highlight w:val="none"/>
                      <w:vertAlign w:val="baseline"/>
                      <w:lang w:val="en-US" w:eastAsia="zh-CN"/>
                    </w:rPr>
                    <w:t>目不消耗天然气、煤炭等，所用能源主要包括水、电，用水量约</w:t>
                  </w:r>
                  <w:r>
                    <w:rPr>
                      <w:rFonts w:hint="eastAsia" w:eastAsia="仿宋" w:cs="Times New Roman"/>
                      <w:color w:val="auto"/>
                      <w:kern w:val="0"/>
                      <w:sz w:val="21"/>
                      <w:szCs w:val="21"/>
                      <w:highlight w:val="none"/>
                      <w:vertAlign w:val="baseline"/>
                      <w:lang w:val="en-US" w:eastAsia="zh-CN"/>
                    </w:rPr>
                    <w:t>47630.7</w:t>
                  </w:r>
                  <w:r>
                    <w:rPr>
                      <w:rFonts w:hint="default" w:ascii="Times New Roman" w:hAnsi="Times New Roman" w:eastAsia="仿宋" w:cs="Times New Roman"/>
                      <w:color w:val="auto"/>
                      <w:kern w:val="0"/>
                      <w:sz w:val="21"/>
                      <w:szCs w:val="21"/>
                      <w:highlight w:val="none"/>
                      <w:vertAlign w:val="baseline"/>
                      <w:lang w:val="en-US" w:eastAsia="zh-CN"/>
                    </w:rPr>
                    <w:t>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vertAlign w:val="baseline"/>
                      <w:lang w:val="en-US" w:eastAsia="zh-CN"/>
                    </w:rPr>
                    <w:t>/a，用电量约</w:t>
                  </w:r>
                  <w:r>
                    <w:rPr>
                      <w:rFonts w:hint="eastAsia" w:eastAsia="仿宋" w:cs="Times New Roman"/>
                      <w:color w:val="auto"/>
                      <w:kern w:val="0"/>
                      <w:sz w:val="21"/>
                      <w:szCs w:val="21"/>
                      <w:highlight w:val="none"/>
                      <w:vertAlign w:val="baseline"/>
                      <w:lang w:val="en-US" w:eastAsia="zh-CN"/>
                    </w:rPr>
                    <w:t>99.58万</w:t>
                  </w:r>
                  <w:r>
                    <w:rPr>
                      <w:rFonts w:hint="default" w:ascii="Times New Roman" w:hAnsi="Times New Roman" w:eastAsia="仿宋" w:cs="Times New Roman"/>
                      <w:color w:val="auto"/>
                      <w:kern w:val="0"/>
                      <w:sz w:val="21"/>
                      <w:szCs w:val="21"/>
                      <w:highlight w:val="none"/>
                      <w:vertAlign w:val="baseline"/>
                      <w:lang w:val="en-US" w:eastAsia="zh-CN"/>
                    </w:rPr>
                    <w:t>kW·h，能耗较</w:t>
                  </w:r>
                  <w:r>
                    <w:rPr>
                      <w:rFonts w:hint="default" w:ascii="Times New Roman" w:hAnsi="Times New Roman" w:eastAsia="仿宋" w:cs="Times New Roman"/>
                      <w:color w:val="auto"/>
                      <w:kern w:val="0"/>
                      <w:sz w:val="21"/>
                      <w:szCs w:val="21"/>
                      <w:vertAlign w:val="baseline"/>
                      <w:lang w:val="en-US" w:eastAsia="zh-CN"/>
                    </w:rPr>
                    <w:t>低；运营期三废及噪声分析，均可达标排放。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5</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科技创新与数字化矿山</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建立科技研发队伍，推广转化科技成果，加大技术改造力度，推动产业绿色升级。建设数字化矿山，实现矿山企业生产、经营和管理信息化。</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建设单位拟在运营期建设数字化矿山，实现矿山企业生产、经营和管理信息化。</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6</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企业管理与企业形象</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应建立产权、责任、管理和文化等方面的企业管理制度。应建立质量管理体系、环境管理体系和职业健康安全管理体系，确保对质量、环境、职业健康与安全的管理。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建设单位拟在运营期按要求建立完整的企业管理制度。</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val="0"/>
                <w:color w:val="auto"/>
                <w:sz w:val="24"/>
                <w:szCs w:val="24"/>
                <w:lang w:val="en-US" w:eastAsia="zh-CN"/>
              </w:rPr>
            </w:pPr>
            <w:r>
              <w:rPr>
                <w:rFonts w:hint="default" w:ascii="Times New Roman" w:hAnsi="Times New Roman" w:eastAsia="仿宋" w:cs="Times New Roman"/>
                <w:b/>
                <w:bCs w:val="0"/>
                <w:color w:val="auto"/>
                <w:sz w:val="24"/>
                <w:szCs w:val="24"/>
                <w:lang w:val="en-US" w:eastAsia="zh-CN"/>
              </w:rPr>
              <w:t>4、与《新疆维吾尔自治区大气污染防治条例》符合性分析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本项目运营期大气主要污染为粉尘，对照《新疆维吾尔自治区大气污染防治条例》中“第三章防治措施”中的“第四节扬尘污染防治”符合性分析见表1-</w:t>
            </w:r>
            <w:r>
              <w:rPr>
                <w:rFonts w:hint="eastAsia" w:eastAsia="仿宋" w:cs="Times New Roman"/>
                <w:color w:val="auto"/>
                <w:kern w:val="0"/>
                <w:sz w:val="24"/>
                <w:szCs w:val="24"/>
                <w:lang w:val="en-US" w:eastAsia="zh-CN"/>
              </w:rPr>
              <w:t>7</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w:t>
            </w:r>
            <w:r>
              <w:rPr>
                <w:rFonts w:hint="eastAsia" w:eastAsia="仿宋" w:cs="Times New Roman"/>
                <w:b/>
                <w:color w:val="auto"/>
                <w:sz w:val="21"/>
                <w:szCs w:val="21"/>
                <w:lang w:val="en-US" w:eastAsia="zh-CN"/>
              </w:rPr>
              <w:t>7</w:t>
            </w:r>
            <w:r>
              <w:rPr>
                <w:rFonts w:hint="default" w:ascii="Times New Roman" w:hAnsi="Times New Roman" w:eastAsia="仿宋" w:cs="Times New Roman"/>
                <w:b/>
                <w:color w:val="auto"/>
                <w:sz w:val="21"/>
                <w:szCs w:val="21"/>
                <w:lang w:val="en-US" w:eastAsia="zh-CN"/>
              </w:rPr>
              <w:t>《新疆维吾尔自治区大气污染防治条例》符合性分析表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313"/>
              <w:gridCol w:w="208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环评要求对开采、运输等过程扬尘进行雾炮机喷洒降尘、运输车辆篷布遮盖等大气污染治理。</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第三十九条运输、处置建筑垃圾，应当经工程所在地的县（市、区）人民政府确定的监督管理部门同意，按照规定的运输时间、路线和要求清运到指定的场所处理；在场地内堆存的，应当有效覆盖。</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施工单位承诺运输、处置建筑垃圾按当地管理要求；场地堆存物料加盖篷布。</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eastAsia" w:eastAsia="仿宋" w:cs="Times New Roman"/>
                      <w:color w:val="auto"/>
                      <w:kern w:val="0"/>
                      <w:sz w:val="21"/>
                      <w:szCs w:val="21"/>
                      <w:vertAlign w:val="baseline"/>
                      <w:lang w:val="en-US" w:eastAsia="zh-CN"/>
                    </w:rPr>
                    <w:t>排土场</w:t>
                  </w:r>
                  <w:r>
                    <w:rPr>
                      <w:rFonts w:hint="default" w:ascii="Times New Roman" w:hAnsi="Times New Roman" w:eastAsia="仿宋" w:cs="Times New Roman"/>
                      <w:color w:val="auto"/>
                      <w:kern w:val="0"/>
                      <w:sz w:val="21"/>
                      <w:szCs w:val="21"/>
                      <w:vertAlign w:val="baseline"/>
                      <w:lang w:val="en-US" w:eastAsia="zh-CN"/>
                    </w:rPr>
                    <w:t>：洒水保湿，</w:t>
                  </w:r>
                  <w:r>
                    <w:rPr>
                      <w:rFonts w:hint="eastAsia" w:eastAsia="仿宋" w:cs="Times New Roman"/>
                      <w:color w:val="auto"/>
                      <w:kern w:val="0"/>
                      <w:sz w:val="21"/>
                      <w:szCs w:val="21"/>
                      <w:vertAlign w:val="baseline"/>
                      <w:lang w:val="en-US" w:eastAsia="zh-CN"/>
                    </w:rPr>
                    <w:t>防尘网苫盖</w:t>
                  </w:r>
                  <w:r>
                    <w:rPr>
                      <w:rFonts w:hint="default" w:ascii="Times New Roman" w:hAnsi="Times New Roman" w:eastAsia="仿宋" w:cs="Times New Roman"/>
                      <w:color w:val="auto"/>
                      <w:kern w:val="0"/>
                      <w:sz w:val="21"/>
                      <w:szCs w:val="21"/>
                      <w:vertAlign w:val="baseline"/>
                      <w:lang w:val="en-US" w:eastAsia="zh-CN"/>
                    </w:rPr>
                    <w:t>；装卸粉尘：雾炮机喷洒降尘，加强管理，规范作业等</w:t>
                  </w:r>
                  <w:r>
                    <w:rPr>
                      <w:rFonts w:hint="default" w:ascii="Times New Roman" w:hAnsi="Times New Roman" w:eastAsia="仿宋" w:cs="Times New Roman"/>
                      <w:color w:val="auto"/>
                      <w:kern w:val="0"/>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lang w:val="zh-TW" w:eastAsia="zh-CN"/>
                    </w:rPr>
                    <w:t>本项目对筛分工序采取局部密闭，无法密闭部位安装水喷淋降尘</w:t>
                  </w:r>
                  <w:r>
                    <w:rPr>
                      <w:rFonts w:hint="default" w:ascii="Times New Roman" w:hAnsi="Times New Roman" w:eastAsia="仿宋" w:cs="Times New Roman"/>
                      <w:color w:val="auto"/>
                      <w:sz w:val="21"/>
                      <w:szCs w:val="21"/>
                      <w:highlight w:val="none"/>
                      <w:lang w:val="en-US"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四条矿山开采产生的废石、废渣、泥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eastAsia" w:eastAsia="仿宋" w:cs="Times New Roman"/>
                      <w:color w:val="auto"/>
                      <w:kern w:val="0"/>
                      <w:sz w:val="21"/>
                      <w:szCs w:val="21"/>
                      <w:vertAlign w:val="baseline"/>
                      <w:lang w:val="en-US" w:eastAsia="zh-CN"/>
                    </w:rPr>
                    <w:t>排土场</w:t>
                  </w:r>
                  <w:r>
                    <w:rPr>
                      <w:rFonts w:hint="default" w:ascii="Times New Roman" w:hAnsi="Times New Roman" w:eastAsia="仿宋" w:cs="Times New Roman"/>
                      <w:color w:val="auto"/>
                      <w:kern w:val="0"/>
                      <w:sz w:val="21"/>
                      <w:szCs w:val="21"/>
                      <w:vertAlign w:val="baseline"/>
                      <w:lang w:val="en-US" w:eastAsia="zh-CN"/>
                    </w:rPr>
                    <w:t>：洒水保湿，</w:t>
                  </w:r>
                  <w:r>
                    <w:rPr>
                      <w:rFonts w:hint="eastAsia" w:eastAsia="仿宋" w:cs="Times New Roman"/>
                      <w:color w:val="auto"/>
                      <w:kern w:val="0"/>
                      <w:sz w:val="21"/>
                      <w:szCs w:val="21"/>
                      <w:vertAlign w:val="baseline"/>
                      <w:lang w:val="en-US" w:eastAsia="zh-CN"/>
                    </w:rPr>
                    <w:t>防尘网苫盖</w:t>
                  </w:r>
                  <w:r>
                    <w:rPr>
                      <w:rFonts w:hint="default" w:ascii="Times New Roman" w:hAnsi="Times New Roman" w:eastAsia="仿宋" w:cs="Times New Roman"/>
                      <w:color w:val="auto"/>
                      <w:kern w:val="0"/>
                      <w:sz w:val="21"/>
                      <w:szCs w:val="21"/>
                      <w:vertAlign w:val="baseline"/>
                      <w:lang w:val="en-US" w:eastAsia="zh-CN"/>
                    </w:rPr>
                    <w:t>；筛选废砂石闭矿期用于采坑回填整治及土地复垦，并按要求编制了</w:t>
                  </w:r>
                  <w:r>
                    <w:rPr>
                      <w:rFonts w:hint="default" w:ascii="Times New Roman" w:hAnsi="Times New Roman" w:eastAsia="仿宋" w:cs="Times New Roman"/>
                      <w:color w:val="auto"/>
                      <w:kern w:val="0"/>
                      <w:sz w:val="21"/>
                      <w:szCs w:val="21"/>
                    </w:rPr>
                    <w:t>《</w:t>
                  </w:r>
                  <w:r>
                    <w:rPr>
                      <w:rFonts w:hint="eastAsia" w:eastAsia="仿宋" w:cs="Times New Roman"/>
                      <w:color w:val="auto"/>
                      <w:kern w:val="0"/>
                      <w:sz w:val="21"/>
                      <w:szCs w:val="21"/>
                      <w:lang w:eastAsia="zh-CN"/>
                    </w:rPr>
                    <w:t>新疆鄯善县连木沁镇阿克墩村北建筑用砂矿</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autoSpaceDE w:val="0"/>
              <w:autoSpaceDN w:val="0"/>
              <w:adjustRightInd w:val="0"/>
              <w:snapToGrid w:val="0"/>
              <w:ind w:firstLine="420"/>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5、与《工业料堆场扬尘整治规范》(DB65/T4061-2017）符合性分析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本项目属于一般控制区，常年平均风速≤2m/s，粒度＞0.5mm，对照《工业料堆场扬尘整治规范》(DB65/T4061-2017）中表1，本项目的堆场类型划分为Ⅱ类。针对Ⅱ类堆场扬尘防治方案，本项目堆场方案为防风抑尘网及喷洒水，符合其Ⅱ类堆场扬尘防治要求。因此，本项目堆场扬尘整治措施与《工业料堆场扬尘整治规范》（DB65/T4061-2017）相符。</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6、与《关于加快推进露天矿山综合整治工作实施意见的函》符合性分析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w:t>
            </w:r>
            <w:r>
              <w:rPr>
                <w:rFonts w:hint="eastAsia" w:eastAsia="仿宋" w:cs="Times New Roman"/>
                <w:color w:val="auto"/>
                <w:kern w:val="0"/>
                <w:sz w:val="24"/>
                <w:szCs w:val="24"/>
                <w:lang w:val="en-US" w:eastAsia="zh-CN"/>
              </w:rPr>
              <w:t>8</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w:t>
            </w:r>
            <w:r>
              <w:rPr>
                <w:rFonts w:hint="eastAsia" w:eastAsia="仿宋" w:cs="Times New Roman"/>
                <w:b/>
                <w:color w:val="auto"/>
                <w:sz w:val="21"/>
                <w:szCs w:val="21"/>
                <w:lang w:val="en-US" w:eastAsia="zh-CN"/>
              </w:rPr>
              <w:t>8</w:t>
            </w:r>
            <w:r>
              <w:rPr>
                <w:rFonts w:hint="default" w:ascii="Times New Roman" w:hAnsi="Times New Roman" w:eastAsia="仿宋" w:cs="Times New Roman"/>
                <w:b/>
                <w:color w:val="auto"/>
                <w:sz w:val="21"/>
                <w:szCs w:val="21"/>
                <w:lang w:val="en-US" w:eastAsia="zh-CN"/>
              </w:rPr>
              <w:t>《关于加快推进露天矿山综合整治工作实施意见的函》符合性分析表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71"/>
              <w:gridCol w:w="3479"/>
              <w:gridCol w:w="158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序号</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类别</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1</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全面摸底排查露天矿山情况</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本项目未开始运行，已提前按要求编制了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2</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依法开展露天矿山综合整治</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本项目未开始运行，运行时严格按照相关制度进行建设、运行及修复等。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3</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加强露天矿山生态修复</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按照“谁开采、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本项目已编制完成</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正在编制项目环境影响报告表。后期建设单位严格按批复内容进行建设。</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4</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严格控制新建露天矿山建设项目</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本项目不属于重点区域，项目建设、运行及修复等严格按照要求执行</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lang w:val="en-US"/>
              </w:rPr>
            </w:pPr>
            <w:r>
              <w:rPr>
                <w:rFonts w:hint="default" w:ascii="Times New Roman" w:hAnsi="Times New Roman" w:eastAsia="仿宋" w:cs="Times New Roman"/>
                <w:b/>
                <w:bCs/>
                <w:color w:val="auto"/>
                <w:sz w:val="24"/>
                <w:szCs w:val="24"/>
                <w:lang w:val="en-US" w:eastAsia="zh-CN"/>
              </w:rPr>
              <w:t>7、与《矿山生态环境保护与恢复治理技术规范（试行）》(HJ651-2013）符合性分析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w:t>
            </w:r>
            <w:r>
              <w:rPr>
                <w:rFonts w:hint="eastAsia" w:eastAsia="仿宋" w:cs="Times New Roman"/>
                <w:color w:val="auto"/>
                <w:kern w:val="0"/>
                <w:sz w:val="24"/>
                <w:szCs w:val="24"/>
                <w:lang w:val="en-US" w:eastAsia="zh-CN"/>
              </w:rPr>
              <w:t>9</w:t>
            </w:r>
            <w:r>
              <w:rPr>
                <w:rFonts w:hint="default" w:ascii="Times New Roman" w:hAnsi="Times New Roman" w:eastAsia="仿宋" w:cs="Times New Roman"/>
                <w:color w:val="auto"/>
                <w:kern w:val="0"/>
                <w:sz w:val="24"/>
                <w:szCs w:val="24"/>
                <w:lang w:val="en-US" w:eastAsia="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9</w:t>
            </w:r>
            <w:r>
              <w:rPr>
                <w:rFonts w:hint="default" w:ascii="Times New Roman" w:hAnsi="Times New Roman" w:eastAsia="仿宋" w:cs="Times New Roman"/>
                <w:b/>
                <w:color w:val="auto"/>
                <w:sz w:val="21"/>
                <w:szCs w:val="21"/>
                <w:lang w:val="zh-TW" w:eastAsia="zh-CN"/>
              </w:rPr>
              <w:t>《矿山生态环境保护与恢复治理技术规范（试行）》(HJ651-2013）</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3665"/>
              <w:gridCol w:w="210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序号</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类别</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要求</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循环经济</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发展绿色开采技术，实现矿区生态环境无损或受损最小；2）发展干法或节水的工艺技术，减少水的使用量;3）发展无废或少废的工艺技术，最大限度地减少废弃物的产生;4）矿山废物按照先提取有价金属、组分或利用能源，再选择用于建材或其它用途，最后进行无害化处理处置的技术原则。</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项目采用绿色开采技术，采用干法工艺及雾炮喷淋降尘</w:t>
                  </w:r>
                  <w:r>
                    <w:rPr>
                      <w:rFonts w:hint="default" w:ascii="Times New Roman" w:hAnsi="Times New Roman" w:eastAsia="仿宋" w:cs="Times New Roman"/>
                      <w:b w:val="0"/>
                      <w:bCs/>
                      <w:color w:val="auto"/>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lang w:val="zh-TW" w:eastAsia="zh-CN"/>
                    </w:rPr>
                    <w:t>本项目</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b w:val="0"/>
                      <w:bCs/>
                      <w:color w:val="auto"/>
                      <w:sz w:val="21"/>
                      <w:szCs w:val="21"/>
                      <w:vertAlign w:val="baseline"/>
                      <w:lang w:val="en-US" w:eastAsia="zh-CN"/>
                    </w:rPr>
                    <w:t>运营期生产固废主要为废砂石</w:t>
                  </w:r>
                  <w:r>
                    <w:rPr>
                      <w:rFonts w:hint="eastAsia" w:eastAsia="仿宋" w:cs="Times New Roman"/>
                      <w:b w:val="0"/>
                      <w:bCs/>
                      <w:color w:val="auto"/>
                      <w:sz w:val="21"/>
                      <w:szCs w:val="21"/>
                      <w:vertAlign w:val="baseline"/>
                      <w:lang w:val="en-US" w:eastAsia="zh-CN"/>
                    </w:rPr>
                    <w:t>，</w:t>
                  </w:r>
                  <w:r>
                    <w:rPr>
                      <w:rFonts w:hint="default" w:ascii="Times New Roman" w:hAnsi="Times New Roman" w:eastAsia="仿宋" w:cs="Times New Roman"/>
                      <w:b w:val="0"/>
                      <w:bCs/>
                      <w:color w:val="auto"/>
                      <w:sz w:val="21"/>
                      <w:szCs w:val="21"/>
                      <w:vertAlign w:val="baseline"/>
                      <w:lang w:val="en-US" w:eastAsia="zh-CN"/>
                    </w:rPr>
                    <w:t>堆放于</w:t>
                  </w:r>
                  <w:r>
                    <w:rPr>
                      <w:rFonts w:hint="eastAsia" w:eastAsia="仿宋" w:cs="Times New Roman"/>
                      <w:b w:val="0"/>
                      <w:bCs/>
                      <w:color w:val="auto"/>
                      <w:sz w:val="21"/>
                      <w:szCs w:val="21"/>
                      <w:vertAlign w:val="baseline"/>
                      <w:lang w:val="en-US" w:eastAsia="zh-CN"/>
                    </w:rPr>
                    <w:t>排土场</w:t>
                  </w:r>
                  <w:r>
                    <w:rPr>
                      <w:rFonts w:hint="default" w:ascii="Times New Roman" w:hAnsi="Times New Roman" w:eastAsia="仿宋" w:cs="Times New Roman"/>
                      <w:b w:val="0"/>
                      <w:bCs/>
                      <w:color w:val="auto"/>
                      <w:sz w:val="21"/>
                      <w:szCs w:val="21"/>
                      <w:vertAlign w:val="baseline"/>
                      <w:lang w:val="en-US" w:eastAsia="zh-CN"/>
                    </w:rPr>
                    <w:t>，闭矿期用于采坑回填整治及土地复垦。</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2</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禁止的矿产资源开发活动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禁止在依法划定的自然保护区（核心区、缓冲区）、风景名胜区、森林公园、饮用水水源保护区、重要湖泊周边、文物古迹所在地、地质遗迹保护区、基本农田保护区等区域内采矿。2）禁止在铁路、国道、省道两侧的直观可视范围内进行露天开采。3）禁止在地质灾害危险区开采矿产资源。4）禁止土法采、选冶金矿和土法冶炼汞、砷、铅、锌、焦、硫、钒等矿产资源开发活动。5）禁止新建对生态环境产生不可恢复利用的、产生破坏性影响的矿产资源开发项目。6）禁止新建煤层含硫量大于3%的煤矿</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项目所在区域不在自然保护区内；</w:t>
                  </w:r>
                  <w:r>
                    <w:rPr>
                      <w:rFonts w:hint="default" w:ascii="Times New Roman" w:hAnsi="Times New Roman" w:eastAsia="仿宋" w:cs="Times New Roman"/>
                      <w:b w:val="0"/>
                      <w:bCs/>
                      <w:color w:val="auto"/>
                      <w:sz w:val="21"/>
                      <w:szCs w:val="21"/>
                      <w:highlight w:val="none"/>
                      <w:vertAlign w:val="baseline"/>
                      <w:lang w:val="en-US" w:eastAsia="zh-CN"/>
                    </w:rPr>
                    <w:t>项目离最近的道路约</w:t>
                  </w:r>
                  <w:r>
                    <w:rPr>
                      <w:rFonts w:hint="eastAsia" w:eastAsia="仿宋" w:cs="Times New Roman"/>
                      <w:b w:val="0"/>
                      <w:bCs/>
                      <w:color w:val="auto"/>
                      <w:sz w:val="21"/>
                      <w:szCs w:val="21"/>
                      <w:highlight w:val="none"/>
                      <w:vertAlign w:val="baseline"/>
                      <w:lang w:val="en-US" w:eastAsia="zh-CN"/>
                    </w:rPr>
                    <w:t>451</w:t>
                  </w:r>
                  <w:r>
                    <w:rPr>
                      <w:rFonts w:hint="default" w:ascii="Times New Roman" w:hAnsi="Times New Roman" w:eastAsia="仿宋" w:cs="Times New Roman"/>
                      <w:b w:val="0"/>
                      <w:bCs/>
                      <w:color w:val="auto"/>
                      <w:sz w:val="21"/>
                      <w:szCs w:val="21"/>
                      <w:highlight w:val="none"/>
                      <w:vertAlign w:val="baseline"/>
                      <w:lang w:val="en-US" w:eastAsia="zh-CN"/>
                    </w:rPr>
                    <w:t>m，不</w:t>
                  </w:r>
                  <w:r>
                    <w:rPr>
                      <w:rFonts w:hint="default" w:ascii="Times New Roman" w:hAnsi="Times New Roman" w:eastAsia="仿宋" w:cs="Times New Roman"/>
                      <w:b w:val="0"/>
                      <w:bCs/>
                      <w:color w:val="auto"/>
                      <w:sz w:val="21"/>
                      <w:szCs w:val="21"/>
                      <w:vertAlign w:val="baseline"/>
                      <w:lang w:val="en-US" w:eastAsia="zh-CN"/>
                    </w:rPr>
                    <w:t>在直观可视范围内；不在地质灾害危险区；未开采、选冶金矿和土法冶炼汞、砷、铅、锌、焦、硫、钒等矿产资源；不属于煤矿。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3</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限制的矿产资源开发活动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限制在生态功能保护区和自然保护区（过渡区）内开采矿产资源。生态功能保护区内的开采活动必须符合当地的环境功能区规划，并按规定进行控制性开采，开采活动不得影响本功能区内的主导生态功能。2）限制在地质灾害易发区、水土流失严重区域等生态脆弱区内开采矿产资源</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本项目不在生态功能保护区和自然保护区；经上文分析，本项目的建设符合当地的环境功能区规划；本项目不在地质灾害易发区、水土流失严重区域等生态脆弱区</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4</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矿产资源开发规划</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应符合国家产业政策要求，选址、布局应符合所在地的区域发展规划。2）矿产资源开发企业应制定矿产资源综合开发规划，并应进行环境影响评价，规划内容包括资源开发利用、生态环境保护、地质灾害防治、水土保持、废弃地复垦等。3）.在矿产资源的开发规划阶段，应对矿区内的生态环境进行充分调查，建立矿区的水文、地质、土壤和动植物等生态环境和人文环境基础状况数据库。同时，应对矿床开采可能产生的区域地质环境问题进行预测和评价。4）矿产资源开发规划阶段还应注重对矿山所在区域生态环境的保护</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本项目符合《产业结构调整指导目录（2024年本）》2023年第7号令；本项目按规范委托新疆瑞新源矿业技术有限公司编制了《矿产资源开发利用与生态保护修复方案》，闭矿后对开采区、矿山道路、</w:t>
                  </w:r>
                  <w:r>
                    <w:rPr>
                      <w:rFonts w:hint="eastAsia" w:eastAsia="仿宋" w:cs="Times New Roman"/>
                      <w:b w:val="0"/>
                      <w:bCs/>
                      <w:color w:val="auto"/>
                      <w:sz w:val="21"/>
                      <w:szCs w:val="21"/>
                      <w:vertAlign w:val="baseline"/>
                      <w:lang w:val="en-US" w:eastAsia="zh-CN"/>
                    </w:rPr>
                    <w:t>排土场</w:t>
                  </w:r>
                  <w:r>
                    <w:rPr>
                      <w:rFonts w:hint="default" w:ascii="Times New Roman" w:hAnsi="Times New Roman" w:eastAsia="仿宋" w:cs="Times New Roman"/>
                      <w:b w:val="0"/>
                      <w:bCs/>
                      <w:color w:val="auto"/>
                      <w:sz w:val="21"/>
                      <w:szCs w:val="21"/>
                      <w:vertAlign w:val="baseline"/>
                      <w:lang w:val="en-US" w:eastAsia="zh-CN"/>
                    </w:rPr>
                    <w:t>等进行土地整治及回填表土，恢复生态。</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5</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原环境保护部办公厅发布的2016年《矿山生态环境保护与污染防治技术政策》（征求意见稿）提出</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利用，选址、布局应符合当地主体功能区划、矿产资源开发利用规划、环境功能区划、生态功能区划等并应考虑景观协调性。应该按照开采规模与资源储量相适应的原则，结合区域生态环境承载力状况，确定合理的开发强度。2）在矿产资源开发规划阶段，应充分调查矿区生态背景，包括非生物因子（气候、土壤、地形、地貌及水文地质等）、生态系统（类型、面积、结构和功能）、生物多样性（物种组成、丰富度及多样性）等，建立矿区生态环境本底数据库。3）在生态脆弱区开展矿山生态修复，应因地制宜选择修复技术。对表土资源缺乏地区，鼓励采取无土生态修复技术；对于干旱地区，宜采取节水生态修复技术、抗旱植物恢复技术、砾石覆盖恢复技术等。4）在干旱缺水地区，宜推广干选或节水型选矿工艺</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根据报告全文分析，本项目选址、布局等符合当地主体功能区划、矿产资源开发利用规划、环境功能区划、生态功能区划等；已委托编制普查报告，调查相关数据；不在生态脆弱区；采用雾炮喷淋降尘。</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b/>
                <w:color w:val="auto"/>
                <w:sz w:val="24"/>
                <w:szCs w:val="24"/>
                <w:lang w:val="en-US" w:eastAsia="zh-CN"/>
              </w:rPr>
              <w:t>8</w:t>
            </w:r>
            <w:r>
              <w:rPr>
                <w:rFonts w:hint="default" w:ascii="Times New Roman" w:hAnsi="Times New Roman" w:eastAsia="仿宋" w:cs="Times New Roman"/>
                <w:b/>
                <w:color w:val="auto"/>
                <w:sz w:val="24"/>
                <w:szCs w:val="24"/>
                <w:lang w:val="zh-TW"/>
              </w:rPr>
              <w:t>、</w:t>
            </w:r>
            <w:r>
              <w:rPr>
                <w:rFonts w:hint="default" w:ascii="Times New Roman" w:hAnsi="Times New Roman" w:eastAsia="仿宋" w:cs="Times New Roman"/>
                <w:b/>
                <w:color w:val="auto"/>
                <w:sz w:val="24"/>
                <w:szCs w:val="24"/>
                <w:lang w:val="en-US" w:eastAsia="zh-CN"/>
              </w:rPr>
              <w:t>与</w:t>
            </w:r>
            <w:r>
              <w:rPr>
                <w:rFonts w:hint="default" w:ascii="Times New Roman" w:hAnsi="Times New Roman" w:eastAsia="仿宋" w:cs="Times New Roman"/>
                <w:b/>
                <w:color w:val="auto"/>
                <w:sz w:val="24"/>
                <w:szCs w:val="24"/>
                <w:lang w:val="zh-TW"/>
              </w:rPr>
              <w:t>《新疆维吾尔自治区重点行业环境准入条件（修订）》（2017年1月）符合性分析</w:t>
            </w:r>
          </w:p>
          <w:p>
            <w:pPr>
              <w:autoSpaceDE w:val="0"/>
              <w:autoSpaceDN w:val="0"/>
              <w:adjustRightInd w:val="0"/>
              <w:snapToGrid w:val="0"/>
              <w:ind w:firstLine="420"/>
              <w:rPr>
                <w:rFonts w:hint="default" w:ascii="Times New Roman" w:hAnsi="Times New Roman" w:eastAsia="仿宋" w:cs="Times New Roman"/>
                <w:b/>
                <w:color w:val="auto"/>
                <w:sz w:val="21"/>
                <w:szCs w:val="21"/>
                <w:lang w:val="zh-TW"/>
              </w:rPr>
            </w:pPr>
            <w:r>
              <w:rPr>
                <w:rFonts w:hint="default" w:ascii="Times New Roman" w:hAnsi="Times New Roman" w:eastAsia="仿宋" w:cs="Times New Roman"/>
                <w:color w:val="auto"/>
                <w:kern w:val="0"/>
                <w:sz w:val="24"/>
                <w:szCs w:val="24"/>
              </w:rPr>
              <w:t>本项目与《</w:t>
            </w:r>
            <w:r>
              <w:rPr>
                <w:rFonts w:hint="default" w:ascii="Times New Roman" w:hAnsi="Times New Roman" w:eastAsia="仿宋" w:cs="Times New Roman"/>
                <w:color w:val="auto"/>
                <w:sz w:val="24"/>
                <w:szCs w:val="24"/>
                <w:lang w:val="zh-TW"/>
              </w:rPr>
              <w:t>新疆维吾尔自治区重点行业环境准入条件（修订）》（2017年1月）符合性分析见表1</w:t>
            </w:r>
            <w:r>
              <w:rPr>
                <w:rFonts w:hint="eastAsia" w:eastAsia="仿宋" w:cs="Times New Roman"/>
                <w:color w:val="auto"/>
                <w:sz w:val="24"/>
                <w:szCs w:val="24"/>
                <w:lang w:val="en-US" w:eastAsia="zh-CN"/>
              </w:rPr>
              <w:t>-10</w:t>
            </w:r>
            <w:r>
              <w:rPr>
                <w:rFonts w:hint="default" w:ascii="Times New Roman" w:hAnsi="Times New Roman" w:eastAsia="仿宋" w:cs="Times New Roman"/>
                <w:color w:val="auto"/>
                <w:sz w:val="24"/>
                <w:szCs w:val="24"/>
                <w:lang w:val="zh-TW"/>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sz w:val="21"/>
                <w:szCs w:val="21"/>
                <w:lang w:val="zh-TW"/>
              </w:rPr>
              <w:t>表1-</w:t>
            </w:r>
            <w:r>
              <w:rPr>
                <w:rFonts w:hint="eastAsia" w:eastAsia="仿宋" w:cs="Times New Roman"/>
                <w:b/>
                <w:color w:val="auto"/>
                <w:sz w:val="21"/>
                <w:szCs w:val="21"/>
                <w:lang w:val="en-US" w:eastAsia="zh-CN"/>
              </w:rPr>
              <w:t>10</w:t>
            </w:r>
            <w:r>
              <w:rPr>
                <w:rFonts w:hint="default" w:ascii="Times New Roman" w:hAnsi="Times New Roman" w:eastAsia="仿宋" w:cs="Times New Roman"/>
                <w:b/>
                <w:color w:val="auto"/>
                <w:kern w:val="0"/>
                <w:sz w:val="21"/>
                <w:szCs w:val="21"/>
              </w:rPr>
              <w:t>《</w:t>
            </w:r>
            <w:r>
              <w:rPr>
                <w:rFonts w:hint="default" w:ascii="Times New Roman" w:hAnsi="Times New Roman" w:eastAsia="仿宋" w:cs="Times New Roman"/>
                <w:b/>
                <w:color w:val="auto"/>
                <w:sz w:val="21"/>
                <w:szCs w:val="21"/>
                <w:lang w:val="zh-TW"/>
              </w:rPr>
              <w:t>新疆维吾尔自治区重点行业环境准入条件（修订）》符合性分析</w:t>
            </w:r>
          </w:p>
          <w:tbl>
            <w:tblPr>
              <w:tblStyle w:val="26"/>
              <w:tblW w:w="7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344"/>
              <w:gridCol w:w="277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序号</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现状</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矿石堆场须采用洒水抑尘、设置围挡等措施防治无组织粉尘排放。其大气污染物排放须满足《大气污染物综合排放标准》（GB16297）要求，有行业排放标准的执行行业标准。</w:t>
                  </w:r>
                </w:p>
              </w:tc>
              <w:tc>
                <w:tcPr>
                  <w:tcW w:w="1838" w:type="pct"/>
                  <w:tcBorders>
                    <w:tl2br w:val="nil"/>
                    <w:tr2bl w:val="nil"/>
                  </w:tcBorders>
                  <w:shd w:val="clear" w:color="auto" w:fill="auto"/>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运输车辆采用篷布遮盖，限速并严禁超载，运矿道路洒水降尘；堆场采用</w:t>
                  </w:r>
                  <w:r>
                    <w:rPr>
                      <w:rFonts w:hint="eastAsia" w:eastAsia="仿宋" w:cs="Times New Roman"/>
                      <w:color w:val="auto"/>
                      <w:kern w:val="0"/>
                      <w:sz w:val="21"/>
                      <w:szCs w:val="21"/>
                      <w:lang w:val="en-US" w:eastAsia="zh-CN"/>
                    </w:rPr>
                    <w:t>防尘网苫盖</w:t>
                  </w:r>
                  <w:r>
                    <w:rPr>
                      <w:rFonts w:hint="default" w:ascii="Times New Roman" w:hAnsi="Times New Roman" w:eastAsia="仿宋" w:cs="Times New Roman"/>
                      <w:color w:val="auto"/>
                      <w:kern w:val="0"/>
                      <w:sz w:val="21"/>
                      <w:szCs w:val="21"/>
                    </w:rPr>
                    <w:t>并洒水保湿，堆场按照《工业料堆场扬尘整治规范</w:t>
                  </w:r>
                  <w:r>
                    <w:rPr>
                      <w:rFonts w:hint="eastAsia"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（DB65/T4064-2017）建设，厂界颗粒物排放满足《大气污染物综合排放标准》（GB16297-1996）要求</w:t>
                  </w:r>
                  <w:r>
                    <w:rPr>
                      <w:rFonts w:hint="eastAsia" w:eastAsia="仿宋" w:cs="Times New Roman"/>
                      <w:color w:val="auto"/>
                      <w:kern w:val="0"/>
                      <w:sz w:val="21"/>
                      <w:szCs w:val="21"/>
                      <w:lang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严禁未经处理采矿废水直接排放，禁止利用渗井、渗坑、裂隙和溶洞等排放废水。在干旱缺水地区，鼓励将外排矿坑水处理达标后用于农林灌溉，生活污水处理达标后尽量综合利用。</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本项目生产过程中无生产废水产生，</w:t>
                  </w:r>
                  <w:r>
                    <w:rPr>
                      <w:rFonts w:hint="default" w:ascii="Times New Roman" w:hAnsi="Times New Roman" w:eastAsia="仿宋" w:cs="Times New Roman"/>
                      <w:color w:val="auto"/>
                      <w:kern w:val="0"/>
                      <w:sz w:val="21"/>
                      <w:szCs w:val="21"/>
                      <w:highlight w:val="none"/>
                      <w:lang w:val="en-US" w:eastAsia="zh-CN"/>
                    </w:rPr>
                    <w:t>食堂废水经隔油处理后与其他生活污水暂存于化粪池，定期委托个人由吸污泵车拉运至鄯善县污水处理厂处置</w:t>
                  </w:r>
                  <w:r>
                    <w:rPr>
                      <w:rFonts w:hint="eastAsia" w:eastAsia="仿宋" w:cs="Times New Roman"/>
                      <w:color w:val="auto"/>
                      <w:kern w:val="0"/>
                      <w:sz w:val="21"/>
                      <w:szCs w:val="21"/>
                      <w:highlight w:val="none"/>
                      <w:lang w:val="en-US"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噪声排放执行《工业企业厂界环境噪声排放标准》（GB12348-2008）中2类标准要求。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本项目厂界噪声均可满足《工业企业厂界环境噪声排放标准》(GB12348)2类标准要求。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采矿活动产生的固体废物，推广利用采矿固体废物加工生产建筑材料及制品技术，固体废物综合利用率≥30%，无法利用的必须使用专用场所堆放，并采取有效措施防止二次环境污染及诱发次生地质灾害，固体废物处置100%。废石堆场按《一般工业固体废物贮存、处置场污染控制标准》(GB18599</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要求建设，矿区废石场集中设置、避免同一矿区设置多处废石场。废石按GB5086规定的方法进行浸出及腐蚀性鉴别试验，其结果确定为Ⅱ类一般工业固废的，其堆场采取防渗技术措施。生活垃圾实现100%无害化处置。</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本项目废砂石待闭矿期用于采坑回填；生活垃圾</w:t>
                  </w:r>
                  <w:r>
                    <w:rPr>
                      <w:rFonts w:hint="default" w:ascii="Times New Roman" w:hAnsi="Times New Roman" w:eastAsia="仿宋" w:cs="Times New Roman"/>
                      <w:color w:val="auto"/>
                      <w:kern w:val="0"/>
                      <w:sz w:val="21"/>
                      <w:szCs w:val="21"/>
                      <w:lang w:val="en-US" w:eastAsia="zh-CN"/>
                    </w:rPr>
                    <w:t>收集后</w:t>
                  </w:r>
                  <w:r>
                    <w:rPr>
                      <w:rFonts w:hint="default" w:ascii="Times New Roman" w:hAnsi="Times New Roman" w:eastAsia="仿宋" w:cs="Times New Roman"/>
                      <w:color w:val="auto"/>
                      <w:kern w:val="0"/>
                      <w:sz w:val="21"/>
                      <w:szCs w:val="21"/>
                    </w:rPr>
                    <w:t>统一交由环卫部门处置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废机油按要求在矿区收集、暂存后交由有资质的单位处理处置</w:t>
                  </w:r>
                  <w:r>
                    <w:rPr>
                      <w:rFonts w:hint="default" w:ascii="Times New Roman" w:hAnsi="Times New Roman" w:eastAsia="仿宋" w:cs="Times New Roman"/>
                      <w:color w:val="auto"/>
                      <w:szCs w:val="21"/>
                      <w:lang w:val="en-US"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新建、改（扩）建矿山应在矿山开采前完成《矿山生态环境保护与恢复治理方案》编制工作。对位于荒漠和风沙区矿产资源开发应避开易发生风蚀和生态退化地带；</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、料场等场地应采取围挡和覆盖等防风蚀措施。水蚀敏感区矿产资源开发应科学设置露天采场、</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及料场，并采取边坡防护、工程拦挡等水土保持措施。</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本项目已编制完成《</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rPr>
                    <w:t>》，</w:t>
                  </w:r>
                  <w:r>
                    <w:rPr>
                      <w:rFonts w:hint="eastAsia" w:ascii="Times New Roman" w:hAnsi="Times New Roman" w:eastAsia="仿宋" w:cs="Times New Roman"/>
                      <w:color w:val="auto"/>
                      <w:sz w:val="21"/>
                      <w:szCs w:val="21"/>
                      <w:vertAlign w:val="baseline"/>
                      <w:lang w:val="en-US" w:eastAsia="zh-CN"/>
                    </w:rPr>
                    <w:t>排土场</w:t>
                  </w:r>
                  <w:r>
                    <w:rPr>
                      <w:rFonts w:hint="default" w:ascii="Times New Roman" w:hAnsi="Times New Roman" w:eastAsia="仿宋" w:cs="Times New Roman"/>
                      <w:color w:val="auto"/>
                      <w:kern w:val="0"/>
                      <w:sz w:val="21"/>
                      <w:szCs w:val="21"/>
                    </w:rPr>
                    <w:t>采取围挡和遮盖的措施，防止水土流失。</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6</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选址与空间布局1.铁路、高速公路、国道、省道等重要交通干线两侧200米范围以内，重要工业区、大型水利工程设施、城镇市政工程设施所在区域，军事管理区、机场、国防工程设施圈定的区域,居民聚集区1千米以内禁止建设非金属矿采选项目。2.伊犁河、额尔齐斯河等重要河流源头区、水环境功能区划为Ⅰ、Ⅱ类和具有饮用功能的Ⅲ类水体岸边1000米以内，其它Ⅲ类水体岸边200米以内，禁止新建或改扩建非金属矿选矿工程，存在山体等阻隔地形或建设人工地下水阻隔设施的，可根据实际情况，在确保不会对水体产生污染影响的前提下适当放宽距离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highlight w:val="none"/>
                    </w:rPr>
                    <w:t>本项目位于</w:t>
                  </w:r>
                  <w:r>
                    <w:rPr>
                      <w:rFonts w:hint="default" w:ascii="Times New Roman" w:hAnsi="Times New Roman" w:eastAsia="仿宋" w:cs="Times New Roman"/>
                      <w:color w:val="auto"/>
                      <w:kern w:val="0"/>
                      <w:sz w:val="21"/>
                      <w:szCs w:val="21"/>
                      <w:highlight w:val="none"/>
                      <w:lang w:val="en-US" w:eastAsia="zh-CN"/>
                    </w:rPr>
                    <w:t>新疆维吾尔自治区吐鲁番地区</w:t>
                  </w:r>
                  <w:r>
                    <w:rPr>
                      <w:rFonts w:hint="eastAsia" w:eastAsia="仿宋" w:cs="Times New Roman"/>
                      <w:color w:val="auto"/>
                      <w:kern w:val="0"/>
                      <w:sz w:val="21"/>
                      <w:szCs w:val="21"/>
                      <w:highlight w:val="none"/>
                      <w:lang w:eastAsia="zh-CN"/>
                    </w:rPr>
                    <w:t>鄯善县北西296°方位，直线距离13.4千米</w:t>
                  </w: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lang w:val="en-US" w:eastAsia="zh-CN"/>
                    </w:rPr>
                    <w:t>距离高速公路在200米范围外、距离居民聚集区1千米以上；项目周围1000米以内无水体。</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项目建设基本符合《新疆维吾尔自治区重点行业环境准入条件（修订）》（2017年1月）相关要求。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9、</w:t>
            </w:r>
            <w:r>
              <w:rPr>
                <w:rFonts w:hint="default" w:ascii="Times New Roman" w:hAnsi="Times New Roman" w:eastAsia="仿宋" w:cs="Times New Roman"/>
                <w:b/>
                <w:bCs/>
                <w:color w:val="auto"/>
                <w:kern w:val="0"/>
                <w:sz w:val="24"/>
                <w:szCs w:val="24"/>
              </w:rPr>
              <w:t>与《吐鲁番市国民经济和社会发展第十四个五年规划和2035年远景目标纲要》的符合性分析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吐鲁番市国民经济和社会发展第十四个五年规划和2035年远景目标纲要》：深入贯彻落实矿业权出让制度改革，用活用足矿业权出让制度改革相关政策规定，提高矿产资源勘查开发力度，在东天山多金属等优势矿种和重点成矿带上实现找矿新突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开采，矿区位于</w:t>
            </w:r>
            <w:r>
              <w:rPr>
                <w:rFonts w:hint="default" w:ascii="Times New Roman" w:hAnsi="Times New Roman" w:eastAsia="仿宋" w:cs="Times New Roman"/>
                <w:color w:val="auto"/>
                <w:kern w:val="0"/>
                <w:sz w:val="24"/>
                <w:szCs w:val="24"/>
                <w:lang w:val="en-US" w:eastAsia="zh-CN"/>
              </w:rPr>
              <w:t>新疆维吾尔自治区吐鲁番地区鄯善县北西296°方位，直线距离13.4千米</w:t>
            </w:r>
            <w:r>
              <w:rPr>
                <w:rFonts w:hint="eastAsia"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本项目建设符合《吐鲁番市国民经济和社会发展第十四个五年规划和2035年远景目标纲要》中的相关要求</w:t>
            </w:r>
            <w:r>
              <w:rPr>
                <w:rFonts w:hint="eastAsia" w:ascii="Times New Roman" w:hAnsi="Times New Roman" w:eastAsia="仿宋" w:cs="Times New Roman"/>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10、</w:t>
            </w:r>
            <w:r>
              <w:rPr>
                <w:rFonts w:hint="default" w:ascii="Times New Roman" w:hAnsi="Times New Roman" w:eastAsia="仿宋" w:cs="Times New Roman"/>
                <w:b/>
                <w:bCs/>
                <w:color w:val="auto"/>
                <w:kern w:val="0"/>
                <w:sz w:val="24"/>
                <w:szCs w:val="24"/>
              </w:rPr>
              <w:t>与《新疆维吾尔自治区国民经济和社会发展第十四个五年规划和2035年远景目标纲要》的符合性分析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新疆维吾尔自治区国民经济和社会发展第十四个五年规划和2035年远景目标纲要》：坚持把发展经济着力点放在实体经济上，深化工业供给侧结构性改革，推动工业强基增效和转型升级，全面提升新型工业化发展水平。积极发展有色工业。推进铝、铜、镍、镁等有色金属下游产业链延伸，培育铜镍、铜铝、铜镁、硅铝、铍铜等合金产业，推动汽车、铁路、航天、航海等行业应用有色新材料，打造全国重要的有色金属产业基地。加快发展新材料产业。积极发展硅基、铝基、碳基、锆基、铜基、钛基、稀有金属、化工、生物基等新材料及复合新材料、前沿新材料，提升新材料产业集群和产业协同效应。按照“深化北疆东疆，加快南疆勘查”的总体思路，开展重点成矿区带地质调查和矿产勘查，做好矿产资源开发利用储备。贯彻新发展理念，建设绿色矿山，实现可持续发展。大力发展绿色矿业，提高矿产资源开采回采率、选矿回收率和综合利用率。</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开采项目，符合《新疆维吾尔自治区国民经济和社会发展第十四个五年规划和2035年远景目标纲要》要求。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lang w:val="en-US" w:eastAsia="zh-CN"/>
              </w:rPr>
            </w:pPr>
            <w:r>
              <w:rPr>
                <w:rFonts w:hint="eastAsia" w:ascii="Times New Roman" w:hAnsi="Times New Roman" w:eastAsia="仿宋" w:cs="Times New Roman"/>
                <w:b/>
                <w:bCs/>
                <w:color w:val="auto"/>
                <w:kern w:val="0"/>
                <w:sz w:val="24"/>
                <w:szCs w:val="24"/>
                <w:lang w:val="en-US" w:eastAsia="zh-CN"/>
              </w:rPr>
              <w:t>11、与《新疆维吾尔自治区鄯善县矿产资源总体规划（2021-2025年）》符合性</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b w:val="0"/>
                <w:bCs w:val="0"/>
                <w:color w:val="auto"/>
                <w:kern w:val="0"/>
                <w:sz w:val="24"/>
                <w:szCs w:val="24"/>
                <w:lang w:val="en-US" w:eastAsia="zh-CN"/>
              </w:rPr>
              <w:t xml:space="preserve">新疆维吾尔自治区鄯善县矿产资源总体规划（2021-2025年）提出“新建和生产矿山做到资源开发和环境保护并重，矿山地质环境得到同步治理，历史遗留废弃工矿用地的生态修复持续有序进行。建立健全矿山生态环境保护修复监管信息系统，完善矿山地质环境动态监测体系建设。矿山地质环境保护与治理恢复责任机制得到全面落实，矿山企业必须依法履行矿山地质环境保护与土地复垦义务，加强对矿山环境保护与治理规划执行情况的监督管理”、“严格执行绿色勘查规范，全面实施绿色勘查。牢固树立绿色发展理念，将绿色发展理念贯穿于勘查活动的全过程，将保护生态环境作为勘查活动中应尽的义务和责任”、“矿山建设须符合规模化、集约化的原则。编制有《矿山开采设计方案》并通过评审。矿山企业要严格按矿山设计所规定的矿山“三率”指标进行生产，积极依靠科技进步提高采、选、冶技术水平和装备水平，加强对共(伴)矿产的综合利用，提高资源.......”。  </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color w:val="auto"/>
                <w:kern w:val="0"/>
                <w:sz w:val="24"/>
                <w:szCs w:val="24"/>
              </w:rPr>
              <w:t>本项目为</w:t>
            </w:r>
            <w:r>
              <w:rPr>
                <w:rFonts w:hint="eastAsia"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开采项目，已编制完成《</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已加强矿山生态恢复和环境治理；对运营过程中的废气、废水等提出污染防治措施</w:t>
            </w:r>
            <w:r>
              <w:rPr>
                <w:rFonts w:hint="eastAsia" w:ascii="Times New Roman" w:hAnsi="Times New Roman" w:eastAsia="仿宋" w:cs="Times New Roman"/>
                <w:color w:val="auto"/>
                <w:kern w:val="0"/>
                <w:sz w:val="24"/>
                <w:szCs w:val="24"/>
                <w:lang w:val="en-US" w:eastAsia="zh-CN"/>
              </w:rPr>
              <w:t>，因此，本项目符合《新疆维吾尔自治区鄯善县矿产资源总体规划（2021-2025年）》。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12、</w:t>
            </w:r>
            <w:r>
              <w:rPr>
                <w:rFonts w:hint="default" w:ascii="Times New Roman" w:hAnsi="Times New Roman" w:eastAsia="仿宋" w:cs="Times New Roman"/>
                <w:b/>
                <w:bCs/>
                <w:color w:val="auto"/>
                <w:kern w:val="0"/>
                <w:sz w:val="24"/>
                <w:szCs w:val="24"/>
              </w:rPr>
              <w:t>与《新疆生态环境保护“十四五”规划》的符合性分析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val="0"/>
                <w:bCs w:val="0"/>
                <w:color w:val="auto"/>
                <w:kern w:val="0"/>
                <w:sz w:val="24"/>
                <w:szCs w:val="24"/>
              </w:rPr>
              <w:t>根据2022年1月14日新疆维吾尔自治区人民政府发布的《新疆生态环境保护“十四五”规划》中对矿山开采的相关要求，本项目与其相符性如下：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表</w:t>
            </w:r>
            <w:r>
              <w:rPr>
                <w:rFonts w:hint="eastAsia" w:ascii="Times New Roman" w:hAnsi="Times New Roman" w:eastAsia="仿宋" w:cs="Times New Roman"/>
                <w:b/>
                <w:bCs/>
                <w:color w:val="auto"/>
                <w:kern w:val="0"/>
                <w:sz w:val="21"/>
                <w:szCs w:val="21"/>
                <w:lang w:val="en-US" w:eastAsia="zh-CN"/>
              </w:rPr>
              <w:t xml:space="preserve">1-11  </w:t>
            </w:r>
            <w:r>
              <w:rPr>
                <w:rFonts w:hint="default" w:ascii="Times New Roman" w:hAnsi="Times New Roman" w:eastAsia="仿宋" w:cs="Times New Roman"/>
                <w:b/>
                <w:bCs/>
                <w:color w:val="auto"/>
                <w:kern w:val="0"/>
                <w:sz w:val="21"/>
                <w:szCs w:val="21"/>
              </w:rPr>
              <w:t>相关技术政策符合性</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00"/>
              <w:gridCol w:w="211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类别</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规划要求</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rPr>
                    <w:t>本项目</w:t>
                  </w:r>
                  <w:r>
                    <w:rPr>
                      <w:rFonts w:hint="eastAsia" w:ascii="Times New Roman" w:hAnsi="Times New Roman" w:eastAsia="仿宋" w:cs="Times New Roman"/>
                      <w:b w:val="0"/>
                      <w:bCs w:val="0"/>
                      <w:color w:val="auto"/>
                      <w:kern w:val="0"/>
                      <w:sz w:val="21"/>
                      <w:szCs w:val="21"/>
                      <w:lang w:val="en-US" w:eastAsia="zh-CN"/>
                    </w:rPr>
                    <w:t>情况</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绿</w:t>
                  </w:r>
                  <w:r>
                    <w:rPr>
                      <w:rFonts w:hint="default" w:ascii="Times New Roman" w:hAnsi="Times New Roman" w:eastAsia="仿宋" w:cs="Times New Roman"/>
                      <w:b w:val="0"/>
                      <w:bCs w:val="0"/>
                      <w:color w:val="auto"/>
                      <w:kern w:val="0"/>
                      <w:sz w:val="21"/>
                      <w:szCs w:val="21"/>
                    </w:rPr>
                    <w:t>色矿山建设</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全面推进绿色矿山建设，规范绿色矿山第三方评估，推广矿产资源节约与综合利用先进技术。</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本项目建设过程中，严格按照绿色矿山要求进行建设。</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大</w:t>
                  </w:r>
                  <w:r>
                    <w:rPr>
                      <w:rFonts w:hint="default" w:ascii="Times New Roman" w:hAnsi="Times New Roman" w:eastAsia="仿宋" w:cs="Times New Roman"/>
                      <w:b w:val="0"/>
                      <w:bCs w:val="0"/>
                      <w:color w:val="auto"/>
                      <w:kern w:val="0"/>
                      <w:sz w:val="21"/>
                      <w:szCs w:val="21"/>
                    </w:rPr>
                    <w:t>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充分运用新型、高效的防尘、降尘、除尘技术，加强矿山粉尘治理。</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粉尘采用洒水抑尘的措施。</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水</w:t>
                  </w: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推进地表水与地下水协同防治。统筹区域地表水、地下水生态环境监管。以傍河型地下水饮用水水源为重点，防范受污染河段侧渗和垂直补给对地下水污染。加强化学品生产企业、工业聚集区、矿山开采区等污染源的地表、地下协同防治与环境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重点区域均按要求进行防渗。</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土</w:t>
                  </w:r>
                  <w:r>
                    <w:rPr>
                      <w:rFonts w:hint="default" w:ascii="Times New Roman" w:hAnsi="Times New Roman" w:eastAsia="仿宋" w:cs="Times New Roman"/>
                      <w:b w:val="0"/>
                      <w:bCs w:val="0"/>
                      <w:color w:val="auto"/>
                      <w:kern w:val="0"/>
                      <w:sz w:val="21"/>
                      <w:szCs w:val="21"/>
                    </w:rPr>
                    <w:t>壤环境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防范工矿企业土壤污染。结合重点行业企业用地土壤污染状况调查成果，完善土壤污染重点监管单位名录，探索建立地下水污染重点监管单位名录，在排污许可证中载明土壤和地下水污染防治要求。鼓励土壤污染重点监管单位实施提标改造。定期对土壤污染重点监管单位和地下水污染重点监管单位周边土壤、地下水开展监测。督促重点行业企业定期开展土壤及地下水环境自行监测、污染隐患排查。</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本项目为</w:t>
                  </w:r>
                  <w:r>
                    <w:rPr>
                      <w:rFonts w:hint="eastAsia" w:ascii="Times New Roman" w:hAnsi="Times New Roman" w:eastAsia="仿宋" w:cs="Times New Roman"/>
                      <w:b w:val="0"/>
                      <w:bCs w:val="0"/>
                      <w:color w:val="auto"/>
                      <w:kern w:val="0"/>
                      <w:sz w:val="21"/>
                      <w:szCs w:val="21"/>
                      <w:lang w:val="en-US" w:eastAsia="zh-CN"/>
                    </w:rPr>
                    <w:t>建筑砂石</w:t>
                  </w:r>
                  <w:r>
                    <w:rPr>
                      <w:rFonts w:hint="default" w:ascii="Times New Roman" w:hAnsi="Times New Roman" w:eastAsia="仿宋" w:cs="Times New Roman"/>
                      <w:b w:val="0"/>
                      <w:bCs w:val="0"/>
                      <w:color w:val="auto"/>
                      <w:kern w:val="0"/>
                      <w:sz w:val="21"/>
                      <w:szCs w:val="21"/>
                    </w:rPr>
                    <w:t>开采项目，不属于土壤污染重点监管单位，根据土壤现状监测报告，矿区占地范围内、外土壤污染物均未达到筛选值标准，土壤环境良好。环评要求采取防渗等措施防止开采活动对土壤及地下水的污染。</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风险</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环评提出</w:t>
                  </w:r>
                  <w:r>
                    <w:rPr>
                      <w:rFonts w:hint="default" w:ascii="Times New Roman" w:hAnsi="Times New Roman" w:eastAsia="仿宋" w:cs="Times New Roman"/>
                      <w:b w:val="0"/>
                      <w:bCs w:val="0"/>
                      <w:color w:val="auto"/>
                      <w:kern w:val="0"/>
                      <w:sz w:val="21"/>
                      <w:szCs w:val="21"/>
                    </w:rPr>
                    <w:t>强化重点区域地下水环境风险管控。</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eastAsia" w:ascii="Times New Roman" w:hAnsi="Times New Roman" w:eastAsia="仿宋" w:cs="Times New Roman"/>
                      <w:b w:val="0"/>
                      <w:bCs w:val="0"/>
                      <w:color w:val="auto"/>
                      <w:kern w:val="0"/>
                      <w:sz w:val="21"/>
                      <w:szCs w:val="21"/>
                      <w:lang w:val="en-US" w:eastAsia="zh-CN"/>
                    </w:rPr>
                    <w:t>符合</w:t>
                  </w:r>
                </w:p>
              </w:tc>
            </w:tr>
          </w:tbl>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right="0" w:rightChars="0"/>
              <w:textAlignment w:val="auto"/>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13、与《中华人民共和国大气污染防治法》符合性分析</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ascii="Times New Roman" w:hAnsi="Times New Roman" w:eastAsia="仿宋" w:cs="Times New Roman"/>
                <w:b w:val="0"/>
                <w:bCs w:val="0"/>
                <w:color w:val="auto"/>
                <w:kern w:val="0"/>
                <w:sz w:val="24"/>
                <w:szCs w:val="24"/>
                <w:lang w:eastAsia="zh-CN"/>
              </w:rPr>
            </w:pPr>
            <w:r>
              <w:rPr>
                <w:rFonts w:hint="eastAsia" w:ascii="Times New Roman" w:hAnsi="Times New Roman" w:eastAsia="仿宋" w:cs="Times New Roman"/>
                <w:b w:val="0"/>
                <w:bCs w:val="0"/>
                <w:color w:val="auto"/>
                <w:kern w:val="0"/>
                <w:sz w:val="24"/>
                <w:szCs w:val="24"/>
                <w:lang w:val="en-US" w:eastAsia="zh-CN"/>
              </w:rPr>
              <w:t>《中华人民共和国大气污染防治法》</w:t>
            </w:r>
            <w:r>
              <w:rPr>
                <w:rFonts w:hint="eastAsia" w:ascii="Times New Roman" w:hAnsi="Times New Roman" w:eastAsia="仿宋" w:cs="Times New Roman"/>
                <w:b w:val="0"/>
                <w:bCs w:val="0"/>
                <w:color w:val="auto"/>
                <w:kern w:val="0"/>
                <w:sz w:val="24"/>
                <w:szCs w:val="24"/>
                <w:lang w:eastAsia="zh-CN"/>
              </w:rPr>
              <w:t>（13届人大第6次会议）</w:t>
            </w:r>
            <w:r>
              <w:rPr>
                <w:rFonts w:hint="eastAsia" w:ascii="Times New Roman" w:hAnsi="Times New Roman" w:eastAsia="仿宋" w:cs="Times New Roman"/>
                <w:b w:val="0"/>
                <w:bCs w:val="0"/>
                <w:color w:val="auto"/>
                <w:kern w:val="0"/>
                <w:sz w:val="24"/>
                <w:szCs w:val="24"/>
                <w:lang w:val="en-US" w:eastAsia="zh-CN"/>
              </w:rPr>
              <w:t>提出</w:t>
            </w:r>
            <w:r>
              <w:rPr>
                <w:rFonts w:hint="eastAsia"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运输煤炭、垃圾、渣土、砂石、土方、灰浆等散装、流体物料的车辆应当采取密闭或者其他措施防止物料遗撒造成扬尘污染，并按照规定路线行驶</w:t>
            </w:r>
            <w:r>
              <w:rPr>
                <w:rFonts w:hint="eastAsia"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装卸物料应当采取密闭或者喷淋等方式防治扬尘污染</w:t>
            </w:r>
            <w:r>
              <w:rPr>
                <w:rFonts w:hint="eastAsia" w:ascii="Times New Roman" w:hAnsi="Times New Roman" w:eastAsia="仿宋" w:cs="Times New Roman"/>
                <w:b w:val="0"/>
                <w:bCs w:val="0"/>
                <w:color w:val="auto"/>
                <w:kern w:val="0"/>
                <w:sz w:val="24"/>
                <w:szCs w:val="24"/>
                <w:lang w:eastAsia="zh-CN"/>
              </w:rPr>
              <w:t>”、“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eastAsia" w:ascii="Times New Roman" w:hAnsi="Times New Roman" w:eastAsia="仿宋" w:cs="Times New Roman"/>
                <w:b w:val="0"/>
                <w:bCs w:val="0"/>
                <w:color w:val="auto"/>
                <w:kern w:val="0"/>
                <w:sz w:val="24"/>
                <w:szCs w:val="24"/>
                <w:lang w:val="en-US" w:eastAsia="zh-CN"/>
              </w:rPr>
              <w:t>......</w:t>
            </w:r>
            <w:r>
              <w:rPr>
                <w:rFonts w:hint="eastAsia" w:ascii="Times New Roman" w:hAnsi="Times New Roman" w:eastAsia="仿宋" w:cs="Times New Roman"/>
                <w:b w:val="0"/>
                <w:bCs w:val="0"/>
                <w:color w:val="auto"/>
                <w:kern w:val="0"/>
                <w:sz w:val="24"/>
                <w:szCs w:val="24"/>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eastAsia="zh-CN"/>
              </w:rPr>
              <w:t>本项目</w:t>
            </w:r>
            <w:r>
              <w:rPr>
                <w:rFonts w:hint="eastAsia" w:ascii="Times New Roman" w:hAnsi="Times New Roman" w:eastAsia="仿宋" w:cs="Times New Roman"/>
                <w:b w:val="0"/>
                <w:bCs w:val="0"/>
                <w:color w:val="auto"/>
                <w:kern w:val="0"/>
                <w:sz w:val="24"/>
                <w:szCs w:val="24"/>
                <w:lang w:val="en-US" w:eastAsia="zh-CN"/>
              </w:rPr>
              <w:t>为建筑砂石开采</w:t>
            </w:r>
            <w:r>
              <w:rPr>
                <w:rFonts w:hint="eastAsia" w:ascii="Times New Roman" w:hAnsi="Times New Roman" w:eastAsia="仿宋" w:cs="Times New Roman"/>
                <w:b w:val="0"/>
                <w:bCs w:val="0"/>
                <w:color w:val="auto"/>
                <w:kern w:val="0"/>
                <w:sz w:val="24"/>
                <w:szCs w:val="24"/>
                <w:lang w:eastAsia="zh-CN"/>
              </w:rPr>
              <w:t>，</w:t>
            </w:r>
            <w:r>
              <w:rPr>
                <w:rFonts w:hint="eastAsia"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环评提出开采及装卸过程拟采取洒水降尘；运输道路洒水降尘，运输车辆篷布遮盖，限速等措施降低扬尘污染，采取上述措施后，本项目符合《中华人民共和国大气污染防治法》。</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14、与《环境空气细颗粒物污染综合防治技术政策》符合性</w:t>
            </w:r>
          </w:p>
          <w:p>
            <w:pP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《环境空气细颗粒物污染综合防治技术政策》</w:t>
            </w:r>
            <w:r>
              <w:rPr>
                <w:rFonts w:hint="default" w:ascii="Times New Roman" w:hAnsi="Times New Roman" w:eastAsia="仿宋" w:cs="Times New Roman"/>
                <w:b w:val="0"/>
                <w:bCs w:val="0"/>
                <w:color w:val="auto"/>
                <w:kern w:val="0"/>
                <w:sz w:val="24"/>
                <w:szCs w:val="24"/>
                <w:lang w:val="en-US" w:eastAsia="zh-CN" w:bidi="ar-SA"/>
              </w:rPr>
              <w:t>公告2013年第59号</w:t>
            </w:r>
            <w:r>
              <w:rPr>
                <w:rFonts w:hint="eastAsia" w:ascii="Times New Roman" w:hAnsi="Times New Roman" w:eastAsia="仿宋" w:cs="Times New Roman"/>
                <w:b w:val="0"/>
                <w:bCs w:val="0"/>
                <w:color w:val="auto"/>
                <w:kern w:val="0"/>
                <w:sz w:val="24"/>
                <w:szCs w:val="24"/>
                <w:lang w:val="en-US" w:eastAsia="zh-CN" w:bidi="ar-SA"/>
              </w:rPr>
              <w:t xml:space="preserve">提出“产生大气颗粒物及其前体物污染物的生产活动应尽量 采用密闭装置，避免无组织排放；无法完全密闭的，应安装集气装 置收集逸散的污染物，经净化后排放”、“对各种施工工地、各种粉状物料贮存场、各种港口 装卸码头等，应采取设置围挡墙、防尘网和喷洒抑尘剂等有效的防 尘、抑尘措施，防止颗粒物逸散；设置车辆清洗装置，保持上路行 驶车辆的清洁；鼓励各类土建工程使用预搅拌的商品混凝土”、“实行粉状物料及渣土车辆密闭运输，加强监管，防 止遗撒。及时进行道路清扫、冲洗、洒水作业，减少道路扬尘。规 范园林绿化设计和施工管理，防止园林绿地土壤向道路流失.....”。 </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30"/>
                <w:rFonts w:hint="default" w:eastAsia="仿宋" w:cs="Times New Roman"/>
                <w:color w:val="auto"/>
                <w:lang w:val="en-US" w:eastAsia="zh-CN"/>
              </w:rPr>
            </w:pPr>
            <w:r>
              <w:rPr>
                <w:rFonts w:hint="eastAsia" w:ascii="Times New Roman" w:hAnsi="Times New Roman" w:eastAsia="仿宋" w:cs="Times New Roman"/>
                <w:b w:val="0"/>
                <w:bCs w:val="0"/>
                <w:color w:val="auto"/>
                <w:kern w:val="0"/>
                <w:sz w:val="24"/>
                <w:szCs w:val="24"/>
                <w:lang w:eastAsia="zh-CN"/>
              </w:rPr>
              <w:t>本项目</w:t>
            </w:r>
            <w:r>
              <w:rPr>
                <w:rFonts w:hint="eastAsia" w:ascii="Times New Roman" w:hAnsi="Times New Roman" w:eastAsia="仿宋" w:cs="Times New Roman"/>
                <w:b w:val="0"/>
                <w:bCs w:val="0"/>
                <w:color w:val="auto"/>
                <w:kern w:val="0"/>
                <w:sz w:val="24"/>
                <w:szCs w:val="24"/>
                <w:lang w:val="en-US" w:eastAsia="zh-CN"/>
              </w:rPr>
              <w:t>为建筑砂石开采</w:t>
            </w:r>
            <w:r>
              <w:rPr>
                <w:rFonts w:hint="eastAsia" w:ascii="Times New Roman" w:hAnsi="Times New Roman" w:eastAsia="仿宋" w:cs="Times New Roman"/>
                <w:b w:val="0"/>
                <w:bCs w:val="0"/>
                <w:color w:val="auto"/>
                <w:kern w:val="0"/>
                <w:sz w:val="24"/>
                <w:szCs w:val="24"/>
                <w:lang w:eastAsia="zh-CN"/>
              </w:rPr>
              <w:t>，</w:t>
            </w:r>
            <w:r>
              <w:rPr>
                <w:rFonts w:hint="eastAsia"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环评提出开采及装卸过程拟采取洒水降尘；运输道路洒水降尘，运输车辆篷布遮盖，限速等措施降低扬尘污染，采取上述措施后，本项目符合《环境空气细颗粒物污染综合防治技术政策》。</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15、与《吐鲁番地区国土空间总体规划（2021—2035年）》符合性</w:t>
            </w:r>
          </w:p>
          <w:p>
            <w:pPr>
              <w:rPr>
                <w:rFonts w:hint="eastAsia"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Style w:val="30"/>
                <w:rFonts w:hint="eastAsia" w:eastAsia="仿宋" w:cs="Times New Roman"/>
                <w:b/>
                <w:bCs/>
                <w:color w:val="auto"/>
                <w:sz w:val="24"/>
                <w:szCs w:val="21"/>
                <w:lang w:val="en-US" w:eastAsia="zh-CN"/>
              </w:rPr>
            </w:pPr>
            <w:r>
              <w:rPr>
                <w:rFonts w:hint="eastAsia" w:ascii="Times New Roman" w:hAnsi="Times New Roman" w:eastAsia="仿宋" w:cs="Times New Roman"/>
                <w:b w:val="0"/>
                <w:bCs w:val="0"/>
                <w:color w:val="auto"/>
                <w:kern w:val="0"/>
                <w:sz w:val="24"/>
                <w:szCs w:val="24"/>
                <w:lang w:val="en-US" w:eastAsia="zh-CN" w:bidi="ar-SA"/>
              </w:rPr>
              <w:t>项目为建筑砂石开采项目，</w:t>
            </w:r>
            <w:r>
              <w:rPr>
                <w:rFonts w:hint="default" w:ascii="Times New Roman" w:hAnsi="Times New Roman" w:eastAsia="仿宋" w:cs="Times New Roman"/>
                <w:b w:val="0"/>
                <w:bCs w:val="0"/>
                <w:color w:val="auto"/>
                <w:kern w:val="0"/>
                <w:sz w:val="24"/>
                <w:szCs w:val="24"/>
                <w:lang w:val="en-US" w:eastAsia="zh-CN" w:bidi="ar-SA"/>
              </w:rPr>
              <w:t>矿区位于新疆维吾尔自治区吐鲁番地区鄯善县北西296°方位，直线距离13.4千米</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本项目建设符合《吐鲁番地区国土空间总体规划（2021—2035年）》</w:t>
            </w:r>
            <w:r>
              <w:rPr>
                <w:rFonts w:hint="eastAsia" w:ascii="Times New Roman" w:hAnsi="Times New Roman" w:eastAsia="仿宋" w:cs="Times New Roman"/>
                <w:b w:val="0"/>
                <w:bCs w:val="0"/>
                <w:color w:val="auto"/>
                <w:kern w:val="0"/>
                <w:sz w:val="24"/>
                <w:szCs w:val="24"/>
                <w:lang w:val="en-US" w:eastAsia="zh-CN" w:bidi="ar-SA"/>
              </w:rPr>
              <w:t>。</w:t>
            </w:r>
          </w:p>
          <w:p>
            <w:pPr>
              <w:pStyle w:val="9"/>
              <w:ind w:left="0" w:leftChars="0" w:firstLine="482" w:firstLineChars="200"/>
              <w:rPr>
                <w:rStyle w:val="30"/>
                <w:rFonts w:hint="default" w:eastAsia="仿宋" w:cs="Times New Roman"/>
                <w:b/>
                <w:bCs/>
                <w:color w:val="auto"/>
                <w:sz w:val="24"/>
                <w:szCs w:val="21"/>
                <w:lang w:val="en-US" w:eastAsia="zh-CN"/>
              </w:rPr>
            </w:pPr>
            <w:r>
              <w:rPr>
                <w:rStyle w:val="30"/>
                <w:rFonts w:hint="eastAsia" w:eastAsia="仿宋" w:cs="Times New Roman"/>
                <w:b/>
                <w:bCs/>
                <w:color w:val="auto"/>
                <w:sz w:val="24"/>
                <w:szCs w:val="21"/>
                <w:lang w:val="en-US" w:eastAsia="zh-CN"/>
              </w:rPr>
              <w:t>16、与《自然资源部关于规范和完善砂石开采管理的通知》符合性分析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参照自然资源部2023年4月10日发布的《自然资源部关于规范和完善砂石开采管理的通知》提出“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本项目为建筑砂石开采，已按绿色矿山标准要求建设，矿山企业已认真履行矿山生态保护修复义务，将生态保护修复贯穿采矿活动全过程，因此，本项目符合《自然资源部关于规范和完善砂石开采管理的通知》。</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eastAsia" w:eastAsia="仿宋" w:cs="Times New Roman"/>
                <w:b/>
                <w:bCs/>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highlight w:val="none"/>
                <w:lang w:val="en-US" w:eastAsia="zh-CN" w:bidi="ar"/>
              </w:rPr>
            </w:pPr>
            <w:r>
              <w:rPr>
                <w:rFonts w:hint="eastAsia" w:eastAsia="仿宋" w:cs="Times New Roman"/>
                <w:b/>
                <w:bCs/>
                <w:color w:val="auto"/>
                <w:kern w:val="0"/>
                <w:sz w:val="24"/>
                <w:szCs w:val="24"/>
                <w:lang w:val="en-US" w:eastAsia="zh-CN"/>
              </w:rPr>
              <w:t>17、</w:t>
            </w:r>
            <w:r>
              <w:rPr>
                <w:rFonts w:hint="eastAsia" w:ascii="Times New Roman" w:hAnsi="Times New Roman" w:eastAsia="仿宋" w:cs="Times New Roman"/>
                <w:b/>
                <w:bCs/>
                <w:color w:val="auto"/>
                <w:kern w:val="0"/>
                <w:sz w:val="24"/>
                <w:szCs w:val="24"/>
                <w:lang w:val="en-US" w:eastAsia="zh-CN"/>
              </w:rPr>
              <w:t>与</w:t>
            </w:r>
            <w:r>
              <w:rPr>
                <w:rFonts w:hint="default" w:ascii="Times New Roman" w:hAnsi="Times New Roman" w:eastAsia="仿宋" w:cs="Times New Roman"/>
                <w:b/>
                <w:bCs/>
                <w:color w:val="auto"/>
                <w:kern w:val="0"/>
                <w:sz w:val="24"/>
                <w:szCs w:val="24"/>
                <w:highlight w:val="none"/>
                <w:lang w:val="en-US" w:eastAsia="zh-CN" w:bidi="ar"/>
              </w:rPr>
              <w:t>《吐鲁番地区国土空间总体规划（2021—2035年）》符合性分析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仿宋" w:cs="Times New Roman"/>
                <w:b w:val="0"/>
                <w:bCs w:val="0"/>
                <w:color w:val="auto"/>
                <w:kern w:val="0"/>
                <w:sz w:val="24"/>
                <w:szCs w:val="24"/>
                <w:highlight w:val="none"/>
                <w:lang w:val="en-US" w:eastAsia="zh-CN" w:bidi="ar"/>
              </w:rPr>
            </w:pPr>
            <w:r>
              <w:rPr>
                <w:rFonts w:hint="default" w:ascii="Times New Roman" w:hAnsi="Times New Roman" w:eastAsia="仿宋" w:cs="Times New Roman"/>
                <w:b w:val="0"/>
                <w:bCs w:val="0"/>
                <w:color w:val="auto"/>
                <w:kern w:val="0"/>
                <w:sz w:val="24"/>
                <w:szCs w:val="24"/>
                <w:highlight w:val="none"/>
                <w:lang w:val="en-US" w:eastAsia="zh-CN" w:bidi="ar"/>
              </w:rPr>
              <w:t>《吐鲁番地区国土空间总体规划（2021—2035年）》</w:t>
            </w:r>
            <w:r>
              <w:rPr>
                <w:rFonts w:hint="eastAsia" w:ascii="Times New Roman" w:hAnsi="Times New Roman" w:eastAsia="仿宋" w:cs="Times New Roman"/>
                <w:b w:val="0"/>
                <w:bCs w:val="0"/>
                <w:color w:val="auto"/>
                <w:kern w:val="0"/>
                <w:sz w:val="24"/>
                <w:szCs w:val="24"/>
                <w:highlight w:val="none"/>
                <w:lang w:val="en-US" w:eastAsia="zh-CN" w:bidi="ar"/>
              </w:rPr>
              <w:t>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Style w:val="30"/>
                <w:rFonts w:hint="eastAsia" w:ascii="Times New Roman" w:hAnsi="Times New Roman" w:eastAsia="仿宋" w:cs="Times New Roman"/>
                <w:color w:val="auto"/>
                <w:lang w:eastAsia="zh-CN"/>
              </w:rPr>
            </w:pPr>
            <w:r>
              <w:rPr>
                <w:rFonts w:hint="eastAsia" w:ascii="Times New Roman" w:hAnsi="Times New Roman" w:eastAsia="仿宋" w:cs="Times New Roman"/>
                <w:color w:val="auto"/>
                <w:kern w:val="0"/>
                <w:sz w:val="24"/>
                <w:szCs w:val="24"/>
                <w:lang w:val="en-US" w:eastAsia="zh-CN"/>
              </w:rPr>
              <w:t>本项目为建筑砂石开采，已按绿色矿山标准要求建设，因此，本项目符合《吐鲁番地区国土空间总体规划（2021—2035年）》。</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0"/>
              <w:textAlignment w:val="auto"/>
              <w:rPr>
                <w:rStyle w:val="30"/>
                <w:rFonts w:hint="default" w:ascii="Times New Roman" w:hAnsi="Times New Roman" w:eastAsia="仿宋" w:cs="Times New Roman"/>
                <w:color w:val="auto"/>
                <w:lang w:val="en-US" w:eastAsia="zh-CN"/>
              </w:rPr>
            </w:pPr>
            <w:r>
              <w:rPr>
                <w:rFonts w:hint="eastAsia" w:ascii="Times New Roman" w:hAnsi="Times New Roman" w:eastAsia="仿宋" w:cs="Times New Roman"/>
                <w:b/>
                <w:bCs/>
                <w:color w:val="auto"/>
                <w:kern w:val="0"/>
                <w:sz w:val="24"/>
                <w:szCs w:val="24"/>
                <w:highlight w:val="none"/>
                <w:lang w:val="en-US" w:eastAsia="zh-CN" w:bidi="ar"/>
              </w:rPr>
              <w:t>18、与</w:t>
            </w:r>
            <w:r>
              <w:rPr>
                <w:rFonts w:hint="default" w:ascii="Times New Roman" w:hAnsi="Times New Roman" w:eastAsia="仿宋" w:cs="Times New Roman"/>
                <w:b/>
                <w:bCs/>
                <w:color w:val="auto"/>
                <w:kern w:val="0"/>
                <w:sz w:val="24"/>
                <w:szCs w:val="24"/>
                <w:highlight w:val="none"/>
                <w:lang w:val="en-US" w:eastAsia="zh-CN" w:bidi="ar"/>
              </w:rPr>
              <w:t>《矿山生态环境保护与污染防治技术政策》（环发〔2005〕109号）</w:t>
            </w:r>
            <w:r>
              <w:rPr>
                <w:rFonts w:hint="eastAsia" w:ascii="Times New Roman" w:hAnsi="Times New Roman" w:eastAsia="仿宋" w:cs="Times New Roman"/>
                <w:b/>
                <w:bCs/>
                <w:color w:val="auto"/>
                <w:kern w:val="0"/>
                <w:sz w:val="24"/>
                <w:szCs w:val="24"/>
                <w:highlight w:val="none"/>
                <w:lang w:val="en-US" w:eastAsia="zh-CN" w:bidi="ar"/>
              </w:rPr>
              <w:t>符合性</w:t>
            </w:r>
          </w:p>
          <w:p>
            <w:pPr>
              <w:pStyle w:val="9"/>
              <w:spacing w:line="360" w:lineRule="auto"/>
              <w:ind w:left="0" w:leftChars="0" w:firstLine="480" w:firstLineChars="200"/>
              <w:rPr>
                <w:rFonts w:hint="eastAsia"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highlight w:val="none"/>
                <w:lang w:val="en-US" w:eastAsia="zh-CN" w:bidi="ar"/>
              </w:rPr>
              <w:t>《</w:t>
            </w:r>
            <w:r>
              <w:rPr>
                <w:rFonts w:hint="default" w:ascii="Times New Roman" w:hAnsi="Times New Roman" w:eastAsia="仿宋" w:cs="Times New Roman"/>
                <w:b w:val="0"/>
                <w:bCs w:val="0"/>
                <w:color w:val="auto"/>
                <w:kern w:val="0"/>
                <w:sz w:val="24"/>
                <w:szCs w:val="24"/>
                <w:lang w:val="en-US" w:eastAsia="zh-CN" w:bidi="ar-SA"/>
              </w:rPr>
              <w:t>矿</w:t>
            </w:r>
            <w:r>
              <w:rPr>
                <w:rFonts w:hint="default" w:ascii="Times New Roman" w:hAnsi="Times New Roman" w:eastAsia="仿宋" w:cs="Times New Roman"/>
                <w:color w:val="auto"/>
                <w:kern w:val="0"/>
                <w:sz w:val="24"/>
                <w:szCs w:val="24"/>
                <w:lang w:val="en-US" w:eastAsia="zh-CN" w:bidi="ar-SA"/>
              </w:rPr>
              <w:t>山生态环境保护与污染防治技术政策》（环发〔2005〕109号）</w:t>
            </w:r>
            <w:r>
              <w:rPr>
                <w:rFonts w:hint="eastAsia" w:ascii="Times New Roman" w:hAnsi="Times New Roman" w:eastAsia="仿宋" w:cs="Times New Roman"/>
                <w:color w:val="auto"/>
                <w:kern w:val="0"/>
                <w:sz w:val="24"/>
                <w:szCs w:val="24"/>
                <w:lang w:val="en-US" w:eastAsia="zh-CN" w:bidi="ar-SA"/>
              </w:rPr>
              <w:t>提出“禁止在依法划定的自然保护区（核心区、缓冲区）、风景名胜区、森林公园、饮用水水源保护区、重要湖泊周边、文物古迹所在地、地质遗迹保护区、基本农田保护区等区域内采矿”、“禁止在铁路、国道、省道两侧的直观可视范围内进行露天开采”、“生态功能保护区内的开采活动必须符合当地的环境功能区规划，并按规定进行控制性开采，开采活动不得影响本功能区内的主导生态功能....”。本项目为新建矿山，位于新疆维吾尔自治区吐鲁番地区鄯善县北西296°方位，直线距离13.4千米，</w:t>
            </w:r>
            <w:r>
              <w:rPr>
                <w:rFonts w:hint="eastAsia" w:eastAsia="仿宋" w:cs="Times New Roman"/>
                <w:color w:val="auto"/>
                <w:kern w:val="0"/>
                <w:sz w:val="24"/>
                <w:szCs w:val="24"/>
                <w:lang w:val="en-US" w:eastAsia="zh-CN" w:bidi="ar-SA"/>
              </w:rPr>
              <w:t>与北侧G30京新高速最近距离为1.51km，</w:t>
            </w:r>
            <w:r>
              <w:rPr>
                <w:rFonts w:hint="eastAsia" w:ascii="Times New Roman" w:hAnsi="Times New Roman" w:eastAsia="仿宋" w:cs="Times New Roman"/>
                <w:color w:val="auto"/>
                <w:kern w:val="0"/>
                <w:sz w:val="24"/>
                <w:szCs w:val="24"/>
                <w:lang w:val="en-US" w:eastAsia="zh-CN" w:bidi="ar-SA"/>
              </w:rPr>
              <w:t>距离高速公路在200米范围外、距离居民聚集区1千米以上；项目周围1000米以内无水体，符合《矿山生态环境保护与污染防治技术政策》（环发〔2005〕109号）。</w:t>
            </w:r>
          </w:p>
          <w:p>
            <w:pPr>
              <w:pStyle w:val="10"/>
              <w:rPr>
                <w:rStyle w:val="30"/>
                <w:rFonts w:hint="eastAsia" w:ascii="Times New Roman" w:hAnsi="Times New Roman" w:eastAsia="仿宋" w:cs="Times New Roman"/>
                <w:color w:val="auto"/>
                <w:lang w:eastAsia="zh-CN"/>
              </w:rPr>
            </w:pPr>
          </w:p>
          <w:p>
            <w:pPr>
              <w:pStyle w:val="10"/>
              <w:rPr>
                <w:rStyle w:val="30"/>
                <w:rFonts w:hint="eastAsia" w:ascii="Times New Roman" w:hAnsi="Times New Roman" w:eastAsia="仿宋" w:cs="Times New Roman"/>
                <w:color w:val="auto"/>
                <w:lang w:eastAsia="zh-CN"/>
              </w:rPr>
            </w:pPr>
          </w:p>
          <w:p>
            <w:pPr>
              <w:pStyle w:val="9"/>
              <w:ind w:left="0" w:leftChars="0" w:firstLine="0" w:firstLineChars="0"/>
              <w:rPr>
                <w:rStyle w:val="30"/>
                <w:rFonts w:hint="default" w:ascii="Times New Roman" w:hAnsi="Times New Roman" w:eastAsia="仿宋" w:cs="Times New Roman"/>
                <w:color w:val="auto"/>
              </w:rPr>
            </w:pPr>
          </w:p>
        </w:tc>
      </w:tr>
    </w:tbl>
    <w:p>
      <w:pPr>
        <w:ind w:firstLine="600"/>
        <w:outlineLvl w:val="0"/>
        <w:rPr>
          <w:rFonts w:hint="default" w:ascii="Times New Roman" w:hAnsi="Times New Roman" w:eastAsia="仿宋" w:cs="Times New Roman"/>
          <w:color w:val="auto"/>
          <w:sz w:val="30"/>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二、建设内容</w:t>
      </w:r>
    </w:p>
    <w:tbl>
      <w:tblPr>
        <w:tblStyle w:val="26"/>
        <w:tblW w:w="97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9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地理位置</w:t>
            </w:r>
          </w:p>
        </w:tc>
        <w:tc>
          <w:tcPr>
            <w:tcW w:w="90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w:t>
            </w:r>
            <w:r>
              <w:rPr>
                <w:rFonts w:hint="default" w:ascii="Times New Roman" w:hAnsi="Times New Roman" w:eastAsia="仿宋" w:cs="Times New Roman"/>
                <w:color w:val="auto"/>
                <w:kern w:val="0"/>
                <w:sz w:val="24"/>
                <w:szCs w:val="24"/>
              </w:rPr>
              <w:t>项目</w:t>
            </w:r>
            <w:r>
              <w:rPr>
                <w:rFonts w:hint="default" w:ascii="Times New Roman" w:hAnsi="Times New Roman" w:eastAsia="仿宋" w:cs="Times New Roman"/>
                <w:color w:val="auto"/>
                <w:sz w:val="24"/>
                <w:szCs w:val="24"/>
              </w:rPr>
              <w:t>位于</w:t>
            </w:r>
            <w:r>
              <w:rPr>
                <w:rFonts w:hint="eastAsia" w:eastAsia="仿宋" w:cs="Times New Roman"/>
                <w:color w:val="auto"/>
                <w:sz w:val="24"/>
                <w:szCs w:val="24"/>
                <w:lang w:eastAsia="zh-CN"/>
              </w:rPr>
              <w:t>鄯善县北西296°方位</w:t>
            </w:r>
            <w:r>
              <w:rPr>
                <w:rFonts w:hint="default" w:ascii="Times New Roman" w:hAnsi="Times New Roman" w:eastAsia="仿宋" w:cs="Times New Roman"/>
                <w:color w:val="auto"/>
                <w:sz w:val="24"/>
                <w:szCs w:val="24"/>
                <w:lang w:eastAsia="zh-CN"/>
              </w:rPr>
              <w:t>，行政区划隶属鄯善县管辖</w:t>
            </w:r>
            <w:r>
              <w:rPr>
                <w:rFonts w:hint="default" w:ascii="Times New Roman" w:hAnsi="Times New Roman" w:eastAsia="仿宋"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根据现场调查，项目所在地</w:t>
            </w:r>
            <w:r>
              <w:rPr>
                <w:rFonts w:hint="default" w:ascii="Times New Roman" w:hAnsi="Times New Roman" w:eastAsia="仿宋" w:cs="Times New Roman"/>
                <w:color w:val="auto"/>
                <w:sz w:val="24"/>
                <w:szCs w:val="24"/>
                <w:lang w:val="en-US" w:eastAsia="zh-CN"/>
              </w:rPr>
              <w:t>及四周均为</w:t>
            </w:r>
            <w:r>
              <w:rPr>
                <w:rFonts w:hint="default" w:ascii="Times New Roman" w:hAnsi="Times New Roman" w:eastAsia="仿宋" w:cs="Times New Roman"/>
                <w:color w:val="auto"/>
                <w:sz w:val="24"/>
                <w:szCs w:val="24"/>
              </w:rPr>
              <w:t>裸岩石砾地，</w:t>
            </w:r>
            <w:r>
              <w:rPr>
                <w:rFonts w:hint="default" w:ascii="Times New Roman" w:hAnsi="Times New Roman" w:eastAsia="仿宋" w:cs="Times New Roman"/>
                <w:color w:val="auto"/>
                <w:kern w:val="0"/>
                <w:sz w:val="24"/>
                <w:szCs w:val="24"/>
              </w:rPr>
              <w:t>矿区范围及拐点坐标见下表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sz w:val="24"/>
                <w:szCs w:val="24"/>
              </w:rPr>
              <w:t>项目地理位置图见图2-1</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矿区范围图见图2-2。</w:t>
            </w:r>
          </w:p>
          <w:p>
            <w:pPr>
              <w:pStyle w:val="16"/>
              <w:ind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项目组成及规模</w:t>
            </w:r>
          </w:p>
        </w:tc>
        <w:tc>
          <w:tcPr>
            <w:tcW w:w="9070" w:type="dxa"/>
            <w:vAlign w:val="center"/>
          </w:tcPr>
          <w:p>
            <w:pPr>
              <w:keepNext w:val="0"/>
              <w:keepLines w:val="0"/>
              <w:pageBreakBefore w:val="0"/>
              <w:widowControl/>
              <w:kinsoku/>
              <w:wordWrap/>
              <w:overflowPunct/>
              <w:topLinePunct w:val="0"/>
              <w:autoSpaceDE/>
              <w:autoSpaceDN/>
              <w:bidi w:val="0"/>
              <w:adjustRightInd/>
              <w:snapToGrid/>
              <w:spacing w:before="157" w:beforeLines="50"/>
              <w:ind w:firstLine="422"/>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rPr>
              <w:t>项目组成</w:t>
            </w:r>
          </w:p>
          <w:p>
            <w:pPr>
              <w:keepNext w:val="0"/>
              <w:keepLines w:val="0"/>
              <w:pageBreakBefore w:val="0"/>
              <w:kinsoku/>
              <w:wordWrap/>
              <w:overflowPunct/>
              <w:topLinePunct w:val="0"/>
              <w:autoSpaceDE/>
              <w:autoSpaceDN/>
              <w:bidi w:val="0"/>
              <w:adjustRightInd/>
              <w:snapToGrid/>
              <w:ind w:firstLine="420"/>
              <w:textAlignment w:val="auto"/>
              <w:rPr>
                <w:rFonts w:hint="eastAsia"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本项目占地</w:t>
            </w:r>
            <w:r>
              <w:rPr>
                <w:rFonts w:hint="eastAsia" w:eastAsia="仿宋" w:cs="Times New Roman"/>
                <w:color w:val="auto"/>
                <w:sz w:val="24"/>
                <w:szCs w:val="24"/>
                <w:highlight w:val="none"/>
                <w:lang w:val="en-US" w:eastAsia="zh-CN"/>
              </w:rPr>
              <w:t>100060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2</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矿区总体布置主要由1处露天采场、工业场地、生活办公区、</w:t>
            </w:r>
            <w:r>
              <w:rPr>
                <w:rFonts w:hint="eastAsia" w:eastAsia="仿宋" w:cs="Times New Roman"/>
                <w:color w:val="auto"/>
                <w:sz w:val="24"/>
                <w:szCs w:val="24"/>
                <w:highlight w:val="none"/>
                <w:lang w:eastAsia="zh-CN"/>
              </w:rPr>
              <w:t>排土场</w:t>
            </w:r>
            <w:r>
              <w:rPr>
                <w:rFonts w:hint="default" w:ascii="Times New Roman" w:hAnsi="Times New Roman" w:eastAsia="仿宋" w:cs="Times New Roman"/>
                <w:color w:val="auto"/>
                <w:sz w:val="24"/>
                <w:szCs w:val="24"/>
                <w:highlight w:val="none"/>
              </w:rPr>
              <w:t>和矿山道路组成，</w:t>
            </w:r>
            <w:r>
              <w:rPr>
                <w:rFonts w:hint="default" w:ascii="Times New Roman" w:hAnsi="Times New Roman" w:eastAsia="仿宋" w:cs="Times New Roman"/>
                <w:color w:val="auto"/>
                <w:sz w:val="24"/>
                <w:szCs w:val="24"/>
                <w:highlight w:val="none"/>
                <w:lang w:val="en-US" w:eastAsia="zh-CN"/>
              </w:rPr>
              <w:t>建设砂石料生产线、办公区、生活区等公辅设施，年开采加工砂石料4</w:t>
            </w:r>
            <w:r>
              <w:rPr>
                <w:rFonts w:hint="eastAsia" w:eastAsia="仿宋" w:cs="Times New Roman"/>
                <w:color w:val="auto"/>
                <w:sz w:val="24"/>
                <w:szCs w:val="24"/>
                <w:highlight w:val="none"/>
                <w:lang w:val="en-US" w:eastAsia="zh-CN"/>
              </w:rPr>
              <w:t>0</w:t>
            </w:r>
            <w:r>
              <w:rPr>
                <w:rFonts w:hint="default" w:ascii="Times New Roman" w:hAnsi="Times New Roman" w:eastAsia="仿宋" w:cs="Times New Roman"/>
                <w:color w:val="auto"/>
                <w:sz w:val="24"/>
                <w:szCs w:val="24"/>
                <w:highlight w:val="none"/>
                <w:lang w:val="en-US" w:eastAsia="zh-CN"/>
              </w:rPr>
              <w:t>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eastAsia" w:ascii="Times New Roman" w:hAnsi="Times New Roman" w:eastAsia="仿宋" w:cs="Times New Roman"/>
                <w:color w:val="auto"/>
                <w:sz w:val="24"/>
                <w:szCs w:val="24"/>
                <w:highlight w:val="none"/>
                <w:vertAlign w:val="baseline"/>
                <w:lang w:eastAsia="zh-CN"/>
              </w:rPr>
              <w:t>。</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本项目组成一览表见表2-2：</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表2-2项目组成一览表</w:t>
            </w:r>
          </w:p>
          <w:tbl>
            <w:tblPr>
              <w:tblStyle w:val="26"/>
              <w:tblW w:w="498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47"/>
              <w:gridCol w:w="1171"/>
              <w:gridCol w:w="69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类别</w:t>
                  </w:r>
                </w:p>
              </w:tc>
              <w:tc>
                <w:tcPr>
                  <w:tcW w:w="657"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名称</w:t>
                  </w:r>
                </w:p>
              </w:tc>
              <w:tc>
                <w:tcPr>
                  <w:tcW w:w="392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建设内容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9"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主体</w:t>
                  </w:r>
                </w:p>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eastAsia="zh-CN"/>
                    </w:rPr>
                    <w:t>露天采场</w:t>
                  </w:r>
                </w:p>
              </w:tc>
              <w:tc>
                <w:tcPr>
                  <w:tcW w:w="3922" w:type="pct"/>
                  <w:vAlign w:val="center"/>
                </w:tcPr>
                <w:p>
                  <w:pPr>
                    <w:pStyle w:val="45"/>
                    <w:spacing w:line="240" w:lineRule="auto"/>
                    <w:ind w:firstLine="0" w:firstLineChars="0"/>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val="en-US" w:eastAsia="zh-CN"/>
                    </w:rPr>
                    <w:t>全矿设计1个采矿场，采矿场为设计露天开采境界范围，占地面积99400平方米，原始地形坡度为2-5°，采场开采标高406米-390米，采用自上而下水平分层的露天台阶式开采方式，台阶高度10米，工作台阶坡面角不大于30°，露天开采工作平台坡度约在2-5°</w:t>
                  </w:r>
                  <w:r>
                    <w:rPr>
                      <w:rFonts w:hint="eastAsia" w:eastAsia="仿宋" w:cs="Times New Roman"/>
                      <w:color w:val="auto"/>
                      <w:sz w:val="21"/>
                      <w:szCs w:val="21"/>
                      <w:highlight w:val="none"/>
                      <w:lang w:val="en-US" w:eastAsia="zh-CN"/>
                    </w:rPr>
                    <w:t>，</w:t>
                  </w:r>
                  <w:r>
                    <w:rPr>
                      <w:rFonts w:hint="eastAsia" w:ascii="Times New Roman" w:hAnsi="Times New Roman" w:eastAsia="仿宋" w:cs="Times New Roman"/>
                      <w:color w:val="auto"/>
                      <w:sz w:val="21"/>
                      <w:szCs w:val="21"/>
                      <w:highlight w:val="none"/>
                      <w:lang w:val="en-US" w:eastAsia="zh-CN"/>
                    </w:rPr>
                    <w:t>年开采砂石料40万m</w:t>
                  </w:r>
                  <w:r>
                    <w:rPr>
                      <w:rFonts w:hint="eastAsia" w:ascii="Times New Roman" w:hAnsi="Times New Roman" w:eastAsia="仿宋" w:cs="Times New Roman"/>
                      <w:color w:val="auto"/>
                      <w:sz w:val="21"/>
                      <w:szCs w:val="21"/>
                      <w:highlight w:val="none"/>
                      <w:vertAlign w:val="superscript"/>
                      <w:lang w:val="en-US" w:eastAsia="zh-CN"/>
                    </w:rPr>
                    <w:t>3</w:t>
                  </w:r>
                  <w:r>
                    <w:rPr>
                      <w:rFonts w:hint="eastAsia" w:ascii="Times New Roman" w:hAnsi="Times New Roman" w:eastAsia="仿宋"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tcBorders>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tcBorders>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工业场地</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建设</w:t>
                  </w:r>
                  <w:r>
                    <w:rPr>
                      <w:rFonts w:hint="eastAsia"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lang w:val="en-US" w:eastAsia="zh-CN"/>
                    </w:rPr>
                    <w:t>条砂石料生产线；</w:t>
                  </w:r>
                  <w:r>
                    <w:rPr>
                      <w:rFonts w:hint="eastAsia" w:eastAsia="仿宋" w:cs="Times New Roman"/>
                      <w:color w:val="auto"/>
                      <w:sz w:val="21"/>
                      <w:szCs w:val="21"/>
                      <w:highlight w:val="none"/>
                      <w:lang w:val="en-US" w:eastAsia="zh-CN"/>
                    </w:rPr>
                    <w:t>占地面积3000m</w:t>
                  </w:r>
                  <w:r>
                    <w:rPr>
                      <w:rFonts w:hint="eastAsia" w:eastAsia="仿宋" w:cs="Times New Roman"/>
                      <w:color w:val="auto"/>
                      <w:sz w:val="21"/>
                      <w:szCs w:val="21"/>
                      <w:highlight w:val="none"/>
                      <w:vertAlign w:val="superscript"/>
                      <w:lang w:val="en-US" w:eastAsia="zh-CN"/>
                    </w:rPr>
                    <w:t>2</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加工过程输送方式为皮带输送机</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主要设备为振动筛、螺旋式洗砂机</w:t>
                  </w:r>
                  <w:r>
                    <w:rPr>
                      <w:rFonts w:hint="eastAsia"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年加工砂石料</w:t>
                  </w:r>
                  <w:r>
                    <w:rPr>
                      <w:rFonts w:hint="eastAsia" w:eastAsia="仿宋" w:cs="Times New Roman"/>
                      <w:color w:val="auto"/>
                      <w:sz w:val="21"/>
                      <w:szCs w:val="21"/>
                      <w:highlight w:val="none"/>
                      <w:lang w:val="en-US" w:eastAsia="zh-CN"/>
                    </w:rPr>
                    <w:t>40</w:t>
                  </w:r>
                  <w:r>
                    <w:rPr>
                      <w:rFonts w:hint="default" w:ascii="Times New Roman" w:hAnsi="Times New Roman" w:eastAsia="仿宋" w:cs="Times New Roman"/>
                      <w:color w:val="auto"/>
                      <w:sz w:val="21"/>
                      <w:szCs w:val="21"/>
                      <w:highlight w:val="none"/>
                      <w:lang w:val="en-US" w:eastAsia="zh-CN"/>
                    </w:rPr>
                    <w:t>万m</w:t>
                  </w:r>
                  <w:r>
                    <w:rPr>
                      <w:rFonts w:hint="default" w:ascii="Times New Roman" w:hAnsi="Times New Roman" w:eastAsia="仿宋" w:cs="Times New Roman"/>
                      <w:color w:val="auto"/>
                      <w:sz w:val="21"/>
                      <w:szCs w:val="21"/>
                      <w:highlight w:val="none"/>
                      <w:vertAlign w:val="superscript"/>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restart"/>
                  <w:tcBorders>
                    <w:top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辅助</w:t>
                  </w:r>
                </w:p>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工程</w:t>
                  </w:r>
                </w:p>
              </w:tc>
              <w:tc>
                <w:tcPr>
                  <w:tcW w:w="657" w:type="pct"/>
                  <w:tcBorders>
                    <w:top w:val="single" w:color="auto" w:sz="4" w:space="0"/>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办公生活区</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建设办公室、宿舍、食堂等</w:t>
                  </w:r>
                  <w:r>
                    <w:rPr>
                      <w:rFonts w:hint="eastAsia" w:eastAsia="仿宋" w:cs="Times New Roman"/>
                      <w:color w:val="auto"/>
                      <w:sz w:val="21"/>
                      <w:szCs w:val="21"/>
                      <w:highlight w:val="none"/>
                      <w:lang w:val="en-US" w:eastAsia="zh-CN"/>
                    </w:rPr>
                    <w:t>，占地3000m</w:t>
                  </w:r>
                  <w:r>
                    <w:rPr>
                      <w:rFonts w:hint="eastAsia" w:eastAsia="仿宋" w:cs="Times New Roman"/>
                      <w:color w:val="auto"/>
                      <w:sz w:val="21"/>
                      <w:szCs w:val="21"/>
                      <w:highlight w:val="none"/>
                      <w:vertAlign w:val="superscript"/>
                      <w:lang w:val="en-US" w:eastAsia="zh-CN"/>
                    </w:rPr>
                    <w:t>2</w:t>
                  </w:r>
                  <w:r>
                    <w:rPr>
                      <w:rFonts w:hint="eastAsia" w:eastAsia="仿宋"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657" w:type="pct"/>
                  <w:tcBorders>
                    <w:top w:val="single" w:color="auto" w:sz="4" w:space="0"/>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沉淀池</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新建防渗沉淀池1个，容积为300m</w:t>
                  </w:r>
                  <w:r>
                    <w:rPr>
                      <w:rFonts w:hint="eastAsia" w:eastAsia="仿宋" w:cs="Times New Roman"/>
                      <w:color w:val="auto"/>
                      <w:sz w:val="21"/>
                      <w:szCs w:val="21"/>
                      <w:highlight w:val="none"/>
                      <w:vertAlign w:val="superscript"/>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tcBorders>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657" w:type="pct"/>
                  <w:tcBorders>
                    <w:top w:val="single" w:color="auto" w:sz="4" w:space="0"/>
                    <w:bottom w:val="single" w:color="auto" w:sz="4" w:space="0"/>
                  </w:tcBorders>
                  <w:vAlign w:val="center"/>
                </w:tcPr>
                <w:p>
                  <w:pPr>
                    <w:pStyle w:val="45"/>
                    <w:spacing w:line="240" w:lineRule="auto"/>
                    <w:ind w:firstLine="0" w:firstLineChars="0"/>
                    <w:rPr>
                      <w:rFonts w:hint="default"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化粪池</w:t>
                  </w:r>
                </w:p>
              </w:tc>
              <w:tc>
                <w:tcPr>
                  <w:tcW w:w="3922" w:type="pct"/>
                  <w:vAlign w:val="center"/>
                </w:tcPr>
                <w:p>
                  <w:pPr>
                    <w:pStyle w:val="45"/>
                    <w:spacing w:line="240" w:lineRule="auto"/>
                    <w:ind w:firstLine="0" w:firstLineChars="0"/>
                    <w:rPr>
                      <w:rFonts w:hint="default"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新建防渗化粪池1个，容积为20m</w:t>
                  </w:r>
                  <w:r>
                    <w:rPr>
                      <w:rFonts w:hint="eastAsia" w:eastAsia="仿宋" w:cs="Times New Roman"/>
                      <w:color w:val="auto"/>
                      <w:sz w:val="21"/>
                      <w:szCs w:val="21"/>
                      <w:highlight w:val="none"/>
                      <w:vertAlign w:val="superscript"/>
                      <w:lang w:val="en-US" w:eastAsia="zh-CN"/>
                    </w:rPr>
                    <w:t>3</w:t>
                  </w:r>
                  <w:r>
                    <w:rPr>
                      <w:rFonts w:hint="eastAsia" w:ascii="Times New Roman" w:hAnsi="Times New Roman" w:eastAsia="仿宋" w:cs="Times New Roman"/>
                      <w:color w:val="auto"/>
                      <w:sz w:val="21"/>
                      <w:szCs w:val="21"/>
                      <w:highlight w:val="none"/>
                      <w:lang w:val="en-US" w:eastAsia="zh-CN"/>
                    </w:rPr>
                    <w:t>，</w:t>
                  </w:r>
                  <w:r>
                    <w:rPr>
                      <w:rFonts w:hint="eastAsia" w:eastAsia="仿宋" w:cs="Times New Roman"/>
                      <w:color w:val="auto"/>
                      <w:sz w:val="21"/>
                      <w:szCs w:val="21"/>
                      <w:highlight w:val="none"/>
                      <w:lang w:val="en-US" w:eastAsia="zh-CN"/>
                    </w:rPr>
                    <w:t>位于生活区南侧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 w:hRule="atLeast"/>
                <w:jc w:val="center"/>
              </w:trPr>
              <w:tc>
                <w:tcPr>
                  <w:tcW w:w="419"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储运</w:t>
                  </w:r>
                </w:p>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工程</w:t>
                  </w: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排土场</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置于矿区中北部，位于工业场地北部约15米处，地面标高403-405米，地形坡度2-3°</w:t>
                  </w:r>
                  <w:r>
                    <w:rPr>
                      <w:rFonts w:hint="default" w:ascii="Times New Roman" w:hAnsi="Times New Roman" w:eastAsia="仿宋" w:cs="Times New Roman"/>
                      <w:color w:val="auto"/>
                      <w:sz w:val="21"/>
                      <w:szCs w:val="21"/>
                      <w:highlight w:val="none"/>
                    </w:rPr>
                    <w:t>，占地面积</w:t>
                  </w:r>
                  <w:r>
                    <w:rPr>
                      <w:rFonts w:hint="eastAsia"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00m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，用于开采</w:t>
                  </w:r>
                  <w:r>
                    <w:rPr>
                      <w:rFonts w:hint="default" w:ascii="Times New Roman" w:hAnsi="Times New Roman" w:eastAsia="仿宋" w:cs="Times New Roman"/>
                      <w:color w:val="auto"/>
                      <w:sz w:val="21"/>
                      <w:szCs w:val="21"/>
                      <w:highlight w:val="none"/>
                      <w:lang w:val="en-US" w:eastAsia="zh-CN"/>
                    </w:rPr>
                    <w:t>废石量</w:t>
                  </w:r>
                  <w:r>
                    <w:rPr>
                      <w:rFonts w:hint="default" w:ascii="Times New Roman" w:hAnsi="Times New Roman" w:eastAsia="仿宋" w:cs="Times New Roman"/>
                      <w:color w:val="auto"/>
                      <w:sz w:val="21"/>
                      <w:szCs w:val="21"/>
                      <w:highlight w:val="none"/>
                    </w:rPr>
                    <w:t>的暂存。</w:t>
                  </w:r>
                  <w:r>
                    <w:rPr>
                      <w:rFonts w:hint="default" w:ascii="Times New Roman" w:hAnsi="Times New Roman" w:eastAsia="仿宋" w:cs="Times New Roman"/>
                      <w:color w:val="auto"/>
                      <w:sz w:val="21"/>
                      <w:szCs w:val="21"/>
                      <w:highlight w:val="none"/>
                      <w:lang w:val="en-US" w:eastAsia="zh-CN"/>
                    </w:rPr>
                    <w:t>堆放周期为矿山服务年限结束后</w:t>
                  </w:r>
                  <w:r>
                    <w:rPr>
                      <w:rFonts w:hint="default" w:ascii="Times New Roman" w:hAnsi="Times New Roman" w:eastAsia="仿宋" w:cs="Times New Roman"/>
                      <w:color w:val="auto"/>
                      <w:kern w:val="0"/>
                      <w:sz w:val="21"/>
                      <w:szCs w:val="21"/>
                      <w:highlight w:val="none"/>
                    </w:rPr>
                    <w:t>用于采坑回填整治及土地复垦</w:t>
                  </w:r>
                  <w:r>
                    <w:rPr>
                      <w:rFonts w:hint="default" w:ascii="Times New Roman" w:hAnsi="Times New Roman" w:eastAsia="仿宋" w:cs="Times New Roman"/>
                      <w:color w:val="auto"/>
                      <w:kern w:val="0"/>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9"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公用</w:t>
                  </w:r>
                </w:p>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供配电</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矿山外部电源引至连木沁镇供电电网，距离约</w:t>
                  </w:r>
                  <w:r>
                    <w:rPr>
                      <w:rFonts w:hint="eastAsia"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lang w:val="en-US" w:eastAsia="zh-CN"/>
                    </w:rPr>
                    <w:t>km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供水</w:t>
                  </w:r>
                </w:p>
              </w:tc>
              <w:tc>
                <w:tcPr>
                  <w:tcW w:w="3922" w:type="pct"/>
                  <w:vAlign w:val="center"/>
                </w:tcPr>
                <w:p>
                  <w:pPr>
                    <w:widowControl/>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矿山配备</w:t>
                  </w:r>
                  <w:r>
                    <w:rPr>
                      <w:rFonts w:hint="eastAsia"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lang w:val="en-US" w:eastAsia="zh-CN"/>
                    </w:rPr>
                    <w:t>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水车，生产生活用水自鄯善连木沁镇拉运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排水</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本项目不产生生产废水，</w:t>
                  </w:r>
                  <w:r>
                    <w:rPr>
                      <w:rFonts w:hint="default" w:ascii="Times New Roman" w:hAnsi="Times New Roman" w:eastAsia="仿宋" w:cs="Times New Roman"/>
                      <w:color w:val="auto"/>
                      <w:sz w:val="21"/>
                      <w:szCs w:val="21"/>
                      <w:highlight w:val="none"/>
                      <w:lang w:val="en-US" w:eastAsia="zh-CN"/>
                    </w:rPr>
                    <w:t>食堂废水经隔油处理后与其他生活污水暂存于化粪池，定期委托个人由吸污泵车拉运至鄯善县污水处理厂处置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供暖</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办公生活区</w:t>
                  </w:r>
                  <w:r>
                    <w:rPr>
                      <w:rFonts w:hint="default" w:ascii="Times New Roman" w:hAnsi="Times New Roman" w:eastAsia="仿宋" w:cs="Times New Roman"/>
                      <w:color w:val="auto"/>
                      <w:sz w:val="21"/>
                      <w:szCs w:val="21"/>
                      <w:highlight w:val="none"/>
                    </w:rPr>
                    <w:t>冬季</w:t>
                  </w:r>
                  <w:r>
                    <w:rPr>
                      <w:rFonts w:hint="default" w:ascii="Times New Roman" w:hAnsi="Times New Roman" w:eastAsia="仿宋" w:cs="Times New Roman"/>
                      <w:color w:val="auto"/>
                      <w:sz w:val="21"/>
                      <w:szCs w:val="21"/>
                      <w:highlight w:val="none"/>
                      <w:lang w:val="en-US" w:eastAsia="zh-CN"/>
                    </w:rPr>
                    <w:t>供暖采用</w:t>
                  </w:r>
                  <w:r>
                    <w:rPr>
                      <w:rFonts w:hint="eastAsia" w:eastAsia="仿宋" w:cs="Times New Roman"/>
                      <w:color w:val="auto"/>
                      <w:sz w:val="21"/>
                      <w:szCs w:val="21"/>
                      <w:highlight w:val="none"/>
                      <w:lang w:val="en-US" w:eastAsia="zh-CN"/>
                    </w:rPr>
                    <w:t>电暖器</w:t>
                  </w:r>
                  <w:r>
                    <w:rPr>
                      <w:rFonts w:hint="default" w:ascii="Times New Roman" w:hAnsi="Times New Roman" w:eastAsia="仿宋" w:cs="Times New Roman"/>
                      <w:color w:val="auto"/>
                      <w:sz w:val="21"/>
                      <w:szCs w:val="21"/>
                      <w:highlight w:val="none"/>
                      <w:lang w:val="en-US" w:eastAsia="zh-CN"/>
                    </w:rPr>
                    <w:t>取暖</w:t>
                  </w:r>
                  <w:r>
                    <w:rPr>
                      <w:rFonts w:hint="default" w:ascii="Times New Roman" w:hAnsi="Times New Roman" w:eastAsia="仿宋" w:cs="Times New Roman"/>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7"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道路</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矿区内道路</w:t>
                  </w:r>
                  <w:r>
                    <w:rPr>
                      <w:rFonts w:hint="eastAsia" w:eastAsia="仿宋" w:cs="Times New Roman"/>
                      <w:color w:val="auto"/>
                      <w:sz w:val="21"/>
                      <w:szCs w:val="21"/>
                      <w:highlight w:val="none"/>
                      <w:lang w:val="en-US" w:eastAsia="zh-CN"/>
                    </w:rPr>
                    <w:t>1440平</w:t>
                  </w:r>
                  <w:r>
                    <w:rPr>
                      <w:rFonts w:hint="default" w:ascii="Times New Roman" w:hAnsi="Times New Roman" w:eastAsia="仿宋" w:cs="Times New Roman"/>
                      <w:color w:val="auto"/>
                      <w:sz w:val="21"/>
                      <w:szCs w:val="21"/>
                      <w:highlight w:val="none"/>
                      <w:lang w:val="en-US" w:eastAsia="zh-CN"/>
                    </w:rPr>
                    <w:t>方米</w:t>
                  </w:r>
                  <w:r>
                    <w:rPr>
                      <w:rFonts w:hint="eastAsia" w:eastAsia="仿宋" w:cs="Times New Roman"/>
                      <w:color w:val="auto"/>
                      <w:sz w:val="21"/>
                      <w:szCs w:val="21"/>
                      <w:highlight w:val="none"/>
                      <w:lang w:val="en-US" w:eastAsia="zh-CN"/>
                    </w:rPr>
                    <w:t>，泥结碎石路面，道路宽6米。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7"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矿区外道路660平</w:t>
                  </w:r>
                  <w:r>
                    <w:rPr>
                      <w:rFonts w:hint="default" w:ascii="Times New Roman" w:hAnsi="Times New Roman" w:eastAsia="仿宋" w:cs="Times New Roman"/>
                      <w:color w:val="auto"/>
                      <w:sz w:val="21"/>
                      <w:szCs w:val="21"/>
                      <w:highlight w:val="none"/>
                      <w:lang w:val="en-US" w:eastAsia="zh-CN"/>
                    </w:rPr>
                    <w:t>方米</w:t>
                  </w:r>
                  <w:r>
                    <w:rPr>
                      <w:rFonts w:hint="eastAsia" w:eastAsia="仿宋" w:cs="Times New Roman"/>
                      <w:color w:val="auto"/>
                      <w:sz w:val="21"/>
                      <w:szCs w:val="21"/>
                      <w:highlight w:val="none"/>
                      <w:lang w:val="en-US" w:eastAsia="zh-CN"/>
                    </w:rPr>
                    <w:t>，泥结碎石路面，道路宽6米。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磅房</w:t>
                  </w:r>
                </w:p>
              </w:tc>
              <w:tc>
                <w:tcPr>
                  <w:tcW w:w="3922" w:type="pct"/>
                  <w:vAlign w:val="center"/>
                </w:tcPr>
                <w:p>
                  <w:pPr>
                    <w:pStyle w:val="45"/>
                    <w:spacing w:line="240" w:lineRule="auto"/>
                    <w:ind w:firstLine="0" w:firstLineChars="0"/>
                    <w:rPr>
                      <w:rFonts w:hint="eastAsia"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位于厂区出入口，占地10平方米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1" w:hRule="atLeast"/>
                <w:jc w:val="center"/>
              </w:trPr>
              <w:tc>
                <w:tcPr>
                  <w:tcW w:w="419"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环保</w:t>
                  </w:r>
                </w:p>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废气</w:t>
                  </w:r>
                </w:p>
              </w:tc>
              <w:tc>
                <w:tcPr>
                  <w:tcW w:w="3922" w:type="pct"/>
                  <w:tcBorders>
                    <w:bottom w:val="single" w:color="auto" w:sz="4" w:space="0"/>
                  </w:tcBorders>
                  <w:vAlign w:val="center"/>
                </w:tcPr>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开采粉尘：采用雾炮机喷洒降尘；</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筛分粉尘：</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color w:val="auto"/>
                      <w:highlight w:val="none"/>
                    </w:rPr>
                    <w:t>；</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装卸粉尘：雾炮机喷洒降尘，加强管理，规范作业；</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运输道路扬尘：运输车辆篷布遮盖；车辆限速；运输道路每日洒水</w:t>
                  </w:r>
                  <w:r>
                    <w:rPr>
                      <w:rFonts w:hint="eastAsia"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次；运输车辆轮胎冲洗等；</w:t>
                  </w:r>
                </w:p>
                <w:p>
                  <w:pPr>
                    <w:spacing w:line="240" w:lineRule="auto"/>
                    <w:ind w:firstLine="0" w:firstLineChars="0"/>
                    <w:jc w:val="center"/>
                    <w:rPr>
                      <w:rFonts w:hint="default" w:ascii="Times New Roman" w:hAnsi="Times New Roman" w:eastAsia="仿宋" w:cs="Times New Roman"/>
                      <w:color w:val="auto"/>
                      <w:highlight w:val="none"/>
                    </w:rPr>
                  </w:pPr>
                  <w:r>
                    <w:rPr>
                      <w:rFonts w:hint="eastAsia" w:eastAsia="仿宋" w:cs="Times New Roman"/>
                      <w:color w:val="auto"/>
                      <w:highlight w:val="none"/>
                      <w:lang w:val="en-US" w:eastAsia="zh-CN"/>
                    </w:rPr>
                    <w:t>排土场</w:t>
                  </w:r>
                  <w:r>
                    <w:rPr>
                      <w:rFonts w:hint="default" w:ascii="Times New Roman" w:hAnsi="Times New Roman" w:eastAsia="仿宋" w:cs="Times New Roman"/>
                      <w:color w:val="auto"/>
                      <w:highlight w:val="none"/>
                    </w:rPr>
                    <w:t>：洒水保湿，</w:t>
                  </w:r>
                  <w:r>
                    <w:rPr>
                      <w:rFonts w:hint="eastAsia" w:eastAsia="仿宋" w:cs="Times New Roman"/>
                      <w:color w:val="auto"/>
                      <w:highlight w:val="none"/>
                      <w:lang w:val="en-US" w:eastAsia="zh-CN"/>
                    </w:rPr>
                    <w:t>防尘网苫盖</w:t>
                  </w:r>
                  <w:r>
                    <w:rPr>
                      <w:rFonts w:hint="default" w:ascii="Times New Roman" w:hAnsi="Times New Roman" w:eastAsia="仿宋" w:cs="Times New Roman"/>
                      <w:color w:val="auto"/>
                      <w:highlight w:val="none"/>
                    </w:rPr>
                    <w:t>。</w:t>
                  </w:r>
                </w:p>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kern w:val="0"/>
                      <w:sz w:val="21"/>
                      <w:szCs w:val="21"/>
                      <w:highlight w:val="none"/>
                      <w:lang w:val="en-US" w:eastAsia="zh-CN"/>
                    </w:rPr>
                    <w:t>食堂油烟：经油烟净化器处理后排放。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废水处理</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食堂废水经隔油处理后与其他生活污水暂存于化粪池，定期委托个人由吸污泵车拉运至鄯善县污水处理厂处置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噪声处理</w:t>
                  </w:r>
                </w:p>
              </w:tc>
              <w:tc>
                <w:tcPr>
                  <w:tcW w:w="3922"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项目采用低噪声开采、装卸设备，高噪声设备定期维护，运输车辆限速，禁鸣等降噪措施。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固体废物处置</w:t>
                  </w:r>
                </w:p>
              </w:tc>
              <w:tc>
                <w:tcPr>
                  <w:tcW w:w="3922"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筛选废砂石堆放于</w:t>
                  </w:r>
                  <w:r>
                    <w:rPr>
                      <w:rFonts w:hint="default" w:ascii="Times New Roman" w:hAnsi="Times New Roman" w:eastAsia="仿宋" w:cs="Times New Roman"/>
                      <w:color w:val="auto"/>
                      <w:kern w:val="0"/>
                      <w:sz w:val="21"/>
                      <w:szCs w:val="21"/>
                      <w:highlight w:val="none"/>
                      <w:lang w:val="en-US" w:eastAsia="zh-CN"/>
                    </w:rPr>
                    <w:t>排土场</w:t>
                  </w:r>
                  <w:r>
                    <w:rPr>
                      <w:rFonts w:hint="default" w:ascii="Times New Roman" w:hAnsi="Times New Roman" w:eastAsia="仿宋" w:cs="Times New Roman"/>
                      <w:color w:val="auto"/>
                      <w:kern w:val="0"/>
                      <w:sz w:val="21"/>
                      <w:szCs w:val="21"/>
                      <w:highlight w:val="none"/>
                    </w:rPr>
                    <w:t>，闭矿期用于采坑回填整治及土地复垦。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3922"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防渗沉淀池的泥沙自然风干后定期回填至采坑</w:t>
                  </w:r>
                  <w:r>
                    <w:rPr>
                      <w:rFonts w:hint="eastAsia" w:eastAsia="仿宋" w:cs="Times New Roman"/>
                      <w:color w:val="auto"/>
                      <w:kern w:val="0"/>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2"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3922"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生活垃圾集中收集</w:t>
                  </w:r>
                  <w:r>
                    <w:rPr>
                      <w:rFonts w:hint="default" w:ascii="Times New Roman" w:hAnsi="Times New Roman" w:eastAsia="仿宋" w:cs="Times New Roman"/>
                      <w:color w:val="auto"/>
                      <w:kern w:val="0"/>
                      <w:sz w:val="21"/>
                      <w:szCs w:val="21"/>
                      <w:highlight w:val="none"/>
                      <w:lang w:val="en-US" w:eastAsia="zh-CN"/>
                    </w:rPr>
                    <w:t>后拉运至鄯善县垃圾填埋场处置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3922"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rPr>
                    <w:t>废机油</w:t>
                  </w:r>
                  <w:r>
                    <w:rPr>
                      <w:rFonts w:hint="eastAsia" w:eastAsia="仿宋" w:cs="Times New Roman"/>
                      <w:color w:val="auto"/>
                      <w:sz w:val="21"/>
                      <w:szCs w:val="21"/>
                      <w:highlight w:val="none"/>
                      <w:lang w:eastAsia="zh-CN"/>
                    </w:rPr>
                    <w:t>、</w:t>
                  </w:r>
                  <w:r>
                    <w:rPr>
                      <w:rFonts w:hint="eastAsia" w:eastAsia="仿宋" w:cs="Times New Roman"/>
                      <w:color w:val="auto"/>
                      <w:sz w:val="21"/>
                      <w:szCs w:val="21"/>
                      <w:highlight w:val="none"/>
                      <w:lang w:val="en-US" w:eastAsia="zh-CN"/>
                    </w:rPr>
                    <w:t>废机油桶</w:t>
                  </w:r>
                  <w:r>
                    <w:rPr>
                      <w:rFonts w:hint="default" w:ascii="Times New Roman" w:hAnsi="Times New Roman" w:eastAsia="仿宋" w:cs="Times New Roman"/>
                      <w:color w:val="auto"/>
                      <w:sz w:val="21"/>
                      <w:szCs w:val="21"/>
                      <w:highlight w:val="none"/>
                      <w:lang w:val="en-US" w:eastAsia="zh-CN"/>
                    </w:rPr>
                    <w:t>暂存于</w:t>
                  </w:r>
                  <w:r>
                    <w:rPr>
                      <w:rFonts w:hint="default" w:ascii="Times New Roman" w:hAnsi="Times New Roman" w:eastAsia="仿宋" w:cs="Times New Roman"/>
                      <w:color w:val="auto"/>
                      <w:sz w:val="21"/>
                      <w:szCs w:val="21"/>
                      <w:highlight w:val="none"/>
                    </w:rPr>
                    <w:t>危险废物暂存间（</w:t>
                  </w:r>
                  <w:r>
                    <w:rPr>
                      <w:rFonts w:hint="eastAsia" w:eastAsia="仿宋" w:cs="Times New Roman"/>
                      <w:color w:val="auto"/>
                      <w:sz w:val="21"/>
                      <w:szCs w:val="21"/>
                      <w:highlight w:val="none"/>
                      <w:lang w:val="en-US" w:eastAsia="zh-CN"/>
                    </w:rPr>
                    <w:t>位于生活区北侧，</w:t>
                  </w:r>
                  <w:r>
                    <w:rPr>
                      <w:rFonts w:hint="default" w:ascii="Times New Roman" w:hAnsi="Times New Roman" w:eastAsia="仿宋" w:cs="Times New Roman"/>
                      <w:color w:val="auto"/>
                      <w:sz w:val="21"/>
                      <w:szCs w:val="21"/>
                      <w:highlight w:val="none"/>
                      <w:lang w:val="en-US" w:eastAsia="zh-CN"/>
                    </w:rPr>
                    <w:t>约10m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重点防渗</w:t>
                  </w:r>
                  <w:r>
                    <w:rPr>
                      <w:rFonts w:hint="eastAsia" w:eastAsia="仿宋" w:cs="Times New Roman"/>
                      <w:color w:val="auto"/>
                      <w:sz w:val="21"/>
                      <w:szCs w:val="21"/>
                      <w:highlight w:val="none"/>
                      <w:lang w:eastAsia="zh-CN"/>
                    </w:rPr>
                    <w:t>，</w:t>
                  </w:r>
                  <w:r>
                    <w:rPr>
                      <w:rFonts w:hint="eastAsia" w:eastAsia="仿宋" w:cs="Times New Roman"/>
                      <w:color w:val="auto"/>
                      <w:sz w:val="21"/>
                      <w:szCs w:val="21"/>
                      <w:highlight w:val="none"/>
                      <w:lang w:val="en-US" w:eastAsia="zh-CN"/>
                    </w:rPr>
                    <w:t>位于生活区北侧</w:t>
                  </w:r>
                  <w:r>
                    <w:rPr>
                      <w:rFonts w:hint="default" w:ascii="Times New Roman" w:hAnsi="Times New Roman" w:eastAsia="仿宋" w:cs="Times New Roman"/>
                      <w:color w:val="auto"/>
                      <w:sz w:val="21"/>
                      <w:szCs w:val="21"/>
                      <w:highlight w:val="none"/>
                    </w:rPr>
                    <w:t>）后，交由有资质单位处置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41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rPr>
                    <w:t>生态恢复</w:t>
                  </w:r>
                </w:p>
              </w:tc>
              <w:tc>
                <w:tcPr>
                  <w:tcW w:w="3922"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lang w:val="en-US" w:eastAsia="zh-CN"/>
                    </w:rPr>
                    <w:t>按《矿山生态环境保护与恢复治理技术规范(试行)》（HJ651-2013）制定生态恢复治理方案。严格控制占地面积和范围、对受破坏的地表及时进行平整，生态恢复达到本环评提出生态恢复指标</w:t>
                  </w:r>
                  <w:r>
                    <w:rPr>
                      <w:rFonts w:hint="eastAsia" w:eastAsia="仿宋" w:cs="Times New Roman"/>
                      <w:color w:val="auto"/>
                      <w:sz w:val="21"/>
                      <w:szCs w:val="21"/>
                      <w:lang w:val="en-US" w:eastAsia="zh-CN"/>
                    </w:rPr>
                    <w:t>。</w:t>
                  </w:r>
                </w:p>
              </w:tc>
            </w:tr>
          </w:tbl>
          <w:p>
            <w:pPr>
              <w:pStyle w:val="42"/>
              <w:keepNext w:val="0"/>
              <w:keepLines w:val="0"/>
              <w:pageBreakBefore w:val="0"/>
              <w:widowControl w:val="0"/>
              <w:kinsoku/>
              <w:wordWrap/>
              <w:overflowPunct w:val="0"/>
              <w:topLinePunct w:val="0"/>
              <w:autoSpaceDE/>
              <w:autoSpaceDN/>
              <w:bidi w:val="0"/>
              <w:adjustRightInd/>
              <w:snapToGrid/>
              <w:spacing w:before="157" w:beforeLines="50" w:line="360" w:lineRule="auto"/>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表2-3原辅材料及能源消耗一览表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312"/>
              <w:gridCol w:w="1021"/>
              <w:gridCol w:w="741"/>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名称</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用量</w:t>
                  </w:r>
                </w:p>
              </w:tc>
              <w:tc>
                <w:tcPr>
                  <w:tcW w:w="4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单位</w:t>
                  </w:r>
                </w:p>
              </w:tc>
              <w:tc>
                <w:tcPr>
                  <w:tcW w:w="28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1"/>
                    <w:spacing w:line="240" w:lineRule="auto"/>
                    <w:ind w:firstLine="0" w:firstLineChars="0"/>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val="0"/>
                      <w:bCs/>
                      <w:color w:val="auto"/>
                      <w:sz w:val="21"/>
                      <w:szCs w:val="21"/>
                      <w:highlight w:val="none"/>
                      <w:vertAlign w:val="baseline"/>
                      <w:lang w:val="en-US" w:eastAsia="zh-CN"/>
                    </w:rPr>
                    <w:t>土砂石矿</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rPr>
                  </w:pPr>
                  <w:r>
                    <w:rPr>
                      <w:rFonts w:hint="eastAsia" w:eastAsia="仿宋" w:cs="Times New Roman"/>
                      <w:b w:val="0"/>
                      <w:bCs/>
                      <w:color w:val="auto"/>
                      <w:sz w:val="21"/>
                      <w:szCs w:val="21"/>
                      <w:highlight w:val="none"/>
                      <w:vertAlign w:val="baseline"/>
                      <w:lang w:val="en-US" w:eastAsia="zh-CN"/>
                    </w:rPr>
                    <w:t>40</w:t>
                  </w:r>
                  <w:r>
                    <w:rPr>
                      <w:rFonts w:hint="default" w:ascii="Times New Roman" w:hAnsi="Times New Roman" w:eastAsia="仿宋" w:cs="Times New Roman"/>
                      <w:b w:val="0"/>
                      <w:bCs/>
                      <w:color w:val="auto"/>
                      <w:sz w:val="21"/>
                      <w:szCs w:val="21"/>
                      <w:highlight w:val="none"/>
                      <w:vertAlign w:val="baseline"/>
                      <w:lang w:val="en-US" w:eastAsia="zh-CN"/>
                    </w:rPr>
                    <w:t>0000</w:t>
                  </w:r>
                </w:p>
              </w:tc>
              <w:tc>
                <w:tcPr>
                  <w:tcW w:w="4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m</w:t>
                  </w:r>
                  <w:r>
                    <w:rPr>
                      <w:rFonts w:hint="eastAsia"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/a</w:t>
                  </w:r>
                </w:p>
              </w:tc>
              <w:tc>
                <w:tcPr>
                  <w:tcW w:w="28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1"/>
                    <w:spacing w:line="240" w:lineRule="auto"/>
                    <w:ind w:firstLine="0" w:firstLineChars="0"/>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二、能源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水</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47630.7</w:t>
                  </w:r>
                </w:p>
              </w:tc>
              <w:tc>
                <w:tcPr>
                  <w:tcW w:w="4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/a</w:t>
                  </w:r>
                </w:p>
              </w:tc>
              <w:tc>
                <w:tcPr>
                  <w:tcW w:w="28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矿区距连木沁镇7千米，设计矿山配备</w:t>
                  </w:r>
                  <w:r>
                    <w:rPr>
                      <w:rFonts w:hint="eastAsia"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lang w:val="en-US" w:eastAsia="zh-CN"/>
                    </w:rPr>
                    <w:t>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水车，生产生活用水自鄯善连木沁镇拉运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电</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99.58万</w:t>
                  </w:r>
                </w:p>
              </w:tc>
              <w:tc>
                <w:tcPr>
                  <w:tcW w:w="41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kWh</w:t>
                  </w:r>
                </w:p>
              </w:tc>
              <w:tc>
                <w:tcPr>
                  <w:tcW w:w="2815" w:type="pct"/>
                  <w:vAlign w:val="center"/>
                </w:tcPr>
                <w:p>
                  <w:pPr>
                    <w:pStyle w:val="41"/>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矿山外部电源引至连木沁镇供电电网，设计矿山设1台500kVA变压器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3</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柴油</w:t>
                  </w:r>
                </w:p>
              </w:tc>
              <w:tc>
                <w:tcPr>
                  <w:tcW w:w="572" w:type="pct"/>
                  <w:vAlign w:val="center"/>
                </w:tcPr>
                <w:p>
                  <w:pPr>
                    <w:pStyle w:val="41"/>
                    <w:spacing w:line="240" w:lineRule="auto"/>
                    <w:ind w:firstLine="0" w:firstLineChars="0"/>
                    <w:jc w:val="center"/>
                    <w:rPr>
                      <w:rFonts w:hint="eastAsia"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19195</w:t>
                  </w:r>
                </w:p>
              </w:tc>
              <w:tc>
                <w:tcPr>
                  <w:tcW w:w="415" w:type="pct"/>
                  <w:vAlign w:val="center"/>
                </w:tcPr>
                <w:p>
                  <w:pPr>
                    <w:pStyle w:val="41"/>
                    <w:spacing w:line="240" w:lineRule="auto"/>
                    <w:ind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kg/a</w:t>
                  </w:r>
                </w:p>
              </w:tc>
              <w:tc>
                <w:tcPr>
                  <w:tcW w:w="2815" w:type="pct"/>
                  <w:vAlign w:val="center"/>
                </w:tcPr>
                <w:p>
                  <w:pPr>
                    <w:pStyle w:val="41"/>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bCs/>
                      <w:color w:val="auto"/>
                      <w:spacing w:val="10"/>
                      <w:sz w:val="21"/>
                      <w:szCs w:val="21"/>
                      <w:lang w:val="en-US" w:eastAsia="zh-CN"/>
                    </w:rPr>
                    <w:t>由矿区附近能源公司运输提供</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eastAsia="zh-CN"/>
              </w:rPr>
              <w:t>本项目不设置柴油储罐，</w:t>
            </w:r>
            <w:r>
              <w:rPr>
                <w:rFonts w:hint="default" w:ascii="Times New Roman" w:hAnsi="Times New Roman" w:eastAsia="仿宋" w:cs="Times New Roman"/>
                <w:bCs/>
                <w:color w:val="auto"/>
                <w:spacing w:val="10"/>
                <w:sz w:val="24"/>
                <w:szCs w:val="24"/>
                <w:lang w:val="en-US" w:eastAsia="zh-CN"/>
              </w:rPr>
              <w:t>项目每天柴油用量较小，距</w:t>
            </w:r>
            <w:r>
              <w:rPr>
                <w:rFonts w:hint="eastAsia" w:ascii="Times New Roman" w:hAnsi="Times New Roman" w:eastAsia="仿宋" w:cs="Times New Roman"/>
                <w:bCs/>
                <w:color w:val="auto"/>
                <w:spacing w:val="10"/>
                <w:sz w:val="24"/>
                <w:szCs w:val="24"/>
                <w:lang w:val="en-US" w:eastAsia="zh-CN"/>
              </w:rPr>
              <w:t>连木沁镇</w:t>
            </w:r>
            <w:r>
              <w:rPr>
                <w:rFonts w:hint="default" w:ascii="Times New Roman" w:hAnsi="Times New Roman" w:eastAsia="仿宋" w:cs="Times New Roman"/>
                <w:bCs/>
                <w:color w:val="auto"/>
                <w:spacing w:val="10"/>
                <w:sz w:val="24"/>
                <w:szCs w:val="24"/>
                <w:lang w:val="en-US" w:eastAsia="zh-CN"/>
              </w:rPr>
              <w:t>距离较近，便于柴油运送，因此矿区不设柴油储罐区，机械运行所用柴油由矿区附近能源公司运输提供，采用现用现拉运方式可行。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w:t>
            </w:r>
            <w:r>
              <w:rPr>
                <w:rFonts w:hint="default" w:ascii="Times New Roman" w:hAnsi="Times New Roman" w:eastAsia="仿宋" w:cs="Times New Roman"/>
                <w:b/>
                <w:bCs/>
                <w:color w:val="auto"/>
                <w:sz w:val="24"/>
                <w:szCs w:val="24"/>
              </w:rPr>
              <w:t>建设规模及主要工程参数</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根据项目普查报告，矿区范围内建筑用砂石料矿推断资源量119.82</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kern w:val="0"/>
                <w:sz w:val="24"/>
                <w:szCs w:val="24"/>
                <w:lang w:val="en-US" w:eastAsia="zh-CN" w:bidi="ar"/>
              </w:rPr>
              <w:t>，矿山回采率为9</w:t>
            </w:r>
            <w:r>
              <w:rPr>
                <w:rFonts w:hint="eastAsia" w:eastAsia="仿宋" w:cs="Times New Roman"/>
                <w:color w:val="auto"/>
                <w:kern w:val="0"/>
                <w:sz w:val="24"/>
                <w:szCs w:val="24"/>
                <w:lang w:val="en-US" w:eastAsia="zh-CN" w:bidi="ar"/>
              </w:rPr>
              <w:t>7</w:t>
            </w:r>
            <w:r>
              <w:rPr>
                <w:rFonts w:hint="default" w:ascii="Times New Roman" w:hAnsi="Times New Roman" w:eastAsia="仿宋" w:cs="Times New Roman"/>
                <w:color w:val="auto"/>
                <w:kern w:val="0"/>
                <w:sz w:val="24"/>
                <w:szCs w:val="24"/>
                <w:lang w:val="en-US" w:eastAsia="zh-CN" w:bidi="ar"/>
              </w:rPr>
              <w:t>%，矿山服务年限约</w:t>
            </w:r>
            <w:r>
              <w:rPr>
                <w:rFonts w:hint="eastAsia" w:eastAsia="仿宋" w:cs="Times New Roman"/>
                <w:color w:val="auto"/>
                <w:kern w:val="0"/>
                <w:sz w:val="24"/>
                <w:szCs w:val="24"/>
                <w:lang w:val="en-US" w:eastAsia="zh-CN" w:bidi="ar"/>
              </w:rPr>
              <w:t>2.69年</w:t>
            </w:r>
            <w:r>
              <w:rPr>
                <w:rFonts w:hint="default" w:ascii="Times New Roman" w:hAnsi="Times New Roman" w:eastAsia="仿宋" w:cs="Times New Roman"/>
                <w:color w:val="auto"/>
                <w:kern w:val="0"/>
                <w:sz w:val="24"/>
                <w:szCs w:val="24"/>
                <w:lang w:val="en-US" w:eastAsia="zh-CN" w:bidi="ar"/>
              </w:rPr>
              <w:t>。建设规模为建设砂石料</w:t>
            </w:r>
            <w:r>
              <w:rPr>
                <w:rFonts w:hint="eastAsia" w:eastAsia="仿宋" w:cs="Times New Roman"/>
                <w:color w:val="auto"/>
                <w:kern w:val="0"/>
                <w:sz w:val="24"/>
                <w:szCs w:val="24"/>
                <w:lang w:val="en-US" w:eastAsia="zh-CN" w:bidi="ar"/>
              </w:rPr>
              <w:t>1</w:t>
            </w:r>
            <w:r>
              <w:rPr>
                <w:rFonts w:hint="default" w:ascii="Times New Roman" w:hAnsi="Times New Roman" w:eastAsia="仿宋" w:cs="Times New Roman"/>
                <w:color w:val="auto"/>
                <w:kern w:val="0"/>
                <w:sz w:val="24"/>
                <w:szCs w:val="24"/>
                <w:lang w:val="en-US" w:eastAsia="zh-CN" w:bidi="ar"/>
              </w:rPr>
              <w:t>条，年加工砂石料</w:t>
            </w:r>
            <w:r>
              <w:rPr>
                <w:rFonts w:hint="eastAsia" w:eastAsia="仿宋" w:cs="Times New Roman"/>
                <w:color w:val="auto"/>
                <w:sz w:val="24"/>
                <w:szCs w:val="24"/>
                <w:lang w:val="en-US" w:eastAsia="zh-CN"/>
              </w:rPr>
              <w:t>40</w:t>
            </w:r>
            <w:r>
              <w:rPr>
                <w:rFonts w:hint="default" w:ascii="Times New Roman" w:hAnsi="Times New Roman" w:eastAsia="仿宋" w:cs="Times New Roman"/>
                <w:color w:val="auto"/>
                <w:sz w:val="24"/>
                <w:szCs w:val="24"/>
                <w:lang w:val="en-US" w:eastAsia="zh-CN"/>
              </w:rPr>
              <w:t>万</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3</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kern w:val="0"/>
                <w:sz w:val="24"/>
                <w:szCs w:val="24"/>
                <w:lang w:val="en-US" w:eastAsia="zh-CN" w:bidi="ar"/>
              </w:rPr>
              <w:t>本矿山露天开采境界参数如下：</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（1）最低开采标高：390米</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（2）开采边坡角≤30°；</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（3）矿层开采厚度≥3米；</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（4）夹石最小剔除厚度≤2米；</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（5）开采最终底盘≥40m；</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（6）剥采比≤0.5:1</w:t>
            </w:r>
          </w:p>
          <w:p>
            <w:pPr>
              <w:adjustRightInd w:val="0"/>
              <w:snapToGrid w:val="0"/>
              <w:ind w:firstLine="422"/>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开采方式及开采工艺</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（1）采矿方法、方式</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该矿开采、开拓方式为：露天开采，公路运输开拓。</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采矿方法为：直接用</w:t>
            </w:r>
            <w:r>
              <w:rPr>
                <w:rFonts w:hint="eastAsia" w:eastAsia="仿宋" w:cs="Times New Roman"/>
                <w:color w:val="auto"/>
                <w:kern w:val="0"/>
                <w:sz w:val="24"/>
                <w:szCs w:val="24"/>
                <w:lang w:val="en-US" w:eastAsia="zh-CN" w:bidi="ar"/>
              </w:rPr>
              <w:t>挖掘机</w:t>
            </w:r>
            <w:r>
              <w:rPr>
                <w:rFonts w:hint="default" w:ascii="Times New Roman" w:hAnsi="Times New Roman" w:eastAsia="仿宋" w:cs="Times New Roman"/>
                <w:color w:val="auto"/>
                <w:kern w:val="0"/>
                <w:sz w:val="24"/>
                <w:szCs w:val="24"/>
                <w:lang w:val="en-US" w:eastAsia="zh-CN" w:bidi="ar"/>
              </w:rPr>
              <w:t>露天开采。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选矿方法为：用振动筛将砂石矿筛分为不同粒级的砂石成品。</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（2）加工工艺过程</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采、选矿工艺流程：砂石矿→</w:t>
            </w:r>
            <w:r>
              <w:rPr>
                <w:rFonts w:hint="eastAsia" w:eastAsia="仿宋" w:cs="Times New Roman"/>
                <w:color w:val="auto"/>
                <w:kern w:val="0"/>
                <w:sz w:val="24"/>
                <w:szCs w:val="24"/>
                <w:lang w:val="en-US" w:eastAsia="zh-CN" w:bidi="ar"/>
              </w:rPr>
              <w:t>挖掘机</w:t>
            </w:r>
            <w:r>
              <w:rPr>
                <w:rFonts w:hint="default" w:ascii="Times New Roman" w:hAnsi="Times New Roman" w:eastAsia="仿宋" w:cs="Times New Roman"/>
                <w:color w:val="auto"/>
                <w:kern w:val="0"/>
                <w:sz w:val="24"/>
                <w:szCs w:val="24"/>
                <w:lang w:val="en-US" w:eastAsia="zh-CN" w:bidi="ar"/>
              </w:rPr>
              <w:t>露采→振动筛筛分→水洗→砂石料成品→汽车运输→工地。</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eastAsia" w:eastAsia="仿宋" w:cs="Times New Roman"/>
                <w:color w:val="auto"/>
                <w:kern w:val="0"/>
                <w:sz w:val="24"/>
                <w:szCs w:val="24"/>
                <w:lang w:val="en-US" w:eastAsia="zh-CN" w:bidi="ar"/>
              </w:rPr>
              <w:t>（3）</w:t>
            </w:r>
            <w:r>
              <w:rPr>
                <w:rFonts w:hint="default" w:ascii="Times New Roman" w:hAnsi="Times New Roman" w:eastAsia="仿宋" w:cs="Times New Roman"/>
                <w:color w:val="auto"/>
                <w:kern w:val="0"/>
                <w:sz w:val="24"/>
                <w:szCs w:val="24"/>
                <w:lang w:val="en-US" w:eastAsia="zh-CN" w:bidi="ar"/>
              </w:rPr>
              <w:t>开采起点、开采方向和分区开采顺序</w:t>
            </w:r>
          </w:p>
          <w:p>
            <w:pPr>
              <w:adjustRightInd w:val="0"/>
              <w:snapToGrid w:val="0"/>
              <w:ind w:firstLine="422"/>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2"/>
                <w:sz w:val="24"/>
                <w:szCs w:val="24"/>
                <w:highlight w:val="none"/>
                <w:lang w:val="en-US" w:eastAsia="zh-CN" w:bidi="ar-SA"/>
              </w:rPr>
              <w:t>本项目作为G30连霍高速公路哈密至吐峪沟段改扩建工程取料场，</w:t>
            </w:r>
            <w:r>
              <w:rPr>
                <w:rFonts w:hint="eastAsia" w:ascii="Times New Roman" w:hAnsi="Times New Roman" w:eastAsia="仿宋" w:cs="Times New Roman"/>
                <w:color w:val="auto"/>
                <w:kern w:val="2"/>
                <w:sz w:val="24"/>
                <w:szCs w:val="24"/>
                <w:highlight w:val="none"/>
                <w:lang w:val="en-US" w:eastAsia="zh-CN" w:bidi="ar-SA"/>
              </w:rPr>
              <w:t>该项目于2024年2月取得新疆维吾尔自治区生态环境厅关于《G30连霍高速公路哈密至吐峪沟段改扩建工程环境影响报告表的批复》，于2024年1月～2026年12月施工，建设工期3年，</w:t>
            </w:r>
            <w:r>
              <w:rPr>
                <w:rFonts w:hint="eastAsia" w:eastAsia="仿宋" w:cs="Times New Roman"/>
                <w:color w:val="auto"/>
                <w:kern w:val="2"/>
                <w:sz w:val="24"/>
                <w:szCs w:val="24"/>
                <w:highlight w:val="none"/>
                <w:lang w:val="en-US" w:eastAsia="zh-CN" w:bidi="ar-SA"/>
              </w:rPr>
              <w:t>由环评报告可知，本项共设置取土场26个，主要用于主体工程填筑砂砾石料、碎石及砾土，填方量共计22537054m</w:t>
            </w:r>
            <w:r>
              <w:rPr>
                <w:rFonts w:hint="eastAsia" w:eastAsia="仿宋" w:cs="Times New Roman"/>
                <w:color w:val="auto"/>
                <w:kern w:val="2"/>
                <w:sz w:val="24"/>
                <w:szCs w:val="24"/>
                <w:highlight w:val="none"/>
                <w:vertAlign w:val="superscript"/>
                <w:lang w:val="en-US" w:eastAsia="zh-CN" w:bidi="ar-SA"/>
              </w:rPr>
              <w:t>3</w:t>
            </w:r>
            <w:r>
              <w:rPr>
                <w:rFonts w:hint="eastAsia" w:eastAsia="仿宋" w:cs="Times New Roman"/>
                <w:color w:val="auto"/>
                <w:kern w:val="2"/>
                <w:sz w:val="24"/>
                <w:szCs w:val="24"/>
                <w:highlight w:val="none"/>
                <w:lang w:val="en-US" w:eastAsia="zh-CN" w:bidi="ar-SA"/>
              </w:rPr>
              <w:t>，</w:t>
            </w:r>
            <w:r>
              <w:rPr>
                <w:rFonts w:hint="eastAsia" w:eastAsia="仿宋" w:cs="Times New Roman"/>
                <w:color w:val="auto"/>
                <w:kern w:val="0"/>
                <w:sz w:val="24"/>
                <w:szCs w:val="24"/>
                <w:lang w:val="en-US" w:eastAsia="zh-CN" w:bidi="ar"/>
              </w:rPr>
              <w:t>为了保证最终边帮的稳定性和下部水平的工作安全，根据《新疆鄯善县连木沁镇阿克墩村北建筑用砂矿矿产资源开发利用与生态保护修复方案》可知</w:t>
            </w:r>
            <w:r>
              <w:rPr>
                <w:rFonts w:hint="eastAsia" w:ascii="Times New Roman" w:hAnsi="Times New Roman" w:eastAsia="仿宋" w:cs="Times New Roman"/>
                <w:color w:val="auto"/>
                <w:sz w:val="24"/>
                <w:szCs w:val="24"/>
                <w:lang w:val="en-US" w:eastAsia="zh-CN"/>
              </w:rPr>
              <w:t>，本次开采起点为北侧，由北向南，自上而下，分区域，分水平、分台阶开采。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w:t>
            </w:r>
            <w:r>
              <w:rPr>
                <w:rFonts w:hint="eastAsia" w:eastAsia="仿宋" w:cs="Times New Roman"/>
                <w:color w:val="auto"/>
                <w:kern w:val="0"/>
                <w:sz w:val="24"/>
                <w:szCs w:val="24"/>
                <w:lang w:val="en-US" w:eastAsia="zh-CN" w:bidi="ar"/>
              </w:rPr>
              <w:t>4</w:t>
            </w:r>
            <w:r>
              <w:rPr>
                <w:rFonts w:hint="default" w:ascii="Times New Roman" w:hAnsi="Times New Roman" w:eastAsia="仿宋" w:cs="Times New Roman"/>
                <w:color w:val="auto"/>
                <w:kern w:val="0"/>
                <w:sz w:val="24"/>
                <w:szCs w:val="24"/>
                <w:lang w:val="en-US" w:eastAsia="zh-CN" w:bidi="ar"/>
              </w:rPr>
              <w:t>）加工过程输送方式</w:t>
            </w:r>
          </w:p>
          <w:p>
            <w:pPr>
              <w:adjustRightInd w:val="0"/>
              <w:snapToGrid w:val="0"/>
              <w:ind w:firstLine="422"/>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项目加工过程各半成品输送方式采用</w:t>
            </w:r>
            <w:r>
              <w:rPr>
                <w:rFonts w:hint="eastAsia" w:eastAsia="仿宋" w:cs="Times New Roman"/>
                <w:color w:val="auto"/>
                <w:sz w:val="24"/>
                <w:highlight w:val="none"/>
                <w:lang w:val="en-US" w:eastAsia="zh-CN"/>
              </w:rPr>
              <w:t>全</w:t>
            </w:r>
            <w:r>
              <w:rPr>
                <w:rStyle w:val="82"/>
                <w:rFonts w:hint="default" w:ascii="Times New Roman" w:hAnsi="Times New Roman" w:eastAsia="仿宋" w:cs="Times New Roman"/>
                <w:b w:val="0"/>
                <w:bCs w:val="0"/>
                <w:color w:val="auto"/>
                <w:kern w:val="2"/>
                <w:sz w:val="24"/>
                <w:szCs w:val="24"/>
                <w:highlight w:val="none"/>
                <w:lang w:val="en-US" w:eastAsia="zh-CN" w:bidi="ar-SA"/>
              </w:rPr>
              <w:t>封闭式廊道皮带输送方式。</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4、运输方案</w:t>
            </w:r>
          </w:p>
          <w:p>
            <w:pPr>
              <w:adjustRightInd w:val="0"/>
              <w:snapToGrid w:val="0"/>
              <w:ind w:firstLine="420"/>
              <w:rPr>
                <w:rFonts w:hint="default" w:ascii="Times New Roman" w:hAnsi="Times New Roman" w:eastAsia="仿宋" w:cs="Times New Roman"/>
                <w:bCs/>
                <w:color w:val="auto"/>
                <w:kern w:val="0"/>
                <w:sz w:val="24"/>
                <w:szCs w:val="24"/>
                <w:lang w:val="zh-CN"/>
              </w:rPr>
            </w:pPr>
            <w:r>
              <w:rPr>
                <w:rFonts w:hint="eastAsia" w:eastAsia="仿宋" w:cs="Times New Roman"/>
                <w:color w:val="auto"/>
                <w:sz w:val="24"/>
                <w:szCs w:val="24"/>
                <w:highlight w:val="none"/>
                <w:lang w:val="en-US" w:eastAsia="zh-CN"/>
              </w:rPr>
              <w:t>（1）矿区内道路：</w:t>
            </w:r>
            <w:r>
              <w:rPr>
                <w:rFonts w:hint="default" w:ascii="Times New Roman" w:hAnsi="Times New Roman" w:eastAsia="仿宋" w:cs="Times New Roman"/>
                <w:color w:val="auto"/>
                <w:sz w:val="24"/>
                <w:szCs w:val="24"/>
                <w:highlight w:val="none"/>
                <w:lang w:val="en-US" w:eastAsia="zh-CN"/>
              </w:rPr>
              <w:t>矿山拟设新建道路为三级道路，由矿区外南部砂石路通往露天采场，路基宽6米，路面宽4.5米，平均纵坡8%，最小转弯半径15米，道路连接露天采场及矿山各地面布局。占地面积约2100平方米，其中矿区内道路1440平方米，矿区外道路660平方米。</w:t>
            </w:r>
          </w:p>
          <w:p>
            <w:pPr>
              <w:adjustRightInd w:val="0"/>
              <w:snapToGrid w:val="0"/>
              <w:ind w:firstLine="420"/>
              <w:rPr>
                <w:rFonts w:hint="default" w:ascii="Times New Roman" w:hAnsi="Times New Roman" w:eastAsia="仿宋" w:cs="Times New Roman"/>
                <w:bCs/>
                <w:color w:val="auto"/>
                <w:kern w:val="0"/>
                <w:sz w:val="24"/>
                <w:szCs w:val="24"/>
                <w:lang w:val="en-US" w:eastAsia="zh-CN"/>
              </w:rPr>
            </w:pPr>
            <w:r>
              <w:rPr>
                <w:rFonts w:hint="eastAsia" w:ascii="Times New Roman" w:hAnsi="Times New Roman" w:eastAsia="仿宋" w:cs="Times New Roman"/>
                <w:bCs/>
                <w:color w:val="auto"/>
                <w:kern w:val="0"/>
                <w:sz w:val="24"/>
                <w:szCs w:val="24"/>
                <w:lang w:val="en-US" w:eastAsia="zh-CN"/>
              </w:rPr>
              <w:t>（2）矿区外道路：</w:t>
            </w:r>
            <w:r>
              <w:rPr>
                <w:rFonts w:hint="eastAsia" w:eastAsia="仿宋" w:cs="Times New Roman"/>
                <w:color w:val="auto"/>
                <w:sz w:val="24"/>
                <w:szCs w:val="24"/>
                <w:highlight w:val="none"/>
                <w:lang w:val="en-US" w:eastAsia="zh-CN"/>
              </w:rPr>
              <w:t>根据开发利用方案可知，本次新建矿区外道路临时道路，占地面积660平方米，泥结碎石路面，道路宽6米。</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5、产品方案</w:t>
            </w:r>
          </w:p>
          <w:p>
            <w:pPr>
              <w:pStyle w:val="42"/>
              <w:spacing w:line="360" w:lineRule="auto"/>
              <w:ind w:firstLine="480" w:firstLineChars="200"/>
              <w:jc w:val="both"/>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本项目矿山开采产品为</w:t>
            </w:r>
            <w:r>
              <w:rPr>
                <w:rFonts w:hint="default" w:ascii="Times New Roman" w:hAnsi="Times New Roman" w:eastAsia="仿宋" w:cs="Times New Roman"/>
                <w:b w:val="0"/>
                <w:bCs/>
                <w:color w:val="auto"/>
                <w:kern w:val="0"/>
                <w:sz w:val="24"/>
                <w:szCs w:val="24"/>
                <w:lang w:eastAsia="zh-CN"/>
              </w:rPr>
              <w:t>路基填筑料，</w:t>
            </w:r>
            <w:r>
              <w:rPr>
                <w:rFonts w:hint="default" w:ascii="Times New Roman" w:hAnsi="Times New Roman" w:eastAsia="仿宋" w:cs="Times New Roman"/>
                <w:b w:val="0"/>
                <w:bCs/>
                <w:color w:val="auto"/>
                <w:kern w:val="0"/>
                <w:sz w:val="24"/>
                <w:szCs w:val="24"/>
                <w:lang w:val="en-US" w:eastAsia="zh-CN"/>
              </w:rPr>
              <w:t>符合GB/T 14684-2022《建设用砂》，</w:t>
            </w:r>
            <w:r>
              <w:rPr>
                <w:rFonts w:hint="default" w:ascii="Times New Roman" w:hAnsi="Times New Roman" w:eastAsia="仿宋" w:cs="Times New Roman"/>
                <w:b w:val="0"/>
                <w:bCs/>
                <w:color w:val="auto"/>
                <w:kern w:val="0"/>
                <w:sz w:val="24"/>
                <w:szCs w:val="24"/>
              </w:rPr>
              <w:t>主要产品规格见表2-4。</w:t>
            </w:r>
          </w:p>
          <w:p>
            <w:pPr>
              <w:pStyle w:val="42"/>
              <w:spacing w:line="240" w:lineRule="auto"/>
              <w:ind w:firstLine="422" w:firstLineChars="20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表2-4产品方案一览表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189"/>
              <w:gridCol w:w="3295"/>
              <w:gridCol w:w="1125"/>
              <w:gridCol w:w="84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666"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1845"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规格</w:t>
                  </w:r>
                </w:p>
              </w:tc>
              <w:tc>
                <w:tcPr>
                  <w:tcW w:w="1101" w:type="pct"/>
                  <w:gridSpan w:val="2"/>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产量</w:t>
                  </w:r>
                </w:p>
              </w:tc>
              <w:tc>
                <w:tcPr>
                  <w:tcW w:w="1110" w:type="pct"/>
                  <w:vAlign w:val="center"/>
                </w:tcPr>
                <w:p>
                  <w:pPr>
                    <w:pStyle w:val="45"/>
                    <w:spacing w:line="240" w:lineRule="auto"/>
                    <w:ind w:firstLine="0" w:firstLineChars="0"/>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rPr>
                  </w:pPr>
                </w:p>
              </w:tc>
              <w:tc>
                <w:tcPr>
                  <w:tcW w:w="666"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rPr>
                  </w:pPr>
                </w:p>
              </w:tc>
              <w:tc>
                <w:tcPr>
                  <w:tcW w:w="1845"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rPr>
                  </w:pPr>
                </w:p>
              </w:tc>
              <w:tc>
                <w:tcPr>
                  <w:tcW w:w="630" w:type="pc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万m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471" w:type="pc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万t</w:t>
                  </w:r>
                  <w:r>
                    <w:rPr>
                      <w:rFonts w:hint="default" w:ascii="Times New Roman" w:hAnsi="Times New Roman" w:eastAsia="仿宋" w:cs="Times New Roman"/>
                      <w:color w:val="auto"/>
                      <w:sz w:val="21"/>
                      <w:szCs w:val="21"/>
                    </w:rPr>
                    <w:t>/a</w:t>
                  </w:r>
                </w:p>
              </w:tc>
              <w:tc>
                <w:tcPr>
                  <w:tcW w:w="1110" w:type="pct"/>
                  <w:vMerge w:val="restart"/>
                  <w:vAlign w:val="center"/>
                </w:tcPr>
                <w:p>
                  <w:pPr>
                    <w:pStyle w:val="45"/>
                    <w:spacing w:line="240" w:lineRule="auto"/>
                    <w:ind w:firstLine="0" w:firstLineChars="0"/>
                    <w:rPr>
                      <w:rFonts w:hint="eastAsia"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bidi="ar"/>
                    </w:rPr>
                    <w:t>作为G30高速公路</w:t>
                  </w:r>
                  <w:r>
                    <w:rPr>
                      <w:rFonts w:hint="eastAsia" w:ascii="Times New Roman" w:hAnsi="Times New Roman" w:eastAsia="仿宋" w:cs="Times New Roman"/>
                      <w:color w:val="auto"/>
                      <w:kern w:val="2"/>
                      <w:sz w:val="21"/>
                      <w:szCs w:val="21"/>
                      <w:highlight w:val="none"/>
                      <w:lang w:val="en-US" w:eastAsia="zh-CN" w:bidi="ar-SA"/>
                    </w:rPr>
                    <w:t>G30连霍高速公路哈密至吐峪沟段改扩建工程</w:t>
                  </w:r>
                  <w:r>
                    <w:rPr>
                      <w:rFonts w:hint="default" w:ascii="Times New Roman" w:hAnsi="Times New Roman" w:eastAsia="仿宋" w:cs="Times New Roman"/>
                      <w:color w:val="auto"/>
                      <w:kern w:val="0"/>
                      <w:sz w:val="21"/>
                      <w:szCs w:val="21"/>
                      <w:lang w:val="en-US" w:eastAsia="zh-CN" w:bidi="ar"/>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666" w:type="pct"/>
                  <w:vAlign w:val="center"/>
                </w:tcPr>
                <w:p>
                  <w:pPr>
                    <w:pStyle w:val="45"/>
                    <w:spacing w:line="240" w:lineRule="auto"/>
                    <w:ind w:firstLine="0" w:firstLineChars="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建筑用砂矿</w:t>
                  </w:r>
                </w:p>
              </w:tc>
              <w:tc>
                <w:tcPr>
                  <w:tcW w:w="1845" w:type="pct"/>
                  <w:vAlign w:val="center"/>
                </w:tcPr>
                <w:p>
                  <w:pPr>
                    <w:pStyle w:val="45"/>
                    <w:spacing w:line="240" w:lineRule="auto"/>
                    <w:ind w:firstLine="0" w:firstLineChars="0"/>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0.15mm～5mm、5mm～20mm、20mm～40mm</w:t>
                  </w:r>
                </w:p>
              </w:tc>
              <w:tc>
                <w:tcPr>
                  <w:tcW w:w="630" w:type="pct"/>
                  <w:vAlign w:val="center"/>
                </w:tcPr>
                <w:p>
                  <w:pPr>
                    <w:pStyle w:val="45"/>
                    <w:spacing w:line="240" w:lineRule="auto"/>
                    <w:ind w:firstLine="0" w:firstLineChars="0"/>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40</w:t>
                  </w:r>
                </w:p>
              </w:tc>
              <w:tc>
                <w:tcPr>
                  <w:tcW w:w="471" w:type="pct"/>
                  <w:vAlign w:val="center"/>
                </w:tcPr>
                <w:p>
                  <w:pPr>
                    <w:pStyle w:val="45"/>
                    <w:spacing w:line="240" w:lineRule="auto"/>
                    <w:ind w:firstLine="0" w:firstLineChars="0"/>
                    <w:rPr>
                      <w:rFonts w:hint="default" w:eastAsia="仿宋" w:cs="Times New Roman"/>
                      <w:color w:val="auto"/>
                      <w:sz w:val="21"/>
                      <w:szCs w:val="21"/>
                      <w:lang w:val="en-US" w:eastAsia="zh-CN"/>
                    </w:rPr>
                  </w:pPr>
                  <w:r>
                    <w:rPr>
                      <w:rFonts w:hint="eastAsia" w:eastAsia="仿宋" w:cs="Times New Roman"/>
                      <w:color w:val="auto"/>
                      <w:sz w:val="21"/>
                      <w:szCs w:val="21"/>
                      <w:lang w:val="en-US" w:eastAsia="zh-CN"/>
                    </w:rPr>
                    <w:t>60</w:t>
                  </w:r>
                </w:p>
              </w:tc>
              <w:tc>
                <w:tcPr>
                  <w:tcW w:w="1110" w:type="pct"/>
                  <w:vMerge w:val="continue"/>
                  <w:vAlign w:val="center"/>
                </w:tcPr>
                <w:p>
                  <w:pPr>
                    <w:pStyle w:val="45"/>
                    <w:spacing w:line="240" w:lineRule="auto"/>
                    <w:ind w:firstLine="0" w:firstLineChars="0"/>
                    <w:rPr>
                      <w:rFonts w:hint="eastAsia" w:ascii="Times New Roman" w:hAnsi="Times New Roman" w:eastAsia="仿宋" w:cs="Times New Roman"/>
                      <w:color w:val="auto"/>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color w:val="auto"/>
                <w:sz w:val="21"/>
                <w:szCs w:val="21"/>
                <w:lang w:val="en-GB"/>
              </w:rPr>
            </w:pPr>
            <w:r>
              <w:rPr>
                <w:rFonts w:hint="eastAsia" w:eastAsia="仿宋" w:cs="Times New Roman"/>
                <w:color w:val="auto"/>
                <w:sz w:val="21"/>
                <w:szCs w:val="21"/>
                <w:lang w:val="en-US" w:eastAsia="zh-CN"/>
              </w:rPr>
              <w:t>备注：</w:t>
            </w:r>
            <w:r>
              <w:rPr>
                <w:rFonts w:hint="default" w:ascii="Times New Roman" w:hAnsi="Times New Roman" w:eastAsia="仿宋" w:cs="Times New Roman"/>
                <w:color w:val="auto"/>
                <w:sz w:val="21"/>
                <w:szCs w:val="21"/>
                <w:lang w:val="en-GB"/>
              </w:rPr>
              <w:t>建筑用砂比重根据经验值选择1.</w:t>
            </w:r>
            <w:r>
              <w:rPr>
                <w:rFonts w:hint="default" w:ascii="Times New Roman" w:hAnsi="Times New Roman" w:eastAsia="仿宋" w:cs="Times New Roman"/>
                <w:color w:val="auto"/>
                <w:sz w:val="21"/>
                <w:szCs w:val="21"/>
                <w:lang w:val="en-US" w:eastAsia="zh-CN"/>
              </w:rPr>
              <w:t>5</w:t>
            </w:r>
            <w:r>
              <w:rPr>
                <w:rFonts w:hint="default" w:ascii="Times New Roman" w:hAnsi="Times New Roman" w:eastAsia="仿宋" w:cs="Times New Roman"/>
                <w:color w:val="auto"/>
                <w:sz w:val="21"/>
                <w:szCs w:val="21"/>
                <w:lang w:val="en-GB"/>
              </w:rPr>
              <w:t>吨/立方米</w:t>
            </w:r>
          </w:p>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6、主要生产设备</w:t>
            </w:r>
          </w:p>
          <w:p>
            <w:pPr>
              <w:adjustRightInd w:val="0"/>
              <w:snapToGrid w:val="0"/>
              <w:ind w:firstLine="42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4"/>
                <w:szCs w:val="24"/>
              </w:rPr>
              <w:t>本项目主要生产设备见下表：</w:t>
            </w:r>
          </w:p>
          <w:p>
            <w:pPr>
              <w:pStyle w:val="42"/>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表2-5主要生产设备一览表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23"/>
              <w:gridCol w:w="3002"/>
              <w:gridCol w:w="743"/>
              <w:gridCol w:w="133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序号</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设备名称</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型号规格</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单位</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数量</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一</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采矿设备</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全液压挖掘机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DH500LC-7型挖掘机</w:t>
                  </w:r>
                  <w:r>
                    <w:rPr>
                      <w:rFonts w:hint="eastAsia" w:ascii="Times New Roman" w:hAnsi="Times New Roman" w:eastAsia="仿宋" w:cs="Times New Roman"/>
                      <w:color w:val="auto"/>
                      <w:kern w:val="0"/>
                      <w:sz w:val="21"/>
                      <w:szCs w:val="21"/>
                      <w:lang w:val="en-US" w:eastAsia="zh-CN" w:bidi="ar-SA"/>
                    </w:rPr>
                    <w:t>斗容1.9m</w:t>
                  </w:r>
                  <w:r>
                    <w:rPr>
                      <w:rFonts w:hint="eastAsia" w:ascii="Times New Roman" w:hAnsi="Times New Roman" w:eastAsia="仿宋" w:cs="Times New Roman"/>
                      <w:color w:val="auto"/>
                      <w:kern w:val="0"/>
                      <w:sz w:val="21"/>
                      <w:szCs w:val="21"/>
                      <w:vertAlign w:val="superscript"/>
                      <w:lang w:val="en-US" w:eastAsia="zh-CN" w:bidi="ar-SA"/>
                    </w:rPr>
                    <w:t>3</w:t>
                  </w:r>
                  <w:r>
                    <w:rPr>
                      <w:rFonts w:hint="eastAsia" w:ascii="Times New Roman" w:hAnsi="Times New Roman" w:eastAsia="仿宋" w:cs="Times New Roman"/>
                      <w:color w:val="auto"/>
                      <w:kern w:val="0"/>
                      <w:sz w:val="21"/>
                      <w:szCs w:val="21"/>
                      <w:lang w:val="en-US" w:eastAsia="zh-CN" w:bidi="ar-SA"/>
                    </w:rPr>
                    <w:t>，最大挖掘高度11.08m。</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轮胎式装载机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ZL50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矿用自卸卡车</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40t</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辆</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二</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筛分设备</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震动给料机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ZSW9538</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振动筛分机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3YT2570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洗砂机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GX2600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4</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脱水筛</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HS2460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5</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胶带运输机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TYD650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10</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6</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单缸冲击破碎机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PYY300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7</w:t>
                  </w:r>
                </w:p>
              </w:tc>
              <w:tc>
                <w:tcPr>
                  <w:tcW w:w="96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水泵</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ISW50-100，排水量50m</w:t>
                  </w:r>
                  <w:r>
                    <w:rPr>
                      <w:rFonts w:hint="eastAsia" w:ascii="Times New Roman" w:hAnsi="Times New Roman" w:eastAsia="仿宋" w:cs="Times New Roman"/>
                      <w:color w:val="auto"/>
                      <w:kern w:val="0"/>
                      <w:sz w:val="21"/>
                      <w:szCs w:val="21"/>
                      <w:vertAlign w:val="superscript"/>
                      <w:lang w:val="en-US" w:eastAsia="zh-CN" w:bidi="ar-SA"/>
                    </w:rPr>
                    <w:t>3</w:t>
                  </w:r>
                  <w:r>
                    <w:rPr>
                      <w:rFonts w:hint="eastAsia" w:ascii="Times New Roman" w:hAnsi="Times New Roman" w:eastAsia="仿宋" w:cs="Times New Roman"/>
                      <w:color w:val="auto"/>
                      <w:kern w:val="0"/>
                      <w:sz w:val="21"/>
                      <w:szCs w:val="21"/>
                      <w:lang w:val="en-US" w:eastAsia="zh-CN" w:bidi="ar-SA"/>
                    </w:rPr>
                    <w:t>/h，扬程13m，功率3kW</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8</w:t>
                  </w:r>
                </w:p>
              </w:tc>
              <w:tc>
                <w:tcPr>
                  <w:tcW w:w="96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65WQ40-10-3，排水量40m</w:t>
                  </w:r>
                  <w:r>
                    <w:rPr>
                      <w:rFonts w:hint="eastAsia" w:ascii="Times New Roman" w:hAnsi="Times New Roman" w:eastAsia="仿宋" w:cs="Times New Roman"/>
                      <w:color w:val="auto"/>
                      <w:kern w:val="0"/>
                      <w:sz w:val="21"/>
                      <w:szCs w:val="21"/>
                      <w:vertAlign w:val="superscript"/>
                      <w:lang w:val="en-US" w:eastAsia="zh-CN" w:bidi="ar-SA"/>
                    </w:rPr>
                    <w:t>3</w:t>
                  </w:r>
                  <w:r>
                    <w:rPr>
                      <w:rFonts w:hint="eastAsia" w:ascii="Times New Roman" w:hAnsi="Times New Roman" w:eastAsia="仿宋" w:cs="Times New Roman"/>
                      <w:color w:val="auto"/>
                      <w:kern w:val="0"/>
                      <w:sz w:val="21"/>
                      <w:szCs w:val="21"/>
                      <w:lang w:val="en-US" w:eastAsia="zh-CN" w:bidi="ar-SA"/>
                    </w:rPr>
                    <w:t>/h，扬程10m，功率3kW</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三</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辅助设备</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供电设备</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变压器</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S11-500/10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机修设备</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交流电焊机</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BX350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四</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公用设施</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储水罐</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10m</w:t>
                  </w:r>
                  <w:r>
                    <w:rPr>
                      <w:rFonts w:hint="eastAsia" w:ascii="Times New Roman" w:hAnsi="Times New Roman" w:eastAsia="仿宋" w:cs="Times New Roman"/>
                      <w:color w:val="auto"/>
                      <w:kern w:val="0"/>
                      <w:sz w:val="21"/>
                      <w:szCs w:val="21"/>
                      <w:vertAlign w:val="superscript"/>
                      <w:lang w:val="en-US" w:eastAsia="zh-CN" w:bidi="ar-SA"/>
                    </w:rPr>
                    <w:t>3</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个</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清水池</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300m</w:t>
                  </w:r>
                  <w:r>
                    <w:rPr>
                      <w:rFonts w:hint="eastAsia" w:ascii="Times New Roman" w:hAnsi="Times New Roman" w:eastAsia="仿宋" w:cs="Times New Roman"/>
                      <w:color w:val="auto"/>
                      <w:kern w:val="0"/>
                      <w:sz w:val="21"/>
                      <w:szCs w:val="21"/>
                      <w:vertAlign w:val="superscript"/>
                      <w:lang w:val="en-US" w:eastAsia="zh-CN" w:bidi="ar-SA"/>
                    </w:rPr>
                    <w:t>3</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个</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沉淀池</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300m</w:t>
                  </w:r>
                  <w:r>
                    <w:rPr>
                      <w:rFonts w:hint="eastAsia" w:ascii="Times New Roman" w:hAnsi="Times New Roman" w:eastAsia="仿宋" w:cs="Times New Roman"/>
                      <w:color w:val="auto"/>
                      <w:kern w:val="0"/>
                      <w:sz w:val="21"/>
                      <w:szCs w:val="21"/>
                      <w:vertAlign w:val="superscript"/>
                      <w:lang w:val="en-US" w:eastAsia="zh-CN" w:bidi="ar-SA"/>
                    </w:rPr>
                    <w:t>3</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个</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4</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皮卡车</w:t>
                  </w:r>
                </w:p>
              </w:tc>
              <w:tc>
                <w:tcPr>
                  <w:tcW w:w="168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辆</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5</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洒水车</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10t</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辆</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6</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通信设备</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对讲机</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部</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6</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7</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供热设备</w:t>
                  </w:r>
                </w:p>
              </w:tc>
              <w:tc>
                <w:tcPr>
                  <w:tcW w:w="1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CLDR0.015-85/65 15kW</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bidi="ar-SA"/>
                    </w:rPr>
                    <w:t>1</w:t>
                  </w:r>
                </w:p>
              </w:tc>
              <w:tc>
                <w:tcPr>
                  <w:tcW w:w="746"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Times New Roman" w:hAnsi="Times New Roman" w:eastAsia="仿宋" w:cs="Times New Roman"/>
                      <w:color w:val="auto"/>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7、公用工程</w:t>
            </w:r>
          </w:p>
          <w:p>
            <w:pPr>
              <w:keepNext w:val="0"/>
              <w:keepLines w:val="0"/>
              <w:pageBreakBefore w:val="0"/>
              <w:widowControl w:val="0"/>
              <w:kinsoku/>
              <w:wordWrap/>
              <w:overflowPunct/>
              <w:topLinePunct w:val="0"/>
              <w:autoSpaceDE/>
              <w:autoSpaceDN/>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1</w:t>
            </w:r>
            <w:r>
              <w:rPr>
                <w:rFonts w:hint="default" w:ascii="Times New Roman" w:hAnsi="Times New Roman" w:eastAsia="仿宋" w:cs="Times New Roman"/>
                <w:b/>
                <w:color w:val="auto"/>
                <w:sz w:val="24"/>
                <w:szCs w:val="24"/>
              </w:rPr>
              <w:t>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新疆鄯善县连木沁镇阿克墩村北建筑用砂矿</w:t>
            </w:r>
            <w:r>
              <w:rPr>
                <w:rFonts w:hint="default" w:ascii="Times New Roman" w:hAnsi="Times New Roman" w:eastAsia="仿宋" w:cs="Times New Roman"/>
                <w:color w:val="auto"/>
                <w:sz w:val="24"/>
                <w:szCs w:val="24"/>
                <w:lang w:val="en-US" w:eastAsia="zh-CN"/>
              </w:rPr>
              <w:t>矿产资源开发利用与生态保护修复方案》可知，矿山外部电源引至连木沁镇供电电网，设计矿山设1台500kVA变压器，以满足矿区生产及生活用电需要</w:t>
            </w:r>
            <w:r>
              <w:rPr>
                <w:rFonts w:hint="eastAsia" w:eastAsia="仿宋" w:cs="Times New Roman"/>
                <w:color w:val="auto"/>
                <w:sz w:val="24"/>
                <w:szCs w:val="24"/>
                <w:lang w:val="en-US" w:eastAsia="zh-CN"/>
              </w:rPr>
              <w:t>。</w:t>
            </w:r>
          </w:p>
          <w:p>
            <w:pPr>
              <w:pStyle w:val="3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矿山主要电动设备数量为15台，其中机修设备1台，装机容量3kW；供热设备1台，装机容量15kW；筛分设备8台，装机容量433kW；生活用电按10kW估算</w:t>
            </w:r>
            <w:r>
              <w:rPr>
                <w:rFonts w:hint="eastAsia" w:asci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设计矿山年耗电量</w:t>
            </w:r>
            <w:r>
              <w:rPr>
                <w:rFonts w:hint="eastAsia" w:ascii="Times New Roman" w:eastAsia="仿宋" w:cs="Times New Roman"/>
                <w:color w:val="auto"/>
                <w:sz w:val="24"/>
                <w:szCs w:val="24"/>
                <w:lang w:val="en-US" w:eastAsia="zh-CN"/>
              </w:rPr>
              <w:t>99.58万</w:t>
            </w:r>
            <w:r>
              <w:rPr>
                <w:rFonts w:hint="default" w:ascii="Times New Roman" w:hAnsi="Times New Roman" w:eastAsia="仿宋" w:cs="Times New Roman"/>
                <w:color w:val="auto"/>
                <w:sz w:val="24"/>
                <w:szCs w:val="24"/>
                <w:lang w:val="en-US" w:eastAsia="zh-CN"/>
              </w:rPr>
              <w:t>kW·h，单位耗电指标</w:t>
            </w:r>
            <w:r>
              <w:rPr>
                <w:rFonts w:hint="eastAsia" w:ascii="Times New Roman" w:eastAsia="仿宋" w:cs="Times New Roman"/>
                <w:color w:val="auto"/>
                <w:sz w:val="24"/>
                <w:szCs w:val="24"/>
                <w:lang w:val="en-US" w:eastAsia="zh-CN"/>
              </w:rPr>
              <w:t>2.49</w:t>
            </w:r>
            <w:r>
              <w:rPr>
                <w:rFonts w:hint="default" w:ascii="Times New Roman" w:hAnsi="Times New Roman" w:eastAsia="仿宋" w:cs="Times New Roman"/>
                <w:color w:val="auto"/>
                <w:sz w:val="24"/>
                <w:szCs w:val="24"/>
                <w:lang w:val="en-US" w:eastAsia="zh-CN"/>
              </w:rPr>
              <w:t>kW·h/m</w:t>
            </w:r>
            <w:r>
              <w:rPr>
                <w:rFonts w:hint="default" w:ascii="Times New Roman" w:hAnsi="Times New Roman" w:eastAsia="仿宋" w:cs="Times New Roman"/>
                <w:color w:val="auto"/>
                <w:sz w:val="24"/>
                <w:szCs w:val="24"/>
                <w:vertAlign w:val="superscript"/>
                <w:lang w:val="en-US" w:eastAsia="zh-CN"/>
              </w:rPr>
              <w:t>3</w:t>
            </w:r>
            <w:r>
              <w:rPr>
                <w:rStyle w:val="30"/>
                <w:rFonts w:hint="default" w:ascii="Times New Roman" w:hAnsi="Times New Roman" w:eastAsia="仿宋" w:cs="Times New Roman"/>
                <w:color w:val="auto"/>
                <w:sz w:val="24"/>
                <w:szCs w:val="24"/>
              </w:rPr>
              <w:t>。</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color w:val="auto"/>
                <w:sz w:val="24"/>
                <w:szCs w:val="24"/>
              </w:rPr>
              <w:t>供暖</w:t>
            </w:r>
          </w:p>
          <w:p>
            <w:pPr>
              <w:pStyle w:val="37"/>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rPr>
                <w:rStyle w:val="30"/>
                <w:rFonts w:hint="default" w:ascii="Times New Roman" w:hAnsi="Times New Roman" w:eastAsia="仿宋" w:cs="Times New Roman"/>
                <w:color w:val="auto"/>
                <w:sz w:val="24"/>
                <w:szCs w:val="24"/>
              </w:rPr>
            </w:pPr>
            <w:r>
              <w:rPr>
                <w:rStyle w:val="30"/>
                <w:rFonts w:hint="default" w:ascii="Times New Roman" w:hAnsi="Times New Roman" w:eastAsia="仿宋" w:cs="Times New Roman"/>
                <w:color w:val="auto"/>
                <w:sz w:val="24"/>
                <w:szCs w:val="24"/>
                <w:lang w:val="en-US" w:eastAsia="zh-CN"/>
              </w:rPr>
              <w:t>办公生活区</w:t>
            </w:r>
            <w:r>
              <w:rPr>
                <w:rStyle w:val="30"/>
                <w:rFonts w:hint="default" w:ascii="Times New Roman" w:hAnsi="Times New Roman" w:eastAsia="仿宋" w:cs="Times New Roman"/>
                <w:color w:val="auto"/>
                <w:sz w:val="24"/>
                <w:szCs w:val="24"/>
              </w:rPr>
              <w:t>冬季</w:t>
            </w:r>
            <w:r>
              <w:rPr>
                <w:rStyle w:val="30"/>
                <w:rFonts w:hint="default" w:ascii="Times New Roman" w:hAnsi="Times New Roman" w:eastAsia="仿宋" w:cs="Times New Roman"/>
                <w:color w:val="auto"/>
                <w:sz w:val="24"/>
                <w:szCs w:val="24"/>
                <w:lang w:val="en-US" w:eastAsia="zh-CN"/>
              </w:rPr>
              <w:t>供暖采用</w:t>
            </w:r>
            <w:r>
              <w:rPr>
                <w:rStyle w:val="30"/>
                <w:rFonts w:hint="eastAsia" w:ascii="Times New Roman" w:eastAsia="仿宋" w:cs="Times New Roman"/>
                <w:color w:val="auto"/>
                <w:sz w:val="24"/>
                <w:szCs w:val="24"/>
                <w:lang w:val="en-US" w:eastAsia="zh-CN"/>
              </w:rPr>
              <w:t>电暖器</w:t>
            </w:r>
            <w:r>
              <w:rPr>
                <w:rStyle w:val="30"/>
                <w:rFonts w:hint="default" w:ascii="Times New Roman" w:hAnsi="Times New Roman" w:eastAsia="仿宋" w:cs="Times New Roman"/>
                <w:color w:val="auto"/>
                <w:sz w:val="24"/>
                <w:szCs w:val="24"/>
                <w:lang w:val="en-US" w:eastAsia="zh-CN"/>
              </w:rPr>
              <w:t>取暖</w:t>
            </w:r>
            <w:r>
              <w:rPr>
                <w:rStyle w:val="30"/>
                <w:rFonts w:hint="default" w:ascii="Times New Roman" w:hAnsi="Times New Roman" w:eastAsia="仿宋"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bCs/>
                <w:color w:val="auto"/>
                <w:sz w:val="24"/>
                <w:szCs w:val="24"/>
                <w:lang w:val="en-US" w:eastAsia="zh-CN"/>
              </w:rPr>
              <w:t>矿山机修</w:t>
            </w:r>
          </w:p>
          <w:p>
            <w:pPr>
              <w:pStyle w:val="37"/>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矿山生产建设规模</w:t>
            </w:r>
            <w:r>
              <w:rPr>
                <w:rFonts w:hint="eastAsia" w:ascii="Times New Roman" w:eastAsia="仿宋" w:cs="Times New Roman"/>
                <w:color w:val="auto"/>
                <w:sz w:val="24"/>
                <w:szCs w:val="24"/>
                <w:lang w:val="en-US" w:eastAsia="zh-CN"/>
              </w:rPr>
              <w:t>40</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/年，属于大型矿山。矿区距鄯善</w:t>
            </w:r>
            <w:r>
              <w:rPr>
                <w:rFonts w:hint="eastAsia" w:eastAsia="仿宋" w:cs="Times New Roman"/>
                <w:color w:val="auto"/>
                <w:sz w:val="24"/>
                <w:szCs w:val="24"/>
                <w:lang w:val="en-US" w:eastAsia="zh-CN"/>
              </w:rPr>
              <w:t>连木沁镇</w:t>
            </w:r>
            <w:r>
              <w:rPr>
                <w:rFonts w:hint="default" w:ascii="Times New Roman" w:hAnsi="Times New Roman" w:eastAsia="仿宋" w:cs="Times New Roman"/>
                <w:color w:val="auto"/>
                <w:sz w:val="24"/>
                <w:szCs w:val="24"/>
                <w:lang w:val="en-US" w:eastAsia="zh-CN"/>
              </w:rPr>
              <w:t>较近（约</w:t>
            </w:r>
            <w:r>
              <w:rPr>
                <w:rFonts w:hint="eastAsia" w:asci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lang w:val="en-US" w:eastAsia="zh-CN"/>
              </w:rPr>
              <w:t>km左右），矿山设备修理依托鄯善</w:t>
            </w:r>
            <w:r>
              <w:rPr>
                <w:rFonts w:hint="eastAsia" w:ascii="Times New Roman" w:eastAsia="仿宋" w:cs="Times New Roman"/>
                <w:color w:val="auto"/>
                <w:sz w:val="24"/>
                <w:szCs w:val="24"/>
                <w:lang w:val="en-US" w:eastAsia="zh-CN"/>
              </w:rPr>
              <w:t>连木沁镇</w:t>
            </w:r>
            <w:r>
              <w:rPr>
                <w:rFonts w:hint="default" w:ascii="Times New Roman" w:hAnsi="Times New Roman" w:eastAsia="仿宋" w:cs="Times New Roman"/>
                <w:color w:val="auto"/>
                <w:sz w:val="24"/>
                <w:szCs w:val="24"/>
                <w:lang w:val="en-US" w:eastAsia="zh-CN"/>
              </w:rPr>
              <w:t>修理厂，设计矿山不设置设备修理间</w:t>
            </w:r>
            <w:r>
              <w:rPr>
                <w:rFonts w:hint="default" w:ascii="Times New Roman" w:hAnsi="Times New Roman" w:eastAsia="仿宋" w:cs="Times New Roman"/>
                <w:color w:val="auto"/>
                <w:sz w:val="24"/>
                <w:szCs w:val="24"/>
              </w:rPr>
              <w:t>。</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根据项目开发利用与生态保护修复方案可知，矿区距</w:t>
            </w:r>
            <w:r>
              <w:rPr>
                <w:rFonts w:hint="eastAsia" w:eastAsia="仿宋" w:cs="Times New Roman"/>
                <w:color w:val="auto"/>
                <w:sz w:val="24"/>
                <w:szCs w:val="24"/>
                <w:lang w:val="en-US" w:eastAsia="zh-CN"/>
              </w:rPr>
              <w:t>连木沁镇7</w:t>
            </w:r>
            <w:r>
              <w:rPr>
                <w:rFonts w:hint="default" w:ascii="Times New Roman" w:hAnsi="Times New Roman" w:eastAsia="仿宋" w:cs="Times New Roman"/>
                <w:color w:val="auto"/>
                <w:sz w:val="24"/>
                <w:szCs w:val="24"/>
                <w:lang w:val="en-US" w:eastAsia="zh-CN"/>
              </w:rPr>
              <w:t>千米，设计矿山配备</w:t>
            </w: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台20m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水车，生产生活用水自鄯善</w:t>
            </w:r>
            <w:r>
              <w:rPr>
                <w:rFonts w:hint="eastAsia" w:eastAsia="仿宋" w:cs="Times New Roman"/>
                <w:color w:val="auto"/>
                <w:sz w:val="24"/>
                <w:szCs w:val="24"/>
                <w:lang w:val="en-US" w:eastAsia="zh-CN"/>
              </w:rPr>
              <w:t>连木沁镇</w:t>
            </w:r>
            <w:r>
              <w:rPr>
                <w:rFonts w:hint="default" w:ascii="Times New Roman" w:hAnsi="Times New Roman" w:eastAsia="仿宋" w:cs="Times New Roman"/>
                <w:color w:val="auto"/>
                <w:sz w:val="24"/>
                <w:szCs w:val="24"/>
                <w:lang w:val="en-US" w:eastAsia="zh-CN"/>
              </w:rPr>
              <w:t>拉运。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lang w:val="en-US" w:eastAsia="zh-CN"/>
              </w:rPr>
              <w:t>1</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1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①</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开采及装卸降尘用水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项目采用雾炮机对开采、铲装（装卸）、筛分过程中产生的扬尘进行抑制，</w:t>
            </w:r>
            <w:r>
              <w:rPr>
                <w:rFonts w:hint="eastAsia" w:eastAsia="仿宋" w:cs="Times New Roman"/>
                <w:color w:val="auto"/>
                <w:sz w:val="24"/>
                <w:szCs w:val="24"/>
                <w:lang w:val="en-US" w:eastAsia="zh-CN"/>
              </w:rPr>
              <w:t>根据</w:t>
            </w: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新疆鄯善县连木沁镇阿克墩村北建筑用砂矿</w:t>
            </w:r>
            <w:r>
              <w:rPr>
                <w:rFonts w:hint="default" w:ascii="Times New Roman" w:hAnsi="Times New Roman" w:eastAsia="仿宋" w:cs="Times New Roman"/>
                <w:color w:val="auto"/>
                <w:sz w:val="24"/>
                <w:szCs w:val="24"/>
                <w:lang w:val="en-US" w:eastAsia="zh-CN"/>
              </w:rPr>
              <w:t>矿产资源开发利用与生态保护修复方案》可知，</w:t>
            </w:r>
            <w:r>
              <w:rPr>
                <w:rFonts w:hint="default" w:ascii="Times New Roman" w:hAnsi="Times New Roman" w:eastAsia="仿宋" w:cs="Times New Roman"/>
                <w:color w:val="auto"/>
                <w:kern w:val="0"/>
                <w:sz w:val="24"/>
                <w:szCs w:val="24"/>
                <w:highlight w:val="none"/>
              </w:rPr>
              <w:t>抑尘用水量按2L/t-矿石计，项目每日开采约</w:t>
            </w:r>
            <w:r>
              <w:rPr>
                <w:rFonts w:hint="eastAsia" w:eastAsia="仿宋" w:cs="Times New Roman"/>
                <w:color w:val="auto"/>
                <w:kern w:val="0"/>
                <w:sz w:val="24"/>
                <w:szCs w:val="24"/>
                <w:highlight w:val="none"/>
                <w:lang w:val="en-US" w:eastAsia="zh-CN"/>
              </w:rPr>
              <w:t>2222.22</w:t>
            </w:r>
            <w:r>
              <w:rPr>
                <w:rFonts w:hint="default" w:ascii="Times New Roman" w:hAnsi="Times New Roman" w:eastAsia="仿宋" w:cs="Times New Roman"/>
                <w:color w:val="auto"/>
                <w:kern w:val="0"/>
                <w:sz w:val="24"/>
                <w:szCs w:val="24"/>
                <w:highlight w:val="none"/>
              </w:rPr>
              <w:t>t，用水量约</w:t>
            </w:r>
            <w:r>
              <w:rPr>
                <w:rFonts w:hint="eastAsia" w:eastAsia="仿宋" w:cs="Times New Roman"/>
                <w:color w:val="auto"/>
                <w:kern w:val="0"/>
                <w:sz w:val="24"/>
                <w:szCs w:val="24"/>
                <w:highlight w:val="none"/>
                <w:lang w:val="en-US" w:eastAsia="zh-CN"/>
              </w:rPr>
              <w:t>4.44</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120</w:t>
            </w:r>
            <w:r>
              <w:rPr>
                <w:rFonts w:hint="default" w:ascii="Times New Roman" w:hAnsi="Times New Roman" w:eastAsia="仿宋" w:cs="Times New Roman"/>
                <w:color w:val="auto"/>
                <w:kern w:val="0"/>
                <w:sz w:val="24"/>
                <w:szCs w:val="24"/>
                <w:highlight w:val="none"/>
                <w:lang w:val="en-US" w:eastAsia="zh-CN"/>
              </w:rPr>
              <w:t>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2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②</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道路降尘用水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为减少矿山道路运输扬尘，需对道路进行洒水抑尘，矿区内道路面积为</w:t>
            </w:r>
            <w:r>
              <w:rPr>
                <w:rFonts w:hint="eastAsia" w:eastAsia="仿宋" w:cs="Times New Roman"/>
                <w:color w:val="auto"/>
                <w:kern w:val="0"/>
                <w:sz w:val="24"/>
                <w:szCs w:val="24"/>
                <w:highlight w:val="none"/>
                <w:lang w:val="en-US" w:eastAsia="zh-CN"/>
              </w:rPr>
              <w:t>14</w:t>
            </w:r>
            <w:r>
              <w:rPr>
                <w:rFonts w:hint="default" w:ascii="Times New Roman" w:hAnsi="Times New Roman" w:eastAsia="仿宋" w:cs="Times New Roman"/>
                <w:color w:val="auto"/>
                <w:kern w:val="0"/>
                <w:sz w:val="24"/>
                <w:szCs w:val="24"/>
                <w:highlight w:val="none"/>
                <w:lang w:val="en-US" w:eastAsia="zh-CN"/>
              </w:rPr>
              <w:t>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，道路洒水按平均1L/m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•次，每天洒水</w:t>
            </w: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次，洒水量为</w:t>
            </w:r>
            <w:r>
              <w:rPr>
                <w:rFonts w:hint="eastAsia" w:eastAsia="仿宋" w:cs="Times New Roman"/>
                <w:color w:val="auto"/>
                <w:kern w:val="0"/>
                <w:sz w:val="24"/>
                <w:szCs w:val="24"/>
                <w:highlight w:val="none"/>
                <w:lang w:val="en-US" w:eastAsia="zh-CN"/>
              </w:rPr>
              <w:t>2.8</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756</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3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③</w:t>
            </w:r>
            <w:r>
              <w:rPr>
                <w:rFonts w:hint="default" w:ascii="Times New Roman" w:hAnsi="Times New Roman" w:eastAsia="仿宋" w:cs="Times New Roman"/>
                <w:color w:val="auto"/>
                <w:kern w:val="0"/>
                <w:sz w:val="24"/>
                <w:szCs w:val="24"/>
                <w:highlight w:val="none"/>
              </w:rPr>
              <w:fldChar w:fldCharType="end"/>
            </w:r>
            <w:r>
              <w:rPr>
                <w:rFonts w:hint="eastAsia" w:eastAsia="仿宋" w:cs="Times New Roman"/>
                <w:color w:val="auto"/>
                <w:kern w:val="0"/>
                <w:sz w:val="24"/>
                <w:szCs w:val="24"/>
                <w:highlight w:val="none"/>
                <w:lang w:val="en-US" w:eastAsia="zh-CN"/>
              </w:rPr>
              <w:t>排土场</w:t>
            </w:r>
            <w:r>
              <w:rPr>
                <w:rFonts w:hint="default" w:ascii="Times New Roman" w:hAnsi="Times New Roman" w:eastAsia="仿宋" w:cs="Times New Roman"/>
                <w:color w:val="auto"/>
                <w:kern w:val="0"/>
                <w:sz w:val="24"/>
                <w:szCs w:val="24"/>
                <w:highlight w:val="none"/>
              </w:rPr>
              <w:t>降尘用水</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kern w:val="0"/>
                <w:sz w:val="24"/>
                <w:szCs w:val="24"/>
                <w:highlight w:val="none"/>
                <w:lang w:val="en-US" w:eastAsia="zh-CN"/>
              </w:rPr>
              <w:t>排土场</w:t>
            </w:r>
            <w:r>
              <w:rPr>
                <w:rFonts w:hint="default" w:ascii="Times New Roman" w:hAnsi="Times New Roman" w:eastAsia="仿宋" w:cs="Times New Roman"/>
                <w:color w:val="auto"/>
                <w:kern w:val="0"/>
                <w:sz w:val="24"/>
                <w:szCs w:val="24"/>
                <w:highlight w:val="none"/>
              </w:rPr>
              <w:t>占地面积为</w:t>
            </w:r>
            <w:r>
              <w:rPr>
                <w:rFonts w:hint="default" w:ascii="Times New Roman" w:hAnsi="Times New Roman" w:eastAsia="仿宋" w:cs="Times New Roman"/>
                <w:color w:val="auto"/>
                <w:kern w:val="0"/>
                <w:sz w:val="24"/>
                <w:szCs w:val="24"/>
                <w:highlight w:val="none"/>
                <w:lang w:val="en-US" w:eastAsia="zh-CN"/>
              </w:rPr>
              <w:t>10</w:t>
            </w:r>
            <w:r>
              <w:rPr>
                <w:rFonts w:hint="default" w:ascii="Times New Roman" w:hAnsi="Times New Roman" w:eastAsia="仿宋" w:cs="Times New Roman"/>
                <w:color w:val="auto"/>
                <w:kern w:val="0"/>
                <w:sz w:val="24"/>
                <w:szCs w:val="24"/>
                <w:highlight w:val="none"/>
              </w:rPr>
              <w:t>000m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，抑尘用水量按1L/m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·次计算，每日1次，则</w:t>
            </w:r>
            <w:r>
              <w:rPr>
                <w:rFonts w:hint="default" w:ascii="Times New Roman" w:hAnsi="Times New Roman" w:eastAsia="仿宋" w:cs="Times New Roman"/>
                <w:color w:val="auto"/>
                <w:kern w:val="0"/>
                <w:sz w:val="24"/>
                <w:szCs w:val="24"/>
                <w:highlight w:val="none"/>
                <w:lang w:val="en-US" w:eastAsia="zh-CN"/>
              </w:rPr>
              <w:t>排土场</w:t>
            </w:r>
            <w:r>
              <w:rPr>
                <w:rFonts w:hint="default" w:ascii="Times New Roman" w:hAnsi="Times New Roman" w:eastAsia="仿宋" w:cs="Times New Roman"/>
                <w:color w:val="auto"/>
                <w:kern w:val="0"/>
                <w:sz w:val="24"/>
                <w:szCs w:val="24"/>
                <w:highlight w:val="none"/>
              </w:rPr>
              <w:t>用水量为</w:t>
            </w:r>
            <w:r>
              <w:rPr>
                <w:rFonts w:hint="eastAsia" w:eastAsia="仿宋" w:cs="Times New Roman"/>
                <w:color w:val="auto"/>
                <w:kern w:val="0"/>
                <w:sz w:val="24"/>
                <w:szCs w:val="24"/>
                <w:highlight w:val="none"/>
                <w:lang w:val="en-US" w:eastAsia="zh-CN"/>
              </w:rPr>
              <w:t>10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eastAsia" w:eastAsia="仿宋" w:cs="Times New Roman"/>
                <w:color w:val="auto"/>
                <w:kern w:val="0"/>
                <w:sz w:val="24"/>
                <w:szCs w:val="24"/>
                <w:highlight w:val="none"/>
                <w:lang w:val="en-US" w:eastAsia="zh-CN"/>
              </w:rPr>
              <w:t>2700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/a），该部分水被矿石吸收和蒸发，没有废水外排。</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洗砂用水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矿山在筛分时，需用水对砂石料进行冲洗和降尘。根据矿山的供水方案，该矿山设计生产规模4</w:t>
            </w:r>
            <w:r>
              <w:rPr>
                <w:rFonts w:hint="eastAsia" w:eastAsia="仿宋" w:cs="Times New Roman"/>
                <w:color w:val="auto"/>
                <w:sz w:val="24"/>
                <w:szCs w:val="24"/>
                <w:lang w:val="en-US" w:eastAsia="zh-CN"/>
              </w:rPr>
              <w:t>0</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/年，水洗1.0m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原矿需用水0.50m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，矿山年所需水洗的砂石料4</w:t>
            </w:r>
            <w:r>
              <w:rPr>
                <w:rFonts w:hint="eastAsia" w:eastAsia="仿宋" w:cs="Times New Roman"/>
                <w:color w:val="auto"/>
                <w:sz w:val="24"/>
                <w:szCs w:val="24"/>
                <w:lang w:val="en-US" w:eastAsia="zh-CN"/>
              </w:rPr>
              <w:t>0</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，水洗用水量为</w:t>
            </w:r>
            <w:r>
              <w:rPr>
                <w:rFonts w:hint="eastAsia" w:eastAsia="仿宋" w:cs="Times New Roman"/>
                <w:color w:val="auto"/>
                <w:sz w:val="24"/>
                <w:szCs w:val="24"/>
                <w:lang w:val="en-US" w:eastAsia="zh-CN"/>
              </w:rPr>
              <w:t>20</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w:t>
            </w:r>
            <w:r>
              <w:rPr>
                <w:rFonts w:hint="eastAsia" w:eastAsia="仿宋" w:cs="Times New Roman"/>
                <w:color w:val="auto"/>
                <w:sz w:val="24"/>
                <w:szCs w:val="24"/>
                <w:lang w:val="en-US" w:eastAsia="zh-CN"/>
              </w:rPr>
              <w:t>741</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/d）。废水经沉淀后可循环利用，回用率80%，补充新水20%，年需新水量</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val="en-US" w:eastAsia="zh-CN"/>
              </w:rPr>
              <w:t>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/年（1</w:t>
            </w:r>
            <w:r>
              <w:rPr>
                <w:rFonts w:hint="eastAsia" w:eastAsia="仿宋" w:cs="Times New Roman"/>
                <w:color w:val="auto"/>
                <w:sz w:val="24"/>
                <w:szCs w:val="24"/>
                <w:lang w:val="en-US" w:eastAsia="zh-CN"/>
              </w:rPr>
              <w:t>48.2</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/d）。</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（3）</w:t>
            </w:r>
            <w:r>
              <w:rPr>
                <w:rFonts w:hint="default" w:ascii="Times New Roman" w:hAnsi="Times New Roman" w:eastAsia="仿宋" w:cs="Times New Roman"/>
                <w:color w:val="auto"/>
                <w:sz w:val="24"/>
                <w:szCs w:val="24"/>
                <w:highlight w:val="none"/>
                <w:lang w:val="en-US" w:eastAsia="zh-CN"/>
              </w:rPr>
              <w:t>车辆冲洗用水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kern w:val="0"/>
                <w:sz w:val="24"/>
                <w:szCs w:val="24"/>
                <w:highlight w:val="yellow"/>
                <w:lang w:val="en-US" w:eastAsia="zh-CN" w:bidi="ar"/>
              </w:rPr>
            </w:pPr>
            <w:r>
              <w:rPr>
                <w:rFonts w:hint="default" w:ascii="Times New Roman" w:hAnsi="Times New Roman" w:eastAsia="仿宋" w:cs="Times New Roman"/>
                <w:color w:val="auto"/>
                <w:sz w:val="24"/>
                <w:szCs w:val="24"/>
                <w:highlight w:val="none"/>
                <w:lang w:val="en-US" w:eastAsia="zh-CN"/>
              </w:rPr>
              <w:t>本项目产品加工生产规模为</w:t>
            </w:r>
            <w:r>
              <w:rPr>
                <w:rFonts w:hint="eastAsia" w:eastAsia="仿宋" w:cs="Times New Roman"/>
                <w:color w:val="auto"/>
                <w:sz w:val="24"/>
                <w:szCs w:val="24"/>
                <w:highlight w:val="none"/>
                <w:lang w:val="en-US" w:eastAsia="zh-CN"/>
              </w:rPr>
              <w:t>60</w:t>
            </w:r>
            <w:r>
              <w:rPr>
                <w:rFonts w:hint="default" w:ascii="Times New Roman" w:hAnsi="Times New Roman" w:eastAsia="仿宋" w:cs="Times New Roman"/>
                <w:color w:val="auto"/>
                <w:sz w:val="24"/>
                <w:szCs w:val="24"/>
                <w:highlight w:val="none"/>
                <w:lang w:val="en-US" w:eastAsia="zh-CN"/>
              </w:rPr>
              <w:t>万t/a，按照生产装置最大能力的100%计算，每年最大运输原料</w:t>
            </w:r>
            <w:r>
              <w:rPr>
                <w:rFonts w:hint="eastAsia" w:eastAsia="仿宋" w:cs="Times New Roman"/>
                <w:color w:val="auto"/>
                <w:sz w:val="24"/>
                <w:szCs w:val="24"/>
                <w:highlight w:val="none"/>
                <w:lang w:val="en-US" w:eastAsia="zh-CN"/>
              </w:rPr>
              <w:t>60</w:t>
            </w:r>
            <w:r>
              <w:rPr>
                <w:rFonts w:hint="default" w:ascii="Times New Roman" w:hAnsi="Times New Roman" w:eastAsia="仿宋" w:cs="Times New Roman"/>
                <w:color w:val="auto"/>
                <w:sz w:val="24"/>
                <w:szCs w:val="24"/>
                <w:highlight w:val="none"/>
                <w:lang w:val="en-US" w:eastAsia="zh-CN"/>
              </w:rPr>
              <w:t>万吨，按照单车1次运输量最大为10吨计算，每年约需运输</w:t>
            </w:r>
            <w:r>
              <w:rPr>
                <w:rFonts w:hint="eastAsia" w:eastAsia="仿宋" w:cs="Times New Roman"/>
                <w:color w:val="auto"/>
                <w:sz w:val="24"/>
                <w:szCs w:val="24"/>
                <w:highlight w:val="none"/>
                <w:lang w:val="en-US" w:eastAsia="zh-CN"/>
              </w:rPr>
              <w:t>60</w:t>
            </w:r>
            <w:r>
              <w:rPr>
                <w:rFonts w:hint="default" w:ascii="Times New Roman" w:hAnsi="Times New Roman" w:eastAsia="仿宋" w:cs="Times New Roman"/>
                <w:color w:val="auto"/>
                <w:sz w:val="24"/>
                <w:szCs w:val="24"/>
                <w:highlight w:val="none"/>
                <w:lang w:val="en-US" w:eastAsia="zh-CN"/>
              </w:rPr>
              <w:t>000辆/年，每天运输车辆为</w:t>
            </w:r>
            <w:r>
              <w:rPr>
                <w:rFonts w:hint="eastAsia" w:eastAsia="仿宋" w:cs="Times New Roman"/>
                <w:color w:val="auto"/>
                <w:sz w:val="24"/>
                <w:szCs w:val="24"/>
                <w:highlight w:val="none"/>
                <w:lang w:val="en-US" w:eastAsia="zh-CN"/>
              </w:rPr>
              <w:t>223</w:t>
            </w:r>
            <w:r>
              <w:rPr>
                <w:rFonts w:hint="default" w:ascii="Times New Roman" w:hAnsi="Times New Roman" w:eastAsia="仿宋" w:cs="Times New Roman"/>
                <w:color w:val="auto"/>
                <w:sz w:val="24"/>
                <w:szCs w:val="24"/>
                <w:highlight w:val="none"/>
                <w:lang w:val="en-US" w:eastAsia="zh-CN"/>
              </w:rPr>
              <w:t>辆，车辆进出厂区前需对车轮和车身进行冲洗。据调查车辆车轮和车身冲洗水量为0.04m³/辆·，每年冲洗用水为</w:t>
            </w:r>
            <w:r>
              <w:rPr>
                <w:rFonts w:hint="eastAsia" w:eastAsia="仿宋" w:cs="Times New Roman"/>
                <w:color w:val="auto"/>
                <w:sz w:val="24"/>
                <w:szCs w:val="24"/>
                <w:highlight w:val="none"/>
                <w:lang w:val="en-US" w:eastAsia="zh-CN"/>
              </w:rPr>
              <w:t>2400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w:t>
            </w:r>
            <w:r>
              <w:rPr>
                <w:rFonts w:hint="eastAsia" w:eastAsia="仿宋" w:cs="Times New Roman"/>
                <w:color w:val="auto"/>
                <w:sz w:val="24"/>
                <w:szCs w:val="24"/>
                <w:highlight w:val="none"/>
                <w:lang w:val="en-US" w:eastAsia="zh-CN"/>
              </w:rPr>
              <w:t>8.89</w:t>
            </w:r>
            <w:r>
              <w:rPr>
                <w:rFonts w:hint="default" w:ascii="Times New Roman" w:hAnsi="Times New Roman" w:eastAsia="仿宋" w:cs="Times New Roman"/>
                <w:color w:val="auto"/>
                <w:sz w:val="24"/>
                <w:szCs w:val="24"/>
                <w:highlight w:val="none"/>
                <w:lang w:val="en-US" w:eastAsia="zh-CN"/>
              </w:rPr>
              <w:t>m³/d），排污系数按0.9计算，则冲洗车辆的清洗废水量约</w:t>
            </w:r>
            <w:r>
              <w:rPr>
                <w:rFonts w:hint="eastAsia" w:eastAsia="仿宋" w:cs="Times New Roman"/>
                <w:color w:val="auto"/>
                <w:sz w:val="24"/>
                <w:szCs w:val="24"/>
                <w:highlight w:val="none"/>
                <w:lang w:val="en-US" w:eastAsia="zh-CN"/>
              </w:rPr>
              <w:t>2160</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w:t>
            </w:r>
            <w:r>
              <w:rPr>
                <w:rFonts w:hint="eastAsia"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/d）。废水经沉淀池沉淀后回用。</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生活用水：项目劳动定员</w:t>
            </w:r>
            <w:r>
              <w:rPr>
                <w:rFonts w:hint="default" w:ascii="Times New Roman" w:hAnsi="Times New Roman" w:eastAsia="仿宋" w:cs="Times New Roman"/>
                <w:color w:val="auto"/>
                <w:sz w:val="24"/>
                <w:szCs w:val="24"/>
                <w:highlight w:val="none"/>
                <w:lang w:val="en-US" w:eastAsia="zh-CN"/>
              </w:rPr>
              <w:t>26</w:t>
            </w:r>
            <w:r>
              <w:rPr>
                <w:rFonts w:hint="default" w:ascii="Times New Roman" w:hAnsi="Times New Roman" w:eastAsia="仿宋" w:cs="Times New Roman"/>
                <w:color w:val="auto"/>
                <w:sz w:val="24"/>
                <w:szCs w:val="24"/>
                <w:highlight w:val="none"/>
              </w:rPr>
              <w:t>人，用水量按80L/人·d，生活用水量为</w:t>
            </w:r>
            <w:r>
              <w:rPr>
                <w:rFonts w:hint="default" w:ascii="Times New Roman" w:hAnsi="Times New Roman" w:eastAsia="仿宋" w:cs="Times New Roman"/>
                <w:color w:val="auto"/>
                <w:sz w:val="24"/>
                <w:szCs w:val="24"/>
                <w:highlight w:val="none"/>
                <w:lang w:eastAsia="zh-CN"/>
              </w:rPr>
              <w:t>2.08</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/d，年产生天数</w:t>
            </w:r>
            <w:r>
              <w:rPr>
                <w:rFonts w:hint="default" w:ascii="Times New Roman" w:hAnsi="Times New Roman" w:eastAsia="仿宋" w:cs="Times New Roman"/>
                <w:color w:val="auto"/>
                <w:sz w:val="24"/>
                <w:szCs w:val="24"/>
                <w:highlight w:val="none"/>
                <w:lang w:val="en-US" w:eastAsia="zh-CN"/>
              </w:rPr>
              <w:t>270</w:t>
            </w:r>
            <w:r>
              <w:rPr>
                <w:rFonts w:hint="default" w:ascii="Times New Roman" w:hAnsi="Times New Roman" w:eastAsia="仿宋" w:cs="Times New Roman"/>
                <w:color w:val="auto"/>
                <w:sz w:val="24"/>
                <w:szCs w:val="24"/>
                <w:highlight w:val="none"/>
              </w:rPr>
              <w:t>天，合</w:t>
            </w:r>
            <w:r>
              <w:rPr>
                <w:rFonts w:hint="default" w:ascii="Times New Roman" w:hAnsi="Times New Roman" w:eastAsia="仿宋" w:cs="Times New Roman"/>
                <w:color w:val="auto"/>
                <w:sz w:val="24"/>
                <w:szCs w:val="24"/>
                <w:highlight w:val="none"/>
                <w:lang w:eastAsia="zh-CN"/>
              </w:rPr>
              <w:t>561.6</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/a。</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7.</w:t>
            </w:r>
            <w:r>
              <w:rPr>
                <w:rFonts w:hint="default" w:ascii="Times New Roman" w:hAnsi="Times New Roman" w:eastAsia="仿宋" w:cs="Times New Roman"/>
                <w:b/>
                <w:color w:val="auto"/>
                <w:sz w:val="24"/>
                <w:szCs w:val="24"/>
                <w:highlight w:val="none"/>
                <w:lang w:val="en-US" w:eastAsia="zh-CN"/>
              </w:rPr>
              <w:t>5</w:t>
            </w:r>
            <w:r>
              <w:rPr>
                <w:rFonts w:hint="default" w:ascii="Times New Roman" w:hAnsi="Times New Roman" w:eastAsia="仿宋" w:cs="Times New Roman"/>
                <w:b/>
                <w:color w:val="auto"/>
                <w:sz w:val="24"/>
                <w:szCs w:val="24"/>
                <w:highlight w:val="none"/>
              </w:rPr>
              <w:t>排水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项目降尘用水在生产过程中全部挥发，无废水产生，项目产生的废水主要为劳动定员生活污水。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项目生活污水排放量按照用水量的80%进行核算，则生活污水排放总量为</w:t>
            </w:r>
            <w:r>
              <w:rPr>
                <w:rFonts w:hint="default" w:ascii="Times New Roman" w:hAnsi="Times New Roman" w:eastAsia="仿宋" w:cs="Times New Roman"/>
                <w:color w:val="auto"/>
                <w:sz w:val="24"/>
                <w:szCs w:val="24"/>
                <w:highlight w:val="none"/>
                <w:lang w:eastAsia="zh-CN"/>
              </w:rPr>
              <w:t>1.66</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/d，合</w:t>
            </w:r>
            <w:r>
              <w:rPr>
                <w:rFonts w:hint="default" w:ascii="Times New Roman" w:hAnsi="Times New Roman" w:eastAsia="仿宋" w:cs="Times New Roman"/>
                <w:color w:val="auto"/>
                <w:sz w:val="24"/>
                <w:szCs w:val="24"/>
                <w:highlight w:val="none"/>
                <w:lang w:eastAsia="zh-CN"/>
              </w:rPr>
              <w:t>449.28</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/a。</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eastAsia" w:eastAsia="仿宋" w:cs="Times New Roman"/>
                <w:bCs/>
                <w:color w:val="auto"/>
                <w:spacing w:val="10"/>
                <w:kern w:val="2"/>
                <w:sz w:val="24"/>
                <w:szCs w:val="24"/>
                <w:highlight w:val="none"/>
                <w:lang w:val="en-US" w:eastAsia="zh-CN" w:bidi="ar-SA"/>
              </w:rPr>
              <w:t>，</w:t>
            </w:r>
            <w:r>
              <w:rPr>
                <w:rFonts w:hint="default" w:ascii="Times New Roman" w:hAnsi="Times New Roman" w:eastAsia="仿宋" w:cs="Times New Roman"/>
                <w:color w:val="auto"/>
                <w:sz w:val="24"/>
                <w:szCs w:val="24"/>
                <w:highlight w:val="none"/>
              </w:rPr>
              <w:t>项目用水量估算见表2-6，本项目水平衡见图2-</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表2-6用水情况一览表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563"/>
              <w:gridCol w:w="1572"/>
              <w:gridCol w:w="1457"/>
              <w:gridCol w:w="1084"/>
              <w:gridCol w:w="150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7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用水项目</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用水定额</w:t>
                  </w:r>
                </w:p>
              </w:tc>
              <w:tc>
                <w:tcPr>
                  <w:tcW w:w="816"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用水</w:t>
                  </w:r>
                  <w:r>
                    <w:rPr>
                      <w:rFonts w:hint="default" w:ascii="Times New Roman" w:hAnsi="Times New Roman" w:eastAsia="仿宋" w:cs="Times New Roman"/>
                      <w:color w:val="auto"/>
                      <w:sz w:val="21"/>
                      <w:szCs w:val="21"/>
                      <w:highlight w:val="none"/>
                    </w:rPr>
                    <w:t>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color w:val="auto"/>
                      <w:sz w:val="21"/>
                      <w:szCs w:val="21"/>
                      <w:highlight w:val="none"/>
                    </w:rPr>
                    <w:t>/d）</w:t>
                  </w:r>
                </w:p>
              </w:tc>
              <w:tc>
                <w:tcPr>
                  <w:tcW w:w="607"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排污系数</w:t>
                  </w:r>
                </w:p>
              </w:tc>
              <w:tc>
                <w:tcPr>
                  <w:tcW w:w="840"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回用水</w:t>
                  </w:r>
                  <w:r>
                    <w:rPr>
                      <w:rFonts w:hint="default" w:ascii="Times New Roman" w:hAnsi="Times New Roman" w:eastAsia="仿宋" w:cs="Times New Roman"/>
                      <w:bCs/>
                      <w:color w:val="auto"/>
                      <w:sz w:val="21"/>
                      <w:szCs w:val="21"/>
                      <w:highlight w:val="none"/>
                    </w:rPr>
                    <w:t>（m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c>
                <w:tcPr>
                  <w:tcW w:w="73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w:t>
                  </w:r>
                </w:p>
              </w:tc>
              <w:tc>
                <w:tcPr>
                  <w:tcW w:w="87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生活用水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80L/人·d</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2.08</w:t>
                  </w:r>
                </w:p>
              </w:tc>
              <w:tc>
                <w:tcPr>
                  <w:tcW w:w="60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0.8</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开采、装卸及筛分降尘用水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2L/t-矿石</w:t>
                  </w:r>
                </w:p>
              </w:tc>
              <w:tc>
                <w:tcPr>
                  <w:tcW w:w="816"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4.44</w:t>
                  </w:r>
                </w:p>
              </w:tc>
              <w:tc>
                <w:tcPr>
                  <w:tcW w:w="607"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道路降尘用水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2.8</w:t>
                  </w:r>
                </w:p>
              </w:tc>
              <w:tc>
                <w:tcPr>
                  <w:tcW w:w="607"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排土场</w:t>
                  </w:r>
                  <w:r>
                    <w:rPr>
                      <w:rFonts w:hint="default" w:ascii="Times New Roman" w:hAnsi="Times New Roman" w:eastAsia="仿宋" w:cs="Times New Roman"/>
                      <w:bCs/>
                      <w:color w:val="auto"/>
                      <w:sz w:val="21"/>
                      <w:szCs w:val="21"/>
                      <w:highlight w:val="none"/>
                    </w:rPr>
                    <w:t>降尘用水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10</w:t>
                  </w:r>
                </w:p>
              </w:tc>
              <w:tc>
                <w:tcPr>
                  <w:tcW w:w="607"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洗砂用水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0.5m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砂石料</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kern w:val="2"/>
                      <w:sz w:val="21"/>
                      <w:szCs w:val="21"/>
                      <w:highlight w:val="none"/>
                      <w:lang w:val="en-US" w:eastAsia="zh-CN" w:bidi="ar-SA"/>
                    </w:rPr>
                    <w:t>148.2</w:t>
                  </w:r>
                </w:p>
              </w:tc>
              <w:tc>
                <w:tcPr>
                  <w:tcW w:w="60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592.8</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6</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车辆冲洗用水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0.04m³/辆·次</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8.89</w:t>
                  </w:r>
                </w:p>
              </w:tc>
              <w:tc>
                <w:tcPr>
                  <w:tcW w:w="60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0.9</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8</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7</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176.41</w:t>
                  </w:r>
                </w:p>
              </w:tc>
              <w:tc>
                <w:tcPr>
                  <w:tcW w:w="60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600.8</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1.66</w:t>
                  </w:r>
                </w:p>
              </w:tc>
            </w:tr>
          </w:tbl>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4563110</wp:posOffset>
                      </wp:positionH>
                      <wp:positionV relativeFrom="paragraph">
                        <wp:posOffset>401955</wp:posOffset>
                      </wp:positionV>
                      <wp:extent cx="1162050" cy="407035"/>
                      <wp:effectExtent l="6350" t="6350" r="12700" b="24765"/>
                      <wp:wrapNone/>
                      <wp:docPr id="125" name="文本框 2"/>
                      <wp:cNvGraphicFramePr/>
                      <a:graphic xmlns:a="http://schemas.openxmlformats.org/drawingml/2006/main">
                        <a:graphicData uri="http://schemas.microsoft.com/office/word/2010/wordprocessingShape">
                          <wps:wsp>
                            <wps:cNvSpPr/>
                            <wps:spPr>
                              <a:xfrm>
                                <a:off x="0" y="0"/>
                                <a:ext cx="1162050" cy="40703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wps:txbx>
                            <wps:bodyPr upright="1"/>
                          </wps:wsp>
                        </a:graphicData>
                      </a:graphic>
                    </wp:anchor>
                  </w:drawing>
                </mc:Choice>
                <mc:Fallback>
                  <w:pict>
                    <v:rect id="文本框 2" o:spid="_x0000_s1026" o:spt="1" style="position:absolute;left:0pt;margin-left:359.3pt;margin-top:31.65pt;height:32.05pt;width:91.5pt;z-index:251689984;mso-width-relative:page;mso-height-relative:page;" fillcolor="#FFFFFF" filled="t" stroked="t" coordsize="21600,21600" o:gfxdata="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deEr9gAAAAKAQAADwAA&#10;AAAAAAABACAAAAAiAAAAZHJzL2Rvd25yZXYueG1sUEsBAhQAFAAAAAgAh07iQIaXMFJPAgAABQUA&#10;AA4AAAAAAAAAAQAgAAAAJwEAAGRycy9lMm9Eb2MueG1sUEsFBgAAAAAGAAYAWQEAAOgFA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1501775</wp:posOffset>
                      </wp:positionH>
                      <wp:positionV relativeFrom="paragraph">
                        <wp:posOffset>1384935</wp:posOffset>
                      </wp:positionV>
                      <wp:extent cx="608965" cy="378460"/>
                      <wp:effectExtent l="0" t="0" r="0" b="0"/>
                      <wp:wrapNone/>
                      <wp:docPr id="86" name="文本框 25"/>
                      <wp:cNvGraphicFramePr/>
                      <a:graphic xmlns:a="http://schemas.openxmlformats.org/drawingml/2006/main">
                        <a:graphicData uri="http://schemas.microsoft.com/office/word/2010/wordprocessingShape">
                          <wps:wsp>
                            <wps:cNvSpPr/>
                            <wps:spPr>
                              <a:xfrm>
                                <a:off x="0" y="0"/>
                                <a:ext cx="608965"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148.2</w:t>
                                  </w:r>
                                </w:p>
                              </w:txbxContent>
                            </wps:txbx>
                            <wps:bodyPr upright="1"/>
                          </wps:wsp>
                        </a:graphicData>
                      </a:graphic>
                    </wp:anchor>
                  </w:drawing>
                </mc:Choice>
                <mc:Fallback>
                  <w:pict>
                    <v:rect id="文本框 25" o:spid="_x0000_s1026" o:spt="1" style="position:absolute;left:0pt;margin-left:118.25pt;margin-top:109.05pt;height:29.8pt;width:47.95pt;z-index:251663360;mso-width-relative:page;mso-height-relative:page;" filled="f" stroked="f" coordsize="21600,21600" o:gfxdata="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UdDircAAAA&#10;CwEAAA8AAAAAAAAAAQAgAAAAIgAAAGRycy9kb3ducmV2LnhtbFBLAQIUABQAAAAIAIdO4kCKsmbQ&#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148.2</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1066800</wp:posOffset>
                      </wp:positionH>
                      <wp:positionV relativeFrom="paragraph">
                        <wp:posOffset>1407160</wp:posOffset>
                      </wp:positionV>
                      <wp:extent cx="288290" cy="635"/>
                      <wp:effectExtent l="0" t="37465" r="16510" b="38100"/>
                      <wp:wrapNone/>
                      <wp:docPr id="109"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84pt;margin-top:110.8pt;height:0.05pt;width:22.7pt;z-index:251677696;mso-width-relative:page;mso-height-relative:page;" filled="f" stroked="t" coordsize="21600,21600" o:gfxdata="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qi9tgAAAALAQAADwAAAAAAAAABACAAAAAiAAAAZHJzL2Rvd25yZXYueG1sUEsB&#10;AhQAFAAAAAgAh07iQIFyWDj1AQAA4AMAAA4AAAAAAAAAAQAgAAAAJwEAAGRycy9lMm9Eb2MueG1s&#10;UEsFBgAAAAAGAAYAWQEAAI4FA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1650365</wp:posOffset>
                      </wp:positionH>
                      <wp:positionV relativeFrom="paragraph">
                        <wp:posOffset>2000885</wp:posOffset>
                      </wp:positionV>
                      <wp:extent cx="511810" cy="378460"/>
                      <wp:effectExtent l="0" t="0" r="0" b="0"/>
                      <wp:wrapNone/>
                      <wp:docPr id="88" name="文本框 25"/>
                      <wp:cNvGraphicFramePr/>
                      <a:graphic xmlns:a="http://schemas.openxmlformats.org/drawingml/2006/main">
                        <a:graphicData uri="http://schemas.microsoft.com/office/word/2010/wordprocessingShape">
                          <wps:wsp>
                            <wps:cNvSpPr/>
                            <wps:spPr>
                              <a:xfrm>
                                <a:off x="0" y="0"/>
                                <a:ext cx="511810"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8.89</w:t>
                                  </w:r>
                                </w:p>
                              </w:txbxContent>
                            </wps:txbx>
                            <wps:bodyPr upright="1"/>
                          </wps:wsp>
                        </a:graphicData>
                      </a:graphic>
                    </wp:anchor>
                  </w:drawing>
                </mc:Choice>
                <mc:Fallback>
                  <w:pict>
                    <v:rect id="文本框 25" o:spid="_x0000_s1026" o:spt="1" style="position:absolute;left:0pt;margin-left:129.95pt;margin-top:157.55pt;height:29.8pt;width:40.3pt;z-index:251664384;mso-width-relative:page;mso-height-relative:page;" filled="f" stroked="f" coordsize="21600,21600" o:gfxdata="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CWP33QAA&#10;AAsBAAAPAAAAAAAAAAEAIAAAACIAAABkcnMvZG93bnJldi54bWxQSwECFAAUAAAACACHTuJAIjVC&#10;o6cBAABFAwAADgAAAAAAAAABACAAAAAs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8.89</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4733925</wp:posOffset>
                      </wp:positionH>
                      <wp:positionV relativeFrom="paragraph">
                        <wp:posOffset>1731010</wp:posOffset>
                      </wp:positionV>
                      <wp:extent cx="663575" cy="270510"/>
                      <wp:effectExtent l="6350" t="6350" r="15875" b="8890"/>
                      <wp:wrapNone/>
                      <wp:docPr id="106"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沉淀池</w:t>
                                  </w:r>
                                </w:p>
                              </w:txbxContent>
                            </wps:txbx>
                            <wps:bodyPr upright="1"/>
                          </wps:wsp>
                        </a:graphicData>
                      </a:graphic>
                    </wp:anchor>
                  </w:drawing>
                </mc:Choice>
                <mc:Fallback>
                  <w:pict>
                    <v:rect id="文本框 2" o:spid="_x0000_s1026" o:spt="1" style="position:absolute;left:0pt;margin-left:372.75pt;margin-top:136.3pt;height:21.3pt;width:52.25pt;z-index:251676672;mso-width-relative:page;mso-height-relative:page;" fillcolor="#FFFFFF" filled="t" stroked="t" coordsize="21600,21600" o:gfxdata="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LUO62QAAAAsBAAAP&#10;AAAAAAAAAAEAIAAAACIAAABkcnMvZG93bnJldi54bWxQSwECFAAUAAAACACHTuJAZU/hrFACAAAE&#10;BQAADgAAAAAAAAABACAAAAAo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沉淀池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3312160</wp:posOffset>
                      </wp:positionH>
                      <wp:positionV relativeFrom="paragraph">
                        <wp:posOffset>2263775</wp:posOffset>
                      </wp:positionV>
                      <wp:extent cx="608965" cy="378460"/>
                      <wp:effectExtent l="0" t="0" r="0" b="0"/>
                      <wp:wrapNone/>
                      <wp:docPr id="119"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600.8</w:t>
                                  </w:r>
                                </w:p>
                              </w:txbxContent>
                            </wps:txbx>
                            <wps:bodyPr upright="1"/>
                          </wps:wsp>
                        </a:graphicData>
                      </a:graphic>
                    </wp:anchor>
                  </w:drawing>
                </mc:Choice>
                <mc:Fallback>
                  <w:pict>
                    <v:rect id="文本框 25" o:spid="_x0000_s1026" o:spt="1" style="position:absolute;left:0pt;margin-left:260.8pt;margin-top:178.25pt;height:29.8pt;width:47.95pt;z-index:251686912;mso-width-relative:page;mso-height-relative:page;" filled="f" stroked="f" coordsize="21600,21600" o:gfxdata="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GHBA3AAA&#10;AAsBAAAPAAAAAAAAAAEAIAAAACIAAABkcnMvZG93bnJldi54bWxQSwECFAAUAAAACACHTuJA12J5&#10;Wq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600.8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4159885</wp:posOffset>
                      </wp:positionH>
                      <wp:positionV relativeFrom="paragraph">
                        <wp:posOffset>225425</wp:posOffset>
                      </wp:positionV>
                      <wp:extent cx="646430" cy="279400"/>
                      <wp:effectExtent l="0" t="0" r="0" b="0"/>
                      <wp:wrapNone/>
                      <wp:docPr id="20" name="文本框 21"/>
                      <wp:cNvGraphicFramePr/>
                      <a:graphic xmlns:a="http://schemas.openxmlformats.org/drawingml/2006/main">
                        <a:graphicData uri="http://schemas.microsoft.com/office/word/2010/wordprocessingShape">
                          <wps:wsp>
                            <wps:cNvSpPr/>
                            <wps:spPr>
                              <a:xfrm>
                                <a:off x="0" y="0"/>
                                <a:ext cx="646761" cy="279696"/>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1.66</w:t>
                                  </w:r>
                                </w:p>
                              </w:txbxContent>
                            </wps:txbx>
                            <wps:bodyPr upright="1"/>
                          </wps:wsp>
                        </a:graphicData>
                      </a:graphic>
                    </wp:anchor>
                  </w:drawing>
                </mc:Choice>
                <mc:Fallback>
                  <w:pict>
                    <v:rect id="文本框 21" o:spid="_x0000_s1026" o:spt="1" style="position:absolute;left:0pt;margin-left:327.55pt;margin-top:17.75pt;height:22pt;width:50.9pt;z-index:251691008;mso-width-relative:page;mso-height-relative:page;" filled="f" stroked="f" coordsize="21600,21600" o:gfxdata="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f87JdoAAAAJAQAA&#10;DwAAAAAAAAABACAAAAAiAAAAZHJzL2Rvd25yZXYueG1sUEsBAhQAFAAAAAgAh07iQP44MdGlAQAA&#10;RQMAAA4AAAAAAAAAAQAgAAAAKQEAAGRycy9lMm9Eb2MueG1sUEsFBgAAAAAGAAYAWQEAAEAFAAAA&#10;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1.66</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4308475</wp:posOffset>
                      </wp:positionH>
                      <wp:positionV relativeFrom="paragraph">
                        <wp:posOffset>531495</wp:posOffset>
                      </wp:positionV>
                      <wp:extent cx="288290" cy="635"/>
                      <wp:effectExtent l="0" t="37465" r="16510" b="38100"/>
                      <wp:wrapNone/>
                      <wp:docPr id="124"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9.25pt;margin-top:41.85pt;height:0.05pt;width:22.7pt;z-index:251688960;mso-width-relative:page;mso-height-relative:page;" filled="f" stroked="t" coordsize="21600,21600" o:gfxdata="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JxL2AAAAAkBAAAPAAAAAAAAAAEAIAAAACIAAABkcnMvZG93bnJldi54bWxQSwEC&#10;FAAUAAAACACHTuJAZrziI/QBAADgAwAADgAAAAAAAAABACAAAAAnAQAAZHJzL2Uyb0RvYy54bWxQ&#10;SwUGAAAAAAYABgBZAQAAjQ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3639185</wp:posOffset>
                      </wp:positionH>
                      <wp:positionV relativeFrom="paragraph">
                        <wp:posOffset>393065</wp:posOffset>
                      </wp:positionV>
                      <wp:extent cx="663575" cy="270510"/>
                      <wp:effectExtent l="6350" t="6350" r="15875" b="8890"/>
                      <wp:wrapNone/>
                      <wp:docPr id="121"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化粪池池</w:t>
                                  </w:r>
                                </w:p>
                              </w:txbxContent>
                            </wps:txbx>
                            <wps:bodyPr upright="1"/>
                          </wps:wsp>
                        </a:graphicData>
                      </a:graphic>
                    </wp:anchor>
                  </w:drawing>
                </mc:Choice>
                <mc:Fallback>
                  <w:pict>
                    <v:rect id="文本框 2" o:spid="_x0000_s1026" o:spt="1" style="position:absolute;left:0pt;margin-left:286.55pt;margin-top:30.95pt;height:21.3pt;width:52.25pt;z-index:251687936;mso-width-relative:page;mso-height-relative:page;" fillcolor="#FFFFFF" filled="t" stroked="t" coordsize="21600,21600" o:gfxdata="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i2dN2AAAAAoBAAAP&#10;AAAAAAAAAAEAIAAAACIAAABkcnMvZG93bnJldi54bWxQSwECFAAUAAAACACHTuJAgA2Q7lECAAAE&#10;BQAADgAAAAAAAAABACAAAAAn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化粪池池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4155440</wp:posOffset>
                      </wp:positionH>
                      <wp:positionV relativeFrom="paragraph">
                        <wp:posOffset>1671955</wp:posOffset>
                      </wp:positionV>
                      <wp:extent cx="608965" cy="378460"/>
                      <wp:effectExtent l="0" t="0" r="0" b="0"/>
                      <wp:wrapNone/>
                      <wp:docPr id="118"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600.8</w:t>
                                  </w:r>
                                </w:p>
                              </w:txbxContent>
                            </wps:txbx>
                            <wps:bodyPr upright="1"/>
                          </wps:wsp>
                        </a:graphicData>
                      </a:graphic>
                    </wp:anchor>
                  </w:drawing>
                </mc:Choice>
                <mc:Fallback>
                  <w:pict>
                    <v:rect id="文本框 25" o:spid="_x0000_s1026" o:spt="1" style="position:absolute;left:0pt;margin-left:327.2pt;margin-top:131.65pt;height:29.8pt;width:47.95pt;z-index:251685888;mso-width-relative:page;mso-height-relative:page;" filled="f" stroked="f" coordsize="21600,21600" o:gfxdata="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J5Md3AAA&#10;AAsBAAAPAAAAAAAAAAEAIAAAACIAAABkcnMvZG93bnJldi54bWxQSwECFAAUAAAACACHTuJAomRD&#10;B6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600.8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3719195</wp:posOffset>
                      </wp:positionH>
                      <wp:positionV relativeFrom="paragraph">
                        <wp:posOffset>1992630</wp:posOffset>
                      </wp:positionV>
                      <wp:extent cx="608965" cy="378460"/>
                      <wp:effectExtent l="0" t="0" r="0" b="0"/>
                      <wp:wrapNone/>
                      <wp:docPr id="117"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8</w:t>
                                  </w:r>
                                </w:p>
                              </w:txbxContent>
                            </wps:txbx>
                            <wps:bodyPr upright="1"/>
                          </wps:wsp>
                        </a:graphicData>
                      </a:graphic>
                    </wp:anchor>
                  </w:drawing>
                </mc:Choice>
                <mc:Fallback>
                  <w:pict>
                    <v:rect id="文本框 25" o:spid="_x0000_s1026" o:spt="1" style="position:absolute;left:0pt;margin-left:292.85pt;margin-top:156.9pt;height:29.8pt;width:47.95pt;z-index:251684864;mso-width-relative:page;mso-height-relative:page;" filled="f" stroked="f" coordsize="21600,21600" o:gfxdata="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mZQY3AAA&#10;AAsBAAAPAAAAAAAAAAEAIAAAACIAAABkcnMvZG93bnJldi54bWxQSwECFAAUAAAACACHTuJAw0jX&#10;y6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3665855</wp:posOffset>
                      </wp:positionH>
                      <wp:positionV relativeFrom="paragraph">
                        <wp:posOffset>1324610</wp:posOffset>
                      </wp:positionV>
                      <wp:extent cx="608965" cy="378460"/>
                      <wp:effectExtent l="0" t="0" r="0" b="0"/>
                      <wp:wrapNone/>
                      <wp:docPr id="116"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592.8</w:t>
                                  </w:r>
                                </w:p>
                              </w:txbxContent>
                            </wps:txbx>
                            <wps:bodyPr upright="1"/>
                          </wps:wsp>
                        </a:graphicData>
                      </a:graphic>
                    </wp:anchor>
                  </w:drawing>
                </mc:Choice>
                <mc:Fallback>
                  <w:pict>
                    <v:rect id="文本框 25" o:spid="_x0000_s1026" o:spt="1" style="position:absolute;left:0pt;margin-left:288.65pt;margin-top:104.3pt;height:29.8pt;width:47.95pt;z-index:251683840;mso-width-relative:page;mso-height-relative:page;" filled="f" stroked="f" coordsize="21600,21600" o:gfxdata="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w3KnHbAAAA&#10;CwEAAA8AAAAAAAAAAQAgAAAAIgAAAGRycy9kb3ducmV2LnhtbFBLAQIUABQAAAAIAIdO4kC2Tu2W&#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592.8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1026795</wp:posOffset>
                      </wp:positionH>
                      <wp:positionV relativeFrom="paragraph">
                        <wp:posOffset>2303145</wp:posOffset>
                      </wp:positionV>
                      <wp:extent cx="1143635" cy="635"/>
                      <wp:effectExtent l="0" t="37465" r="18415" b="38100"/>
                      <wp:wrapNone/>
                      <wp:docPr id="115" name="直接连接符 7"/>
                      <wp:cNvGraphicFramePr/>
                      <a:graphic xmlns:a="http://schemas.openxmlformats.org/drawingml/2006/main">
                        <a:graphicData uri="http://schemas.microsoft.com/office/word/2010/wordprocessingShape">
                          <wps:wsp>
                            <wps:cNvCnPr/>
                            <wps:spPr>
                              <a:xfrm>
                                <a:off x="0" y="0"/>
                                <a:ext cx="1143635" cy="63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7" o:spid="_x0000_s1026" o:spt="20" style="position:absolute;left:0pt;margin-left:80.85pt;margin-top:181.35pt;height:0.05pt;width:90.05pt;z-index:251682816;mso-width-relative:page;mso-height-relative:page;" filled="f" stroked="t" coordsize="21600,21600" o:gfxdata="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Sbr02gAAAAsBAAAPAAAAAAAAAAEAIAAAACIAAABkcnMvZG93bnJldi54bWxQ&#10;SwECFAAUAAAACACHTuJArICDTfUBAADgAwAADgAAAAAAAAABACAAAAApAQAAZHJzL2Uyb0RvYy54&#10;bWxQSwUGAAAAAAYABgBZAQAAkA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1034415</wp:posOffset>
                      </wp:positionH>
                      <wp:positionV relativeFrom="paragraph">
                        <wp:posOffset>1678940</wp:posOffset>
                      </wp:positionV>
                      <wp:extent cx="1143635" cy="635"/>
                      <wp:effectExtent l="0" t="37465" r="18415" b="38100"/>
                      <wp:wrapNone/>
                      <wp:docPr id="114" name="直接连接符 7"/>
                      <wp:cNvGraphicFramePr/>
                      <a:graphic xmlns:a="http://schemas.openxmlformats.org/drawingml/2006/main">
                        <a:graphicData uri="http://schemas.microsoft.com/office/word/2010/wordprocessingShape">
                          <wps:wsp>
                            <wps:cNvCnPr/>
                            <wps:spPr>
                              <a:xfrm>
                                <a:off x="0" y="0"/>
                                <a:ext cx="1143635" cy="63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7" o:spid="_x0000_s1026" o:spt="20" style="position:absolute;left:0pt;margin-left:81.45pt;margin-top:132.2pt;height:0.05pt;width:90.05pt;z-index:251681792;mso-width-relative:page;mso-height-relative:page;" filled="f" stroked="t" coordsize="21600,21600" o:gfxdata="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RS7d2wAAAAsBAAAPAAAAAAAAAAEAIAAAACIAAABkcnMvZG93bnJldi54bWxQ&#10;SwECFAAUAAAACACHTuJAEKLGQ/QBAADgAwAADgAAAAAAAAABACAAAAAqAQAAZHJzL2Uyb0RvYy54&#10;bWxQSwUGAAAAAAYABgBZAQAAkA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1029970</wp:posOffset>
                      </wp:positionH>
                      <wp:positionV relativeFrom="paragraph">
                        <wp:posOffset>1664970</wp:posOffset>
                      </wp:positionV>
                      <wp:extent cx="1270" cy="846455"/>
                      <wp:effectExtent l="4445" t="0" r="13335" b="10795"/>
                      <wp:wrapNone/>
                      <wp:docPr id="113" name="直接连接符 113"/>
                      <wp:cNvGraphicFramePr/>
                      <a:graphic xmlns:a="http://schemas.openxmlformats.org/drawingml/2006/main">
                        <a:graphicData uri="http://schemas.microsoft.com/office/word/2010/wordprocessingShape">
                          <wps:wsp>
                            <wps:cNvCnPr/>
                            <wps:spPr>
                              <a:xfrm>
                                <a:off x="0" y="0"/>
                                <a:ext cx="1270" cy="846455"/>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1.1pt;margin-top:131.1pt;height:66.65pt;width:0.1pt;z-index:251680768;mso-width-relative:page;mso-height-relative:page;" filled="f" stroked="t" coordsize="21600,21600" o:gfxdata="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R3i4vYAAAACwEAAA8AAAAA&#10;AAAAAQAgAAAAIgAAAGRycy9kb3ducmV2LnhtbFBLAQIUABQAAAAIAIdO4kACXkLPFAIAACwEAAAO&#10;AAAAAAAAAAEAIAAAACcBAABkcnMvZTJvRG9jLnhtbFBLBQYAAAAABgAGAFkBAACtBQAAAAA=&#10;">
                      <v:fill on="f" focussize="0,0"/>
                      <v:stroke color="#000000 [3200]" joinstyle="round" dashstyle="dash"/>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5066030</wp:posOffset>
                      </wp:positionH>
                      <wp:positionV relativeFrom="paragraph">
                        <wp:posOffset>2001520</wp:posOffset>
                      </wp:positionV>
                      <wp:extent cx="12700" cy="501650"/>
                      <wp:effectExtent l="4445" t="0" r="20955" b="12700"/>
                      <wp:wrapNone/>
                      <wp:docPr id="111" name="直接连接符 111"/>
                      <wp:cNvGraphicFramePr/>
                      <a:graphic xmlns:a="http://schemas.openxmlformats.org/drawingml/2006/main">
                        <a:graphicData uri="http://schemas.microsoft.com/office/word/2010/wordprocessingShape">
                          <wps:wsp>
                            <wps:cNvCnPr>
                              <a:stCxn id="106" idx="2"/>
                            </wps:cNvCnPr>
                            <wps:spPr>
                              <a:xfrm>
                                <a:off x="6059805" y="8648700"/>
                                <a:ext cx="12700" cy="501650"/>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8.9pt;margin-top:157.6pt;height:39.5pt;width:1pt;z-index:251678720;mso-width-relative:page;mso-height-relative:page;" filled="f" stroked="t" coordsize="21600,21600" o:gfxdata="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JKA32QAAAAsBAAAPAAAAAAAAAAEAIAAAACIAAABkcnMvZG93bnJldi54&#10;bWxQSwECFAAUAAAACACHTuJAJFz7vzICAABhBAAADgAAAAAAAAABACAAAAAoAQAAZHJzL2Uyb0Rv&#10;Yy54bWxQSwUGAAAAAAYABgBZAQAAzAUAAAAA&#10;">
                      <v:fill on="f" focussize="0,0"/>
                      <v:stroke color="#000000 [3200]" joinstyle="round" dashstyle="dash"/>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4276725</wp:posOffset>
                      </wp:positionH>
                      <wp:positionV relativeFrom="paragraph">
                        <wp:posOffset>1885950</wp:posOffset>
                      </wp:positionV>
                      <wp:extent cx="288290" cy="635"/>
                      <wp:effectExtent l="0" t="37465" r="16510" b="38100"/>
                      <wp:wrapNone/>
                      <wp:docPr id="105"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6.75pt;margin-top:148.5pt;height:0.05pt;width:22.7pt;z-index:251675648;mso-width-relative:page;mso-height-relative:page;" filled="f" stroked="t" coordsize="21600,21600" o:gfxdata="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CZlrZAAAACwEAAA8AAAAAAAAAAQAgAAAAIgAAAGRycy9kb3ducmV2LnhtbFBL&#10;AQIUABQAAAAIAIdO4kCR7WVz9QEAAOADAAAOAAAAAAAAAAEAIAAAACg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4269740</wp:posOffset>
                      </wp:positionH>
                      <wp:positionV relativeFrom="paragraph">
                        <wp:posOffset>1548765</wp:posOffset>
                      </wp:positionV>
                      <wp:extent cx="635" cy="659130"/>
                      <wp:effectExtent l="6350" t="0" r="12065" b="7620"/>
                      <wp:wrapNone/>
                      <wp:docPr id="104" name="直接连接符 104"/>
                      <wp:cNvGraphicFramePr/>
                      <a:graphic xmlns:a="http://schemas.openxmlformats.org/drawingml/2006/main">
                        <a:graphicData uri="http://schemas.microsoft.com/office/word/2010/wordprocessingShape">
                          <wps:wsp>
                            <wps:cNvCnPr/>
                            <wps:spPr>
                              <a:xfrm flipH="1">
                                <a:off x="5440045" y="8188960"/>
                                <a:ext cx="635" cy="65913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336.2pt;margin-top:121.95pt;height:51.9pt;width:0.05pt;z-index:251674624;mso-width-relative:page;mso-height-relative:page;" filled="f" stroked="t" coordsize="21600,21600" o:gfxdata="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RLA02wAAAAsBAAAPAAAAAAAAAAEAIAAAACIA&#10;AABkcnMvZG93bnJldi54bWxQSwECFAAUAAAACACHTuJAsPE9FwYCAAD0AwAADgAAAAAAAAABACAA&#10;AAAqAQAAZHJzL2Uyb0RvYy54bWxQSwUGAAAAAAYABgBZAQAAogU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3210560</wp:posOffset>
                      </wp:positionH>
                      <wp:positionV relativeFrom="paragraph">
                        <wp:posOffset>2216785</wp:posOffset>
                      </wp:positionV>
                      <wp:extent cx="1068705" cy="63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0687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52.8pt;margin-top:174.55pt;height:0.05pt;width:84.15pt;z-index:251673600;mso-width-relative:page;mso-height-relative:page;" filled="f" stroked="t" coordsize="21600,21600" o:gfxdata="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PX7/aAAAACwEAAA8AAAAAAAAAAQAgAAAAIgAAAGRycy9kb3ducmV2Lnht&#10;bFBLAQIUABQAAAAIAIdO4kByGEv09wEAAOkDAAAOAAAAAAAAAAEAIAAAACkBAABkcnMvZTJvRG9j&#10;LnhtbFBLBQYAAAAABgAGAFkBAACSBQ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2915285</wp:posOffset>
                      </wp:positionH>
                      <wp:positionV relativeFrom="paragraph">
                        <wp:posOffset>1548765</wp:posOffset>
                      </wp:positionV>
                      <wp:extent cx="1354455" cy="635"/>
                      <wp:effectExtent l="0" t="0" r="0" b="0"/>
                      <wp:wrapNone/>
                      <wp:docPr id="102" name="直接连接符 102"/>
                      <wp:cNvGraphicFramePr/>
                      <a:graphic xmlns:a="http://schemas.openxmlformats.org/drawingml/2006/main">
                        <a:graphicData uri="http://schemas.microsoft.com/office/word/2010/wordprocessingShape">
                          <wps:wsp>
                            <wps:cNvCnPr/>
                            <wps:spPr>
                              <a:xfrm flipV="1">
                                <a:off x="4085590" y="8233410"/>
                                <a:ext cx="135445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9.55pt;margin-top:121.95pt;height:0.05pt;width:106.65pt;z-index:251672576;mso-width-relative:page;mso-height-relative:page;" filled="f" stroked="t" coordsize="21600,21600" o:gfxdata="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CMnZNsAAAALAQAADwAAAAAAAAABACAAAAAiAAAA&#10;ZHJzL2Rvd25yZXYueG1sUEsBAhQAFAAAAAgAh07iQP/+/6kEAgAA9QMAAA4AAAAAAAAAAQAgAAAA&#10;KgEAAGRycy9lMm9Eb2MueG1sUEsFBgAAAAAGAAYAWQEAAKAFA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3704590</wp:posOffset>
                      </wp:positionH>
                      <wp:positionV relativeFrom="paragraph">
                        <wp:posOffset>1541780</wp:posOffset>
                      </wp:positionV>
                      <wp:extent cx="548005" cy="315595"/>
                      <wp:effectExtent l="0" t="0" r="0" b="0"/>
                      <wp:wrapNone/>
                      <wp:docPr id="97" name="文本框 20"/>
                      <wp:cNvGraphicFramePr/>
                      <a:graphic xmlns:a="http://schemas.openxmlformats.org/drawingml/2006/main">
                        <a:graphicData uri="http://schemas.microsoft.com/office/word/2010/wordprocessingShape">
                          <wps:wsp>
                            <wps:cNvSpPr/>
                            <wps:spPr>
                              <a:xfrm>
                                <a:off x="0" y="0"/>
                                <a:ext cx="548005" cy="31559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产品</w:t>
                                  </w:r>
                                </w:p>
                              </w:txbxContent>
                            </wps:txbx>
                            <wps:bodyPr upright="1"/>
                          </wps:wsp>
                        </a:graphicData>
                      </a:graphic>
                    </wp:anchor>
                  </w:drawing>
                </mc:Choice>
                <mc:Fallback>
                  <w:pict>
                    <v:rect id="文本框 20" o:spid="_x0000_s1026" o:spt="1" style="position:absolute;left:0pt;margin-left:291.7pt;margin-top:121.4pt;height:24.85pt;width:43.15pt;z-index:251668480;mso-width-relative:page;mso-height-relative:page;" filled="f" stroked="f" coordsize="21600,21600" o:gfxdata="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z7htHcAAAA&#10;CwEAAA8AAAAAAAAAAQAgAAAAIgAAAGRycy9kb3ducmV2LnhtbFBLAQIUABQAAAAIAIdO4kDTytnY&#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产品</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2945765</wp:posOffset>
                      </wp:positionH>
                      <wp:positionV relativeFrom="paragraph">
                        <wp:posOffset>1667510</wp:posOffset>
                      </wp:positionV>
                      <wp:extent cx="878840" cy="13335"/>
                      <wp:effectExtent l="0" t="26035" r="16510" b="36830"/>
                      <wp:wrapNone/>
                      <wp:docPr id="96" name="直接连接符 7"/>
                      <wp:cNvGraphicFramePr/>
                      <a:graphic xmlns:a="http://schemas.openxmlformats.org/drawingml/2006/main">
                        <a:graphicData uri="http://schemas.microsoft.com/office/word/2010/wordprocessingShape">
                          <wps:wsp>
                            <wps:cNvCnPr/>
                            <wps:spPr>
                              <a:xfrm>
                                <a:off x="0" y="0"/>
                                <a:ext cx="878840" cy="133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231.95pt;margin-top:131.3pt;height:1.05pt;width:69.2pt;z-index:251667456;mso-width-relative:page;mso-height-relative:page;" filled="f" stroked="t" coordsize="21600,21600" o:gfxdata="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9PCt2QAAAAsBAAAPAAAAAAAAAAEAIAAAACIAAABkcnMvZG93bnJldi54bWxQ&#10;SwECFAAUAAAACACHTuJArOqdcPYBAADhAwAADgAAAAAAAAABACAAAAAoAQAAZHJzL2Uyb0RvYy54&#10;bWxQSwUGAAAAAAYABgBZAQAAkA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1405890</wp:posOffset>
                      </wp:positionH>
                      <wp:positionV relativeFrom="paragraph">
                        <wp:posOffset>2238375</wp:posOffset>
                      </wp:positionV>
                      <wp:extent cx="748665" cy="635"/>
                      <wp:effectExtent l="0" t="37465" r="13335" b="38100"/>
                      <wp:wrapNone/>
                      <wp:docPr id="80" name="直接连接符 7"/>
                      <wp:cNvGraphicFramePr/>
                      <a:graphic xmlns:a="http://schemas.openxmlformats.org/drawingml/2006/main">
                        <a:graphicData uri="http://schemas.microsoft.com/office/word/2010/wordprocessingShape">
                          <wps:wsp>
                            <wps:cNvCnPr/>
                            <wps:spPr>
                              <a:xfrm>
                                <a:off x="0" y="0"/>
                                <a:ext cx="748665"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110.7pt;margin-top:176.25pt;height:0.05pt;width:58.95pt;z-index:251661312;mso-width-relative:page;mso-height-relative:page;" filled="f" stroked="t" coordsize="21600,21600" o:gfxdata="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IWg2zZAAAACwEAAA8AAAAAAAAAAQAgAAAAIgAAAGRycy9kb3ducmV2LnhtbFBL&#10;AQIUABQAAAAIAIdO4kCK2RAT9QEAAN8DAAAOAAAAAAAAAAEAIAAAACg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2724150</wp:posOffset>
                      </wp:positionH>
                      <wp:positionV relativeFrom="paragraph">
                        <wp:posOffset>1728470</wp:posOffset>
                      </wp:positionV>
                      <wp:extent cx="975360" cy="315595"/>
                      <wp:effectExtent l="0" t="0" r="0" b="0"/>
                      <wp:wrapNone/>
                      <wp:docPr id="100" name="文本框 20"/>
                      <wp:cNvGraphicFramePr/>
                      <a:graphic xmlns:a="http://schemas.openxmlformats.org/drawingml/2006/main">
                        <a:graphicData uri="http://schemas.microsoft.com/office/word/2010/wordprocessingShape">
                          <wps:wsp>
                            <wps:cNvSpPr/>
                            <wps:spPr>
                              <a:xfrm>
                                <a:off x="0" y="0"/>
                                <a:ext cx="975360" cy="315595"/>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0.89</w:t>
                                  </w:r>
                                </w:p>
                              </w:txbxContent>
                            </wps:txbx>
                            <wps:bodyPr upright="1"/>
                          </wps:wsp>
                        </a:graphicData>
                      </a:graphic>
                    </wp:anchor>
                  </w:drawing>
                </mc:Choice>
                <mc:Fallback>
                  <w:pict>
                    <v:rect id="文本框 20" o:spid="_x0000_s1026" o:spt="1" style="position:absolute;left:0pt;margin-left:214.5pt;margin-top:136.1pt;height:24.85pt;width:76.8pt;z-index:251671552;mso-width-relative:page;mso-height-relative:page;" filled="f" stroked="f" coordsize="21600,21600" o:gfxdata="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hRuWPcAAAA&#10;CwEAAA8AAAAAAAAAAQAgAAAAIgAAAGRycy9kb3ducmV2LnhtbFBLAQIUABQAAAAIAIdO4kDYJwHt&#10;pwEAAEY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0.89</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2584450</wp:posOffset>
                      </wp:positionH>
                      <wp:positionV relativeFrom="paragraph">
                        <wp:posOffset>1892300</wp:posOffset>
                      </wp:positionV>
                      <wp:extent cx="266700" cy="172085"/>
                      <wp:effectExtent l="3175" t="0" r="15875" b="18415"/>
                      <wp:wrapNone/>
                      <wp:docPr id="99" name="直接连接符 15"/>
                      <wp:cNvGraphicFramePr/>
                      <a:graphic xmlns:a="http://schemas.openxmlformats.org/drawingml/2006/main">
                        <a:graphicData uri="http://schemas.microsoft.com/office/word/2010/wordprocessingShape">
                          <wps:wsp>
                            <wps:cNvCnPr/>
                            <wps:spPr>
                              <a:xfrm flipV="1">
                                <a:off x="0" y="0"/>
                                <a:ext cx="266700" cy="17208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03.5pt;margin-top:149pt;height:13.55pt;width:21pt;z-index:251670528;mso-width-relative:page;mso-height-relative:page;" filled="f" stroked="t" coordsize="21600,21600" o:gfxdata="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NGLaAAAACwEAAA8AAAAAAAAAAQAgAAAAIgAAAGRycy9k&#10;b3ducmV2LnhtbFBLAQIUABQAAAAIAIdO4kClB1XJAAIAAOwDAAAOAAAAAAAAAAEAIAAAACkBAABk&#10;cnMvZTJvRG9jLnhtbFBLBQYAAAAABgAGAFkBAACbBQ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2154555</wp:posOffset>
                      </wp:positionH>
                      <wp:positionV relativeFrom="paragraph">
                        <wp:posOffset>2084705</wp:posOffset>
                      </wp:positionV>
                      <wp:extent cx="1045210" cy="270510"/>
                      <wp:effectExtent l="6350" t="6350" r="15240" b="8890"/>
                      <wp:wrapNone/>
                      <wp:docPr id="98" name="文本框 2"/>
                      <wp:cNvGraphicFramePr/>
                      <a:graphic xmlns:a="http://schemas.openxmlformats.org/drawingml/2006/main">
                        <a:graphicData uri="http://schemas.microsoft.com/office/word/2010/wordprocessingShape">
                          <wps:wsp>
                            <wps:cNvSpPr/>
                            <wps:spPr>
                              <a:xfrm>
                                <a:off x="0" y="0"/>
                                <a:ext cx="1045210"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车辆冲洗</w:t>
                                  </w:r>
                                  <w:r>
                                    <w:t>用水</w:t>
                                  </w:r>
                                </w:p>
                              </w:txbxContent>
                            </wps:txbx>
                            <wps:bodyPr upright="1"/>
                          </wps:wsp>
                        </a:graphicData>
                      </a:graphic>
                    </wp:anchor>
                  </w:drawing>
                </mc:Choice>
                <mc:Fallback>
                  <w:pict>
                    <v:rect id="文本框 2" o:spid="_x0000_s1026" o:spt="1" style="position:absolute;left:0pt;margin-left:169.65pt;margin-top:164.15pt;height:21.3pt;width:82.3pt;z-index:251669504;mso-width-relative:page;mso-height-relative:page;" fillcolor="#FFFFFF" filled="t" stroked="t" coordsize="21600,21600" o:gfxdata="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ubEsrYAAAACwEAAA8AAAAA&#10;AAAAAQAgAAAAIgAAAGRycy9kb3ducmV2LnhtbFBLAQIUABQAAAAIAIdO4kBBOmzaTQIAAAQFAAAO&#10;AAAAAAAAAAEAIAAAACcBAABkcnMvZTJvRG9jLnhtbFBLBQYAAAAABgAGAFkBAADmBQ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车辆冲洗</w:t>
                            </w:r>
                            <w:r>
                              <w:t>用水</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2598420</wp:posOffset>
                      </wp:positionH>
                      <wp:positionV relativeFrom="paragraph">
                        <wp:posOffset>1166495</wp:posOffset>
                      </wp:positionV>
                      <wp:extent cx="975360" cy="315595"/>
                      <wp:effectExtent l="0" t="0" r="0" b="0"/>
                      <wp:wrapNone/>
                      <wp:docPr id="92" name="文本框 20"/>
                      <wp:cNvGraphicFramePr/>
                      <a:graphic xmlns:a="http://schemas.openxmlformats.org/drawingml/2006/main">
                        <a:graphicData uri="http://schemas.microsoft.com/office/word/2010/wordprocessingShape">
                          <wps:wsp>
                            <wps:cNvSpPr/>
                            <wps:spPr>
                              <a:xfrm>
                                <a:off x="0" y="0"/>
                                <a:ext cx="975583" cy="315758"/>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148.2</w:t>
                                  </w:r>
                                </w:p>
                              </w:txbxContent>
                            </wps:txbx>
                            <wps:bodyPr upright="1"/>
                          </wps:wsp>
                        </a:graphicData>
                      </a:graphic>
                    </wp:anchor>
                  </w:drawing>
                </mc:Choice>
                <mc:Fallback>
                  <w:pict>
                    <v:rect id="文本框 20" o:spid="_x0000_s1026" o:spt="1" style="position:absolute;left:0pt;margin-left:204.6pt;margin-top:91.85pt;height:24.85pt;width:76.8pt;z-index:251666432;mso-width-relative:page;mso-height-relative:page;" filled="f" stroked="f" coordsize="21600,21600" o:gfxdata="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j+0ncAAAA&#10;CwEAAA8AAAAAAAAAAQAgAAAAIgAAAGRycy9kb3ducmV2LnhtbFBLAQIUABQAAAAIAIdO4kCkzaeZ&#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148.2</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2458720</wp:posOffset>
                      </wp:positionH>
                      <wp:positionV relativeFrom="paragraph">
                        <wp:posOffset>1294765</wp:posOffset>
                      </wp:positionV>
                      <wp:extent cx="266700" cy="172085"/>
                      <wp:effectExtent l="3175" t="0" r="15875" b="18415"/>
                      <wp:wrapNone/>
                      <wp:docPr id="89" name="直接连接符 15"/>
                      <wp:cNvGraphicFramePr/>
                      <a:graphic xmlns:a="http://schemas.openxmlformats.org/drawingml/2006/main">
                        <a:graphicData uri="http://schemas.microsoft.com/office/word/2010/wordprocessingShape">
                          <wps:wsp>
                            <wps:cNvCnPr/>
                            <wps:spPr>
                              <a:xfrm flipV="1">
                                <a:off x="0" y="0"/>
                                <a:ext cx="266700" cy="172349"/>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193.6pt;margin-top:101.95pt;height:13.55pt;width:21pt;z-index:251665408;mso-width-relative:page;mso-height-relative:page;" filled="f" stroked="t" coordsize="21600,21600" o:gfxdata="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Qmrb2QAAAAsBAAAPAAAAAAAAAAEAIAAAACIAAABkcnMvZG93&#10;bnJldi54bWxQSwECFAAUAAAACACHTuJAgpN1hv8BAADsAwAADgAAAAAAAAABACAAAAAoAQAAZHJz&#10;L2Uyb0RvYy54bWxQSwUGAAAAAAYABgBZAQAAmQ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1437640</wp:posOffset>
                      </wp:positionH>
                      <wp:positionV relativeFrom="paragraph">
                        <wp:posOffset>1606550</wp:posOffset>
                      </wp:positionV>
                      <wp:extent cx="725170" cy="9525"/>
                      <wp:effectExtent l="0" t="36830" r="17780" b="29845"/>
                      <wp:wrapNone/>
                      <wp:docPr id="79" name="直接连接符 7"/>
                      <wp:cNvGraphicFramePr/>
                      <a:graphic xmlns:a="http://schemas.openxmlformats.org/drawingml/2006/main">
                        <a:graphicData uri="http://schemas.microsoft.com/office/word/2010/wordprocessingShape">
                          <wps:wsp>
                            <wps:cNvCnPr/>
                            <wps:spPr>
                              <a:xfrm flipV="1">
                                <a:off x="0" y="0"/>
                                <a:ext cx="725170" cy="952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flip:y;margin-left:113.2pt;margin-top:126.5pt;height:0.75pt;width:57.1pt;z-index:251660288;mso-width-relative:page;mso-height-relative:page;" filled="f" stroked="t" coordsize="21600,21600" o:gfxdata="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MgMTbAAAACwEAAA8AAAAAAAAAAQAgAAAAIgAAAGRycy9kb3du&#10;cmV2LnhtbFBLAQIUABQAAAAIAIdO4kD/Esd//AEAAOoDAAAOAAAAAAAAAAEAIAAAACoBAABkcnMv&#10;ZTJvRG9jLnhtbFBLBQYAAAAABgAGAFkBAACY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2153285</wp:posOffset>
                      </wp:positionH>
                      <wp:positionV relativeFrom="paragraph">
                        <wp:posOffset>1461135</wp:posOffset>
                      </wp:positionV>
                      <wp:extent cx="762000" cy="270510"/>
                      <wp:effectExtent l="6350" t="6350" r="12700" b="8890"/>
                      <wp:wrapNone/>
                      <wp:docPr id="81" name="文本框 2"/>
                      <wp:cNvGraphicFramePr/>
                      <a:graphic xmlns:a="http://schemas.openxmlformats.org/drawingml/2006/main">
                        <a:graphicData uri="http://schemas.microsoft.com/office/word/2010/wordprocessingShape">
                          <wps:wsp>
                            <wps:cNvSpPr/>
                            <wps:spPr>
                              <a:xfrm>
                                <a:off x="0" y="0"/>
                                <a:ext cx="762000" cy="27079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洗砂</w:t>
                                  </w:r>
                                  <w:r>
                                    <w:t>用水</w:t>
                                  </w:r>
                                </w:p>
                              </w:txbxContent>
                            </wps:txbx>
                            <wps:bodyPr upright="1"/>
                          </wps:wsp>
                        </a:graphicData>
                      </a:graphic>
                    </wp:anchor>
                  </w:drawing>
                </mc:Choice>
                <mc:Fallback>
                  <w:pict>
                    <v:rect id="文本框 2" o:spid="_x0000_s1026" o:spt="1" style="position:absolute;left:0pt;margin-left:169.55pt;margin-top:115.05pt;height:21.3pt;width:60pt;z-index:251662336;mso-width-relative:page;mso-height-relative:page;" fillcolor="#FFFFFF" filled="t" stroked="t" coordsize="21600,21600" o:gfxdata="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19W2AAAAAsBAAAPAAAA&#10;AAAAAAEAIAAAACIAAABkcnMvZG93bnJldi54bWxQSwECFAAUAAAACACHTuJAz2/MgE4CAAADBQAA&#10;DgAAAAAAAAABACAAAAAnAQAAZHJzL2Uyb0RvYy54bWxQSwUGAAAAAAYABgBZAQAA5wU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洗砂</w:t>
                            </w:r>
                            <w:r>
                              <w:t>用水</w:t>
                            </w:r>
                          </w:p>
                        </w:txbxContent>
                      </v:textbox>
                    </v:rect>
                  </w:pict>
                </mc:Fallback>
              </mc:AlternateContent>
            </w:r>
            <w:r>
              <w:rPr>
                <w:rFonts w:hint="default" w:ascii="Times New Roman" w:hAnsi="Times New Roman" w:eastAsia="仿宋" w:cs="Times New Roman"/>
                <w:snapToGrid w:val="0"/>
                <w:color w:val="auto"/>
                <w:sz w:val="24"/>
                <w:szCs w:val="22"/>
                <w:highlight w:val="none"/>
              </w:rPr>
              <mc:AlternateContent>
                <mc:Choice Requires="wpg">
                  <w:drawing>
                    <wp:inline distT="0" distB="0" distL="114300" distR="114300">
                      <wp:extent cx="4622165" cy="2234565"/>
                      <wp:effectExtent l="0" t="0" r="0" b="13970"/>
                      <wp:docPr id="7" name="组合 28"/>
                      <wp:cNvGraphicFramePr/>
                      <a:graphic xmlns:a="http://schemas.openxmlformats.org/drawingml/2006/main">
                        <a:graphicData uri="http://schemas.microsoft.com/office/word/2010/wordprocessingGroup">
                          <wpg:wgp>
                            <wpg:cNvGrpSpPr/>
                            <wpg:grpSpPr>
                              <a:xfrm>
                                <a:off x="0" y="0"/>
                                <a:ext cx="4622246" cy="2234367"/>
                                <a:chOff x="2467" y="9972"/>
                                <a:chExt cx="6775" cy="2972"/>
                              </a:xfrm>
                            </wpg:grpSpPr>
                            <wps:wsp>
                              <wps:cNvPr id="54" name="文本框 2"/>
                              <wps:cNvSpPr/>
                              <wps:spPr>
                                <a:xfrm>
                                  <a:off x="5041" y="10496"/>
                                  <a:ext cx="1200" cy="34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t>生活用水</w:t>
                                    </w:r>
                                  </w:p>
                                </w:txbxContent>
                              </wps:txbx>
                              <wps:bodyPr upright="1"/>
                            </wps:wsp>
                            <wps:wsp>
                              <wps:cNvPr id="55" name="文本框 3"/>
                              <wps:cNvSpPr/>
                              <wps:spPr>
                                <a:xfrm>
                                  <a:off x="7347" y="10300"/>
                                  <a:ext cx="1895" cy="601"/>
                                </a:xfrm>
                                <a:prstGeom prst="rect">
                                  <a:avLst/>
                                </a:prstGeom>
                                <a:noFill/>
                                <a:ln w="12700" cap="flat" cmpd="sng">
                                  <a:no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p>
                                </w:txbxContent>
                              </wps:txbx>
                              <wps:bodyPr upright="1"/>
                            </wps:wsp>
                            <wps:wsp>
                              <wps:cNvPr id="56" name="文本框 4"/>
                              <wps:cNvSpPr/>
                              <wps:spPr>
                                <a:xfrm>
                                  <a:off x="5067" y="11091"/>
                                  <a:ext cx="3028" cy="438"/>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ind w:firstLine="0" w:firstLineChars="0"/>
                                      <w:jc w:val="center"/>
                                    </w:pPr>
                                    <w:r>
                                      <w:t>开采区、道路、</w:t>
                                    </w:r>
                                    <w:r>
                                      <w:rPr>
                                        <w:rFonts w:hint="eastAsia"/>
                                        <w:lang w:eastAsia="zh-CN"/>
                                      </w:rPr>
                                      <w:t>堆场</w:t>
                                    </w:r>
                                    <w:r>
                                      <w:t>洒水降尘</w:t>
                                    </w:r>
                                  </w:p>
                                </w:txbxContent>
                              </wps:txbx>
                              <wps:bodyPr upright="1"/>
                            </wps:wsp>
                            <wps:wsp>
                              <wps:cNvPr id="58" name="直接连接符 6"/>
                              <wps:cNvCnPr/>
                              <wps:spPr>
                                <a:xfrm>
                                  <a:off x="3819" y="10753"/>
                                  <a:ext cx="1208" cy="7"/>
                                </a:xfrm>
                                <a:prstGeom prst="line">
                                  <a:avLst/>
                                </a:prstGeom>
                                <a:ln w="12700" cap="flat" cmpd="sng">
                                  <a:solidFill>
                                    <a:srgbClr val="000000"/>
                                  </a:solidFill>
                                  <a:prstDash val="solid"/>
                                  <a:headEnd type="none" w="med" len="med"/>
                                  <a:tailEnd type="triangle" w="med" len="med"/>
                                </a:ln>
                              </wps:spPr>
                              <wps:bodyPr/>
                            </wps:wsp>
                            <wps:wsp>
                              <wps:cNvPr id="59" name="直接连接符 7"/>
                              <wps:cNvCnPr/>
                              <wps:spPr>
                                <a:xfrm flipV="1">
                                  <a:off x="3823" y="11345"/>
                                  <a:ext cx="1261" cy="13"/>
                                </a:xfrm>
                                <a:prstGeom prst="line">
                                  <a:avLst/>
                                </a:prstGeom>
                                <a:ln w="12700" cap="flat" cmpd="sng">
                                  <a:solidFill>
                                    <a:srgbClr val="000000"/>
                                  </a:solidFill>
                                  <a:prstDash val="solid"/>
                                  <a:headEnd type="none" w="med" len="med"/>
                                  <a:tailEnd type="triangle" w="med" len="med"/>
                                </a:ln>
                              </wps:spPr>
                              <wps:bodyPr/>
                            </wps:wsp>
                            <wps:wsp>
                              <wps:cNvPr id="65" name="直接连接符 13"/>
                              <wps:cNvCnPr/>
                              <wps:spPr>
                                <a:xfrm flipH="1">
                                  <a:off x="3790" y="10753"/>
                                  <a:ext cx="3" cy="2191"/>
                                </a:xfrm>
                                <a:prstGeom prst="line">
                                  <a:avLst/>
                                </a:prstGeom>
                                <a:ln w="12700" cap="flat" cmpd="sng">
                                  <a:solidFill>
                                    <a:srgbClr val="000000"/>
                                  </a:solidFill>
                                  <a:prstDash val="solid"/>
                                  <a:headEnd type="none" w="med" len="med"/>
                                  <a:tailEnd type="none" w="med" len="med"/>
                                </a:ln>
                              </wps:spPr>
                              <wps:bodyPr/>
                            </wps:wsp>
                            <wps:wsp>
                              <wps:cNvPr id="66" name="文本框 14"/>
                              <wps:cNvSpPr/>
                              <wps:spPr>
                                <a:xfrm>
                                  <a:off x="2467" y="11586"/>
                                  <a:ext cx="1132" cy="819"/>
                                </a:xfrm>
                                <a:prstGeom prst="rect">
                                  <a:avLst/>
                                </a:prstGeom>
                                <a:noFill/>
                                <a:ln>
                                  <a:noFill/>
                                </a:ln>
                              </wps:spPr>
                              <wps:txbx>
                                <w:txbxContent>
                                  <w:p>
                                    <w:pPr>
                                      <w:spacing w:line="240" w:lineRule="auto"/>
                                      <w:ind w:firstLine="0" w:firstLineChars="0"/>
                                      <w:jc w:val="center"/>
                                      <w:rPr>
                                        <w:rFonts w:hint="default" w:eastAsia="宋体"/>
                                        <w:lang w:val="en-US" w:eastAsia="zh-CN"/>
                                      </w:rPr>
                                    </w:pPr>
                                    <w:r>
                                      <w:t>新鲜水</w:t>
                                    </w:r>
                                    <w:r>
                                      <w:rPr>
                                        <w:rFonts w:hint="eastAsia"/>
                                        <w:lang w:val="en-US" w:eastAsia="zh-CN"/>
                                      </w:rPr>
                                      <w:t>176.41</w:t>
                                    </w:r>
                                  </w:p>
                                </w:txbxContent>
                              </wps:txbx>
                              <wps:bodyPr upright="1"/>
                            </wps:wsp>
                            <wps:wsp>
                              <wps:cNvPr id="67" name="直接连接符 15"/>
                              <wps:cNvCnPr/>
                              <wps:spPr>
                                <a:xfrm flipV="1">
                                  <a:off x="5521" y="10167"/>
                                  <a:ext cx="420" cy="280"/>
                                </a:xfrm>
                                <a:prstGeom prst="line">
                                  <a:avLst/>
                                </a:prstGeom>
                                <a:ln w="12700" cap="flat" cmpd="sng">
                                  <a:solidFill>
                                    <a:srgbClr val="000000"/>
                                  </a:solidFill>
                                  <a:prstDash val="dash"/>
                                  <a:headEnd type="none" w="med" len="med"/>
                                  <a:tailEnd type="triangle" w="med" len="med"/>
                                </a:ln>
                              </wps:spPr>
                              <wps:bodyPr/>
                            </wps:wsp>
                            <wps:wsp>
                              <wps:cNvPr id="68" name="直接连接符 16"/>
                              <wps:cNvCnPr/>
                              <wps:spPr>
                                <a:xfrm flipV="1">
                                  <a:off x="6268" y="10683"/>
                                  <a:ext cx="566" cy="10"/>
                                </a:xfrm>
                                <a:prstGeom prst="line">
                                  <a:avLst/>
                                </a:prstGeom>
                                <a:ln w="12700" cap="flat" cmpd="sng">
                                  <a:solidFill>
                                    <a:schemeClr val="tx1"/>
                                  </a:solidFill>
                                  <a:prstDash val="solid"/>
                                  <a:headEnd type="none" w="med" len="med"/>
                                  <a:tailEnd type="triangle" w="med" len="med"/>
                                </a:ln>
                              </wps:spPr>
                              <wps:bodyPr/>
                            </wps:wsp>
                            <wps:wsp>
                              <wps:cNvPr id="70" name="文本框 19"/>
                              <wps:cNvSpPr/>
                              <wps:spPr>
                                <a:xfrm>
                                  <a:off x="3993" y="10286"/>
                                  <a:ext cx="737" cy="41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2.08</w:t>
                                    </w:r>
                                  </w:p>
                                </w:txbxContent>
                              </wps:txbx>
                              <wps:bodyPr upright="1"/>
                            </wps:wsp>
                            <wps:wsp>
                              <wps:cNvPr id="71" name="文本框 20"/>
                              <wps:cNvSpPr/>
                              <wps:spPr>
                                <a:xfrm>
                                  <a:off x="5909" y="9972"/>
                                  <a:ext cx="1430" cy="420"/>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0.42</w:t>
                                    </w:r>
                                  </w:p>
                                </w:txbxContent>
                              </wps:txbx>
                              <wps:bodyPr upright="1"/>
                            </wps:wsp>
                            <wps:wsp>
                              <wps:cNvPr id="72" name="文本框 21"/>
                              <wps:cNvSpPr/>
                              <wps:spPr>
                                <a:xfrm>
                                  <a:off x="6082" y="10437"/>
                                  <a:ext cx="948" cy="37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1.66</w:t>
                                    </w:r>
                                  </w:p>
                                </w:txbxContent>
                              </wps:txbx>
                              <wps:bodyPr upright="1"/>
                            </wps:wsp>
                            <wps:wsp>
                              <wps:cNvPr id="76" name="文本框 25"/>
                              <wps:cNvSpPr/>
                              <wps:spPr>
                                <a:xfrm>
                                  <a:off x="4020" y="11034"/>
                                  <a:ext cx="806" cy="61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17.24</w:t>
                                    </w:r>
                                  </w:p>
                                </w:txbxContent>
                              </wps:txbx>
                              <wps:bodyPr upright="1"/>
                            </wps:wsp>
                          </wpg:wgp>
                        </a:graphicData>
                      </a:graphic>
                    </wp:inline>
                  </w:drawing>
                </mc:Choice>
                <mc:Fallback>
                  <w:pict>
                    <v:group id="组合 28" o:spid="_x0000_s1026" o:spt="203" style="height:175.95pt;width:363.95pt;" coordorigin="2467,9972" coordsize="6775,2972" o:gfxdata="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JsN58PXAAAABQEAAA8AAAAAAAAAAQAgAAAAIgAAAGRycy9kb3ducmV2LnhtbFBLAQIU&#10;ABQAAAAIAIdO4kBOW5OxEgUAAKIcAAAOAAAAAAAAAAEAIAAAACYBAABkcnMvZTJvRG9jLnhtbFBL&#10;BQYAAAAABgAGAFkBAACqCAAAAAA=&#10;">
                      <o:lock v:ext="edit" aspectratio="f"/>
                      <v:rect id="文本框 2" o:spid="_x0000_s1026" o:spt="1" style="position:absolute;left:5041;top:10496;height:345;width:1200;" fillcolor="#FFFFFF" filled="t" stroked="t" coordsize="21600,21600" o:gfxdata="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1wavQAA&#10;ANsAAAAPAAAAAAAAAAEAIAAAACIAAABkcnMvZG93bnJldi54bWxQSwECFAAUAAAACACHTuJAMy8F&#10;njsAAAA5AAAAEAAAAAAAAAABACAAAAAMAQAAZHJzL3NoYXBleG1sLnhtbFBLBQYAAAAABgAGAFsB&#10;AAC2Aw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t>生活用水</w:t>
                              </w:r>
                            </w:p>
                          </w:txbxContent>
                        </v:textbox>
                      </v:rect>
                      <v:rect id="文本框 3" o:spid="_x0000_s1026" o:spt="1" style="position:absolute;left:7347;top:10300;height:601;width:1895;" filled="f" stroked="f" coordsize="21600,21600" o:gfxdata="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jrkvQAA&#10;ANsAAAAPAAAAAAAAAAEAIAAAACIAAABkcnMvZG93bnJldi54bWxQSwECFAAUAAAACACHTuJAMy8F&#10;njsAAAA5AAAAEAAAAAAAAAABACAAAAAMAQAAZHJzL3NoYXBleG1sLnhtbFBLBQYAAAAABgAGAFsB&#10;AAC2AwAAAAA=&#10;">
                        <v:fill on="f" focussize="0,0"/>
                        <v:stroke on="f" weight="1pt" joinstyle="miter"/>
                        <v:imagedata o:title=""/>
                        <o:lock v:ext="edit" aspectratio="f"/>
                        <v:textbox>
                          <w:txbxContent>
                            <w:p>
                              <w:pPr>
                                <w:spacing w:line="240" w:lineRule="auto"/>
                                <w:ind w:firstLine="0" w:firstLineChars="0"/>
                                <w:jc w:val="center"/>
                                <w:rPr>
                                  <w:rFonts w:hint="default" w:eastAsia="宋体"/>
                                  <w:lang w:val="en-US" w:eastAsia="zh-CN"/>
                                </w:rPr>
                              </w:pPr>
                            </w:p>
                          </w:txbxContent>
                        </v:textbox>
                      </v:rect>
                      <v:rect id="文本框 4" o:spid="_x0000_s1026" o:spt="1" style="position:absolute;left:5067;top:11091;height:438;width:3028;" fillcolor="#FFFFFF" filled="t" stroked="t" coordsize="21600,21600" o:gfxdata="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Z/a8AAAA&#10;2wAAAA8AAAAAAAAAAQAgAAAAIgAAAGRycy9kb3ducmV2LnhtbFBLAQIUABQAAAAIAIdO4kAzLwWe&#10;OwAAADkAAAAQAAAAAAAAAAEAIAAAAAsBAABkcnMvc2hhcGV4bWwueG1sUEsFBgAAAAAGAAYAWwEA&#10;ALUDAAAAAA==&#10;">
                        <v:fill type="gradient" on="t" color2="#FFFFFF" angle="90" focus="100%" focussize="0,0"/>
                        <v:stroke weight="1pt" color="#000000" joinstyle="miter"/>
                        <v:imagedata o:title=""/>
                        <o:lock v:ext="edit" aspectratio="f"/>
                        <v:textbox>
                          <w:txbxContent>
                            <w:p>
                              <w:pPr>
                                <w:ind w:firstLine="0" w:firstLineChars="0"/>
                                <w:jc w:val="center"/>
                              </w:pPr>
                              <w:r>
                                <w:t>开采区、道路、</w:t>
                              </w:r>
                              <w:r>
                                <w:rPr>
                                  <w:rFonts w:hint="eastAsia"/>
                                  <w:lang w:eastAsia="zh-CN"/>
                                </w:rPr>
                                <w:t>堆场</w:t>
                              </w:r>
                              <w:r>
                                <w:t>洒水降尘</w:t>
                              </w:r>
                            </w:p>
                          </w:txbxContent>
                        </v:textbox>
                      </v:rect>
                      <v:line id="直接连接符 6" o:spid="_x0000_s1026" o:spt="20" style="position:absolute;left:3819;top:10753;height:7;width:1208;" filled="f" stroked="t" coordsize="21600,21600" o:gfxdata="UEsDBAoAAAAAAIdO4kAAAAAAAAAAAAAAAAAEAAAAZHJzL1BLAwQUAAAACACHTuJAk94NX70AAADb&#10;AAAADwAAAGRycy9kb3ducmV2LnhtbEWPwUrDQBCG74LvsIzgReymFYv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3g1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7" o:spid="_x0000_s1026" o:spt="20" style="position:absolute;left:3823;top:11345;flip:y;height:13;width:1261;" filled="f" stroked="t" coordsize="21600,21600" o:gfxdata="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cjM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13" o:spid="_x0000_s1026" o:spt="20" style="position:absolute;left:3790;top:10753;flip:x;height:2191;width:3;" filled="f" stroked="t" coordsize="21600,21600" o:gfxdata="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uPX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文本框 14" o:spid="_x0000_s1026" o:spt="1" style="position:absolute;left:2467;top:11586;height:819;width:1132;"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新鲜水</w:t>
                              </w:r>
                              <w:r>
                                <w:rPr>
                                  <w:rFonts w:hint="eastAsia"/>
                                  <w:lang w:val="en-US" w:eastAsia="zh-CN"/>
                                </w:rPr>
                                <w:t>176.41</w:t>
                              </w:r>
                            </w:p>
                          </w:txbxContent>
                        </v:textbox>
                      </v:rect>
                      <v:line id="直接连接符 15" o:spid="_x0000_s1026" o:spt="20" style="position:absolute;left:5521;top:10167;flip:y;height:280;width:420;" filled="f" stroked="t" coordsize="21600,21600" o:gfxdata="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eaWvQAA&#10;ANs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line>
                      <v:line id="直接连接符 16" o:spid="_x0000_s1026" o:spt="20" style="position:absolute;left:6268;top:10683;flip:y;height:10;width:566;" filled="f" stroked="t" coordsize="21600,21600" o:gfxdata="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Bp+q2AAAA2wAAAA8A&#10;AAAAAAAAAQAgAAAAIgAAAGRycy9kb3ducmV2LnhtbFBLAQIUABQAAAAIAIdO4kAzLwWeOwAAADkA&#10;AAAQAAAAAAAAAAEAIAAAAAUBAABkcnMvc2hhcGV4bWwueG1sUEsFBgAAAAAGAAYAWwEAAK8DAAAA&#10;AA==&#10;">
                        <v:fill on="f" focussize="0,0"/>
                        <v:stroke weight="1pt" color="#000000 [3213]" joinstyle="round" endarrow="block"/>
                        <v:imagedata o:title=""/>
                        <o:lock v:ext="edit" aspectratio="f"/>
                      </v:line>
                      <v:rect id="文本框 19" o:spid="_x0000_s1026" o:spt="1" style="position:absolute;left:3993;top:10286;height:410;width:737;" filled="f" stroked="f" coordsize="21600,21600" o:gfxdata="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Bs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2.08</w:t>
                              </w:r>
                            </w:p>
                          </w:txbxContent>
                        </v:textbox>
                      </v:rect>
                      <v:rect id="文本框 20" o:spid="_x0000_s1026" o:spt="1" style="position:absolute;left:5909;top:9972;height:420;width:1430;"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0.42</w:t>
                              </w:r>
                            </w:p>
                          </w:txbxContent>
                        </v:textbox>
                      </v:rect>
                      <v:rect id="文本框 21" o:spid="_x0000_s1026" o:spt="1" style="position:absolute;left:6082;top:10437;height:372;width:948;" filled="f" stroked="f" coordsize="21600,21600" o:gfxdata="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np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1.66</w:t>
                              </w:r>
                            </w:p>
                          </w:txbxContent>
                        </v:textbox>
                      </v:rect>
                      <v:rect id="文本框 25" o:spid="_x0000_s1026" o:spt="1" style="position:absolute;left:4020;top:11034;height:615;width:806;"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17.24</w:t>
                              </w:r>
                            </w:p>
                          </w:txbxContent>
                        </v:textbox>
                      </v:rect>
                      <w10:wrap type="none"/>
                      <w10:anchorlock/>
                    </v:group>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1021080</wp:posOffset>
                      </wp:positionH>
                      <wp:positionV relativeFrom="paragraph">
                        <wp:posOffset>153670</wp:posOffset>
                      </wp:positionV>
                      <wp:extent cx="4046855" cy="12065"/>
                      <wp:effectExtent l="0" t="0" r="0" b="0"/>
                      <wp:wrapNone/>
                      <wp:docPr id="112" name="直接连接符 112"/>
                      <wp:cNvGraphicFramePr/>
                      <a:graphic xmlns:a="http://schemas.openxmlformats.org/drawingml/2006/main">
                        <a:graphicData uri="http://schemas.microsoft.com/office/word/2010/wordprocessingShape">
                          <wps:wsp>
                            <wps:cNvCnPr/>
                            <wps:spPr>
                              <a:xfrm flipH="1">
                                <a:off x="2191385" y="9132570"/>
                                <a:ext cx="4046855" cy="12065"/>
                              </a:xfrm>
                              <a:prstGeom prst="line">
                                <a:avLst/>
                              </a:prstGeom>
                              <a:ln w="12700" cap="flat" cmpd="sng">
                                <a:solidFill>
                                  <a:srgbClr val="000000"/>
                                </a:solidFill>
                                <a:prstDash val="dash"/>
                                <a:headEnd type="none" w="med" len="med"/>
                                <a:tailEnd type="none" w="med" len="med"/>
                              </a:ln>
                            </wps:spPr>
                            <wps:bodyPr/>
                          </wps:wsp>
                        </a:graphicData>
                      </a:graphic>
                    </wp:anchor>
                  </w:drawing>
                </mc:Choice>
                <mc:Fallback>
                  <w:pict>
                    <v:line id="_x0000_s1026" o:spid="_x0000_s1026" o:spt="20" style="position:absolute;left:0pt;flip:x;margin-left:80.4pt;margin-top:12.1pt;height:0.95pt;width:318.65pt;z-index:251679744;mso-width-relative:page;mso-height-relative:page;" filled="f" stroked="t" coordsize="21600,21600" o:gfxdata="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hnfLWAAAACQEAAA8AAAAAAAAAAQAgAAAAIgAAAGRycy9k&#10;b3ducmV2LnhtbFBLAQIUABQAAAAIAIdO4kAhWe+GBAIAAPYDAAAOAAAAAAAAAAEAIAAAACUBAABk&#10;cnMvZTJvRG9jLnhtbFBLBQYAAAAABgAGAFkBAACbBQAAAAA=&#10;">
                      <v:fill on="f" focussize="0,0"/>
                      <v:stroke weight="1pt" color="#000000" joinstyle="round" dashstyle="dash"/>
                      <v:imagedata o:title=""/>
                      <o:lock v:ext="edit" aspectratio="f"/>
                    </v:line>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图2-</w:t>
            </w: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本项目水平衡图m</w:t>
            </w:r>
            <w:r>
              <w:rPr>
                <w:rFonts w:hint="default" w:ascii="Times New Roman" w:hAnsi="Times New Roman" w:eastAsia="仿宋" w:cs="Times New Roman"/>
                <w:b/>
                <w:color w:val="auto"/>
                <w:sz w:val="24"/>
                <w:szCs w:val="24"/>
                <w:highlight w:val="none"/>
                <w:vertAlign w:val="superscript"/>
              </w:rPr>
              <w:t>3</w:t>
            </w:r>
            <w:r>
              <w:rPr>
                <w:rFonts w:hint="default" w:ascii="Times New Roman" w:hAnsi="Times New Roman" w:eastAsia="仿宋" w:cs="Times New Roman"/>
                <w:b/>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before="157" w:beforeLines="50"/>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lang w:val="en-US" w:eastAsia="zh-CN"/>
              </w:rPr>
              <w:t>9、</w:t>
            </w:r>
            <w:r>
              <w:rPr>
                <w:rFonts w:hint="default" w:ascii="Times New Roman" w:hAnsi="Times New Roman" w:eastAsia="仿宋" w:cs="Times New Roman"/>
                <w:b/>
                <w:color w:val="auto"/>
                <w:sz w:val="24"/>
                <w:szCs w:val="24"/>
                <w:highlight w:val="none"/>
              </w:rPr>
              <w:t>劳动定员及工作制度</w:t>
            </w:r>
          </w:p>
          <w:p>
            <w:pPr>
              <w:pStyle w:val="37"/>
              <w:spacing w:line="360" w:lineRule="auto"/>
              <w:ind w:firstLine="480" w:firstLineChars="200"/>
              <w:rPr>
                <w:rFonts w:hint="default" w:ascii="Times New Roman" w:hAnsi="Times New Roman" w:eastAsia="仿宋" w:cs="Times New Roman"/>
                <w:color w:val="auto"/>
              </w:rPr>
            </w:pPr>
            <w:r>
              <w:rPr>
                <w:rFonts w:hint="default" w:ascii="Times New Roman" w:hAnsi="Times New Roman" w:eastAsia="仿宋" w:cs="Times New Roman"/>
                <w:b w:val="0"/>
                <w:bCs/>
                <w:color w:val="auto"/>
                <w:kern w:val="2"/>
                <w:sz w:val="24"/>
                <w:szCs w:val="24"/>
                <w:highlight w:val="none"/>
                <w:lang w:val="en-US" w:eastAsia="zh-CN" w:bidi="ar-SA"/>
              </w:rPr>
              <w:t>本项目矿区劳动定员26人，每年工作270天，每天1班，每班工作8小时，年工作时间为2160h。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kern w:val="0"/>
                <w:sz w:val="24"/>
                <w:szCs w:val="24"/>
                <w:highlight w:val="none"/>
              </w:rPr>
              <w:t>总平面及现场布置</w:t>
            </w:r>
          </w:p>
        </w:tc>
        <w:tc>
          <w:tcPr>
            <w:tcW w:w="9070"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该项目总占地面积</w:t>
            </w:r>
            <w:r>
              <w:rPr>
                <w:rFonts w:hint="eastAsia" w:ascii="Times New Roman" w:eastAsia="仿宋" w:cs="Times New Roman"/>
                <w:color w:val="auto"/>
                <w:highlight w:val="none"/>
                <w:lang w:val="en-US" w:eastAsia="zh-CN"/>
              </w:rPr>
              <w:t>100060</w:t>
            </w:r>
            <w:r>
              <w:rPr>
                <w:rFonts w:hint="default" w:ascii="Times New Roman" w:hAnsi="Times New Roman" w:eastAsia="仿宋" w:cs="Times New Roman"/>
                <w:color w:val="auto"/>
                <w:highlight w:val="none"/>
              </w:rPr>
              <w:t>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项目区常年主导风向为东风。全矿设计1个采矿场，采矿场为设计露天开采境界范围，占地面积99400平方米，原始地形坡度为2-5°，采场开采标高406米-390米，采用自上而下水平分层的露天台阶式开采方式，台阶高度10米，工作台阶坡面角不大于30°，露天开采工作平台坡度约在2-5°。</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排土场首先布置于矿区中北部，位于工业场地北部约15米处，地面标高403-405米，地形坡度2-3°</w:t>
            </w:r>
            <w:r>
              <w:rPr>
                <w:rFonts w:hint="eastAsia" w:ascii="Times New Roman" w:eastAsia="仿宋" w:cs="Times New Roman"/>
                <w:color w:val="auto"/>
                <w:highlight w:val="none"/>
                <w:lang w:val="en-US" w:eastAsia="zh-CN"/>
              </w:rPr>
              <w:t>，占地3000</w:t>
            </w:r>
            <w:r>
              <w:rPr>
                <w:rFonts w:hint="default" w:ascii="Times New Roman" w:hAnsi="Times New Roman" w:eastAsia="仿宋" w:cs="Times New Roman"/>
                <w:color w:val="auto"/>
                <w:highlight w:val="none"/>
              </w:rPr>
              <w:t>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lang w:val="en-US" w:eastAsia="zh-CN"/>
              </w:rPr>
              <w:t>。</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eastAsia" w:ascii="Times New Roman" w:eastAsia="仿宋" w:cs="Times New Roman"/>
                <w:color w:val="auto"/>
                <w:highlight w:val="none"/>
                <w:lang w:val="en-US" w:eastAsia="zh-CN"/>
              </w:rPr>
              <w:t>成品堆场位于工业场地西侧，</w:t>
            </w:r>
            <w:r>
              <w:rPr>
                <w:rFonts w:hint="default" w:ascii="Times New Roman" w:hAnsi="Times New Roman" w:eastAsia="仿宋" w:cs="Times New Roman"/>
                <w:color w:val="auto"/>
                <w:highlight w:val="none"/>
                <w:lang w:val="en-US" w:eastAsia="zh-CN"/>
              </w:rPr>
              <w:t>地面标高</w:t>
            </w:r>
            <w:r>
              <w:rPr>
                <w:rFonts w:hint="eastAsia" w:ascii="Times New Roman" w:hAnsi="Times New Roman" w:eastAsia="仿宋" w:cs="Times New Roman"/>
                <w:color w:val="auto"/>
                <w:highlight w:val="none"/>
                <w:lang w:val="en-US" w:eastAsia="zh-CN"/>
              </w:rPr>
              <w:t>402</w:t>
            </w:r>
            <w:r>
              <w:rPr>
                <w:rFonts w:hint="default" w:ascii="Times New Roman" w:hAnsi="Times New Roman" w:eastAsia="仿宋" w:cs="Times New Roman"/>
                <w:color w:val="auto"/>
                <w:highlight w:val="none"/>
                <w:lang w:val="en-US" w:eastAsia="zh-CN"/>
              </w:rPr>
              <w:t>-40</w:t>
            </w:r>
            <w:r>
              <w:rPr>
                <w:rFonts w:hint="eastAsia"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lang w:val="en-US" w:eastAsia="zh-CN"/>
              </w:rPr>
              <w:t>米，地形坡度2-3°</w:t>
            </w:r>
            <w:r>
              <w:rPr>
                <w:rFonts w:hint="eastAsia" w:ascii="Times New Roman" w:eastAsia="仿宋" w:cs="Times New Roman"/>
                <w:color w:val="auto"/>
                <w:highlight w:val="none"/>
                <w:lang w:val="en-US" w:eastAsia="zh-CN"/>
              </w:rPr>
              <w:t>，占地1000</w:t>
            </w:r>
            <w:r>
              <w:rPr>
                <w:rFonts w:hint="default" w:ascii="Times New Roman" w:hAnsi="Times New Roman" w:eastAsia="仿宋" w:cs="Times New Roman"/>
                <w:color w:val="auto"/>
                <w:highlight w:val="none"/>
              </w:rPr>
              <w:t>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lang w:val="en-US" w:eastAsia="zh-CN"/>
              </w:rPr>
              <w:t>。</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拟建工业场地首先布置于矿区中部平坦开阔地，</w:t>
            </w:r>
            <w:r>
              <w:rPr>
                <w:rFonts w:hint="eastAsia" w:ascii="Times New Roman" w:eastAsia="仿宋" w:cs="Times New Roman"/>
                <w:color w:val="auto"/>
                <w:highlight w:val="none"/>
                <w:lang w:val="en-US" w:eastAsia="zh-CN"/>
              </w:rPr>
              <w:t>位于开采区东侧，</w:t>
            </w:r>
            <w:r>
              <w:rPr>
                <w:rFonts w:hint="default" w:ascii="Times New Roman" w:hAnsi="Times New Roman" w:eastAsia="仿宋" w:cs="Times New Roman"/>
                <w:color w:val="auto"/>
                <w:highlight w:val="none"/>
                <w:lang w:val="en-US" w:eastAsia="zh-CN"/>
              </w:rPr>
              <w:t>地面标高401-402米，地形坡度2-3°，地面布局主要为破碎筛分场、成品堆放区及各种材料库等生产辅助设施</w:t>
            </w:r>
            <w:r>
              <w:rPr>
                <w:rFonts w:hint="eastAsia" w:ascii="Times New Roman" w:eastAsia="仿宋" w:cs="Times New Roman"/>
                <w:color w:val="auto"/>
                <w:highlight w:val="none"/>
                <w:lang w:val="en-US" w:eastAsia="zh-CN"/>
              </w:rPr>
              <w:t>，</w:t>
            </w:r>
            <w:r>
              <w:rPr>
                <w:rFonts w:hint="default" w:ascii="Times New Roman" w:hAnsi="Times New Roman" w:eastAsia="仿宋" w:cs="Times New Roman"/>
                <w:color w:val="auto"/>
                <w:highlight w:val="none"/>
                <w:lang w:val="en-US" w:eastAsia="zh-CN"/>
              </w:rPr>
              <w:t>占地面积为3000平方米</w:t>
            </w:r>
            <w:r>
              <w:rPr>
                <w:rFonts w:hint="eastAsia" w:ascii="Times New Roman" w:eastAsia="仿宋" w:cs="Times New Roman"/>
                <w:color w:val="auto"/>
                <w:highlight w:val="none"/>
                <w:lang w:val="en-US" w:eastAsia="zh-CN"/>
              </w:rPr>
              <w:t>。</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生活区布置在矿区内西南部平坦开阔处，地面标高400米，地形坡度2-3°，生活区占地面积1000平方米，区内建筑包括办公室、宿舍、食堂、库房等彩钢结构</w:t>
            </w:r>
            <w:r>
              <w:rPr>
                <w:rFonts w:hint="eastAsia" w:ascii="Times New Roman" w:eastAsia="仿宋" w:cs="Times New Roman"/>
                <w:color w:val="auto"/>
                <w:highlight w:val="none"/>
                <w:lang w:val="en-US" w:eastAsia="zh-CN"/>
              </w:rPr>
              <w:t>。</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eastAsia" w:ascii="Times New Roman" w:eastAsia="仿宋" w:cs="Times New Roman"/>
                <w:color w:val="auto"/>
                <w:highlight w:val="none"/>
                <w:lang w:val="en-US" w:eastAsia="zh-CN"/>
              </w:rPr>
              <w:t>矿山拟设新建道路为三级道路，由矿区外南部砂石路通往露天采场，路基宽6米，路面宽4.5米，平均纵坡8%，最小转弯半径15米，道路连接露天采场及矿山各地面布局。占地面积约2100平方米，其中矿区内道路1440平方米，矿区外道路660平方米。</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综上所述，本项目区平面布置功能分区明确，集中紧凑，满足生产工艺流程要求，</w:t>
            </w:r>
            <w:r>
              <w:rPr>
                <w:rFonts w:hint="default" w:ascii="Times New Roman" w:hAnsi="Times New Roman" w:eastAsia="仿宋" w:cs="Times New Roman"/>
                <w:color w:val="auto"/>
                <w:highlight w:val="none"/>
                <w:lang w:val="en-US" w:eastAsia="zh-CN"/>
              </w:rPr>
              <w:t>矿区道路及出入口位于厂区南侧与场外道路相通</w:t>
            </w:r>
            <w:r>
              <w:rPr>
                <w:rFonts w:hint="default" w:ascii="Times New Roman" w:hAnsi="Times New Roman" w:eastAsia="仿宋" w:cs="Times New Roman"/>
                <w:color w:val="auto"/>
                <w:highlight w:val="none"/>
              </w:rPr>
              <w:t>，便于本项目的运输及生产管理，从环境保护角度考虑，本项目</w:t>
            </w:r>
            <w:r>
              <w:rPr>
                <w:rFonts w:hint="eastAsia" w:ascii="Times New Roman" w:eastAsia="仿宋" w:cs="Times New Roman"/>
                <w:color w:val="auto"/>
                <w:highlight w:val="none"/>
                <w:lang w:eastAsia="zh-CN"/>
              </w:rPr>
              <w:t>总体</w:t>
            </w:r>
            <w:r>
              <w:rPr>
                <w:rFonts w:hint="default" w:ascii="Times New Roman" w:hAnsi="Times New Roman" w:eastAsia="仿宋" w:cs="Times New Roman"/>
                <w:color w:val="auto"/>
                <w:highlight w:val="none"/>
              </w:rPr>
              <w:t>布置基本合理。本项目</w:t>
            </w:r>
            <w:r>
              <w:rPr>
                <w:rFonts w:hint="default" w:ascii="Times New Roman" w:hAnsi="Times New Roman" w:eastAsia="仿宋" w:cs="Times New Roman"/>
                <w:color w:val="auto"/>
                <w:highlight w:val="none"/>
                <w:lang w:val="en-US" w:eastAsia="zh-CN"/>
              </w:rPr>
              <w:t>平面</w:t>
            </w:r>
            <w:r>
              <w:rPr>
                <w:rFonts w:hint="default" w:ascii="Times New Roman" w:hAnsi="Times New Roman" w:eastAsia="仿宋" w:cs="Times New Roman"/>
                <w:color w:val="auto"/>
                <w:highlight w:val="none"/>
              </w:rPr>
              <w:t>布置示意图见图2-</w:t>
            </w:r>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施工方案</w:t>
            </w:r>
          </w:p>
        </w:tc>
        <w:tc>
          <w:tcPr>
            <w:tcW w:w="9070" w:type="dxa"/>
            <w:vAlign w:val="center"/>
          </w:tcPr>
          <w:p>
            <w:pPr>
              <w:pStyle w:val="37"/>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t>1、施工工艺</w:t>
            </w:r>
            <w:r>
              <w:rPr>
                <w:rFonts w:hint="default" w:ascii="Times New Roman" w:hAnsi="Times New Roman" w:eastAsia="仿宋" w:cs="Times New Roman"/>
                <w:b/>
                <w:bCs/>
                <w:color w:val="auto"/>
                <w:lang w:val="en-US" w:eastAsia="zh-CN"/>
              </w:rPr>
              <w:t>流程</w:t>
            </w:r>
          </w:p>
          <w:p>
            <w:pPr>
              <w:adjustRightInd w:val="0"/>
              <w:snapToGrid w:val="0"/>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本项目工程施工期主要对</w:t>
            </w:r>
            <w:r>
              <w:rPr>
                <w:rFonts w:hint="default" w:ascii="Times New Roman" w:hAnsi="Times New Roman" w:eastAsia="仿宋" w:cs="Times New Roman"/>
                <w:color w:val="auto"/>
                <w:lang w:val="en-US" w:eastAsia="zh-CN"/>
              </w:rPr>
              <w:t>厂区平整、设备安装</w:t>
            </w:r>
            <w:r>
              <w:rPr>
                <w:rFonts w:hint="default" w:ascii="Times New Roman" w:hAnsi="Times New Roman" w:eastAsia="仿宋" w:cs="Times New Roman"/>
                <w:color w:val="auto"/>
              </w:rPr>
              <w:t>等。</w:t>
            </w:r>
          </w:p>
          <w:p>
            <w:pPr>
              <w:adjustRightInd w:val="0"/>
              <w:snapToGrid w:val="0"/>
              <w:ind w:firstLine="42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0" distR="0">
                  <wp:extent cx="5398135" cy="85090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98135" cy="850900"/>
                          </a:xfrm>
                          <a:prstGeom prst="rect">
                            <a:avLst/>
                          </a:prstGeom>
                          <a:noFill/>
                          <a:ln>
                            <a:noFill/>
                          </a:ln>
                        </pic:spPr>
                      </pic:pic>
                    </a:graphicData>
                  </a:graphic>
                </wp:inline>
              </w:drawing>
            </w:r>
          </w:p>
          <w:p>
            <w:pPr>
              <w:pStyle w:val="37"/>
              <w:spacing w:line="360" w:lineRule="auto"/>
              <w:ind w:firstLine="482" w:firstLineChars="20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图2-</w:t>
            </w:r>
            <w:r>
              <w:rPr>
                <w:rFonts w:hint="eastAsia" w:ascii="Times New Roman" w:hAnsi="Times New Roman" w:eastAsia="仿宋" w:cs="Times New Roman"/>
                <w:b/>
                <w:bCs/>
                <w:color w:val="auto"/>
                <w:lang w:val="en-US" w:eastAsia="zh-CN"/>
              </w:rPr>
              <w:t>5</w:t>
            </w:r>
            <w:r>
              <w:rPr>
                <w:rFonts w:hint="default" w:ascii="Times New Roman" w:hAnsi="Times New Roman" w:eastAsia="仿宋" w:cs="Times New Roman"/>
                <w:b/>
                <w:bCs/>
                <w:color w:val="auto"/>
              </w:rPr>
              <w:t>施工期工艺流程图</w:t>
            </w:r>
          </w:p>
          <w:p>
            <w:pPr>
              <w:pStyle w:val="37"/>
              <w:numPr>
                <w:ilvl w:val="0"/>
                <w:numId w:val="0"/>
              </w:numPr>
              <w:spacing w:line="360" w:lineRule="auto"/>
              <w:ind w:firstLine="480" w:firstLineChars="200"/>
              <w:rPr>
                <w:rFonts w:hint="default" w:ascii="Times New Roman" w:hAnsi="Times New Roman" w:eastAsia="仿宋" w:cs="Times New Roman"/>
                <w:b/>
                <w:bCs/>
                <w:color w:val="auto"/>
              </w:rPr>
            </w:pPr>
            <w:r>
              <w:rPr>
                <w:rFonts w:hint="default" w:ascii="Times New Roman" w:hAnsi="Times New Roman" w:eastAsia="仿宋" w:cs="Times New Roman"/>
                <w:color w:val="auto"/>
              </w:rPr>
              <w:drawing>
                <wp:anchor distT="0" distB="0" distL="114300" distR="114300" simplePos="0" relativeHeight="251692032" behindDoc="0" locked="0" layoutInCell="1" allowOverlap="1">
                  <wp:simplePos x="0" y="0"/>
                  <wp:positionH relativeFrom="column">
                    <wp:posOffset>92710</wp:posOffset>
                  </wp:positionH>
                  <wp:positionV relativeFrom="paragraph">
                    <wp:posOffset>201930</wp:posOffset>
                  </wp:positionV>
                  <wp:extent cx="5621020" cy="4013835"/>
                  <wp:effectExtent l="0" t="0" r="17780" b="571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a:stretch>
                            <a:fillRect/>
                          </a:stretch>
                        </pic:blipFill>
                        <pic:spPr>
                          <a:xfrm>
                            <a:off x="0" y="0"/>
                            <a:ext cx="5621020" cy="4013835"/>
                          </a:xfrm>
                          <a:prstGeom prst="rect">
                            <a:avLst/>
                          </a:prstGeom>
                          <a:noFill/>
                          <a:ln>
                            <a:noFill/>
                          </a:ln>
                        </pic:spPr>
                      </pic:pic>
                    </a:graphicData>
                  </a:graphic>
                </wp:anchor>
              </w:drawing>
            </w:r>
            <w:r>
              <w:rPr>
                <w:rFonts w:hint="eastAsia" w:ascii="Times New Roman" w:eastAsia="仿宋" w:cs="Times New Roman"/>
                <w:b/>
                <w:bCs/>
                <w:color w:val="auto"/>
                <w:lang w:val="en-US" w:eastAsia="zh-CN"/>
              </w:rPr>
              <w:t>2、</w:t>
            </w:r>
            <w:r>
              <w:rPr>
                <w:rFonts w:hint="default" w:ascii="Times New Roman" w:hAnsi="Times New Roman" w:eastAsia="仿宋" w:cs="Times New Roman"/>
                <w:b/>
                <w:bCs/>
                <w:color w:val="auto"/>
              </w:rPr>
              <w:t>运营期工艺流程图</w:t>
            </w:r>
          </w:p>
          <w:p>
            <w:pPr>
              <w:rPr>
                <w:rFonts w:hint="default" w:ascii="Times New Roman" w:hAnsi="Times New Roman" w:eastAsia="仿宋" w:cs="Times New Roman"/>
                <w:b/>
                <w:bCs/>
                <w:color w:val="auto"/>
              </w:rPr>
            </w:pPr>
          </w:p>
          <w:p>
            <w:pPr>
              <w:pStyle w:val="22"/>
              <w:rPr>
                <w:rFonts w:hint="default" w:ascii="Times New Roman" w:hAnsi="Times New Roman" w:eastAsia="仿宋" w:cs="Times New Roman"/>
                <w:b/>
                <w:bCs/>
                <w:color w:val="auto"/>
              </w:rPr>
            </w:pPr>
          </w:p>
          <w:p>
            <w:pPr>
              <w:pStyle w:val="22"/>
              <w:rPr>
                <w:rFonts w:hint="default" w:ascii="Times New Roman" w:hAnsi="Times New Roman" w:eastAsia="仿宋" w:cs="Times New Roman"/>
                <w:b/>
                <w:bCs/>
                <w:color w:val="auto"/>
              </w:rPr>
            </w:pPr>
          </w:p>
          <w:p>
            <w:pPr>
              <w:rPr>
                <w:rFonts w:hint="default" w:ascii="Times New Roman" w:hAnsi="Times New Roman" w:eastAsia="仿宋" w:cs="Times New Roman"/>
                <w:b/>
                <w:bCs/>
                <w:color w:val="auto"/>
              </w:rPr>
            </w:pPr>
          </w:p>
          <w:p>
            <w:pPr>
              <w:pStyle w:val="25"/>
              <w:rPr>
                <w:rFonts w:hint="default" w:ascii="Times New Roman" w:hAnsi="Times New Roman" w:eastAsia="仿宋" w:cs="Times New Roman"/>
                <w:b/>
                <w:bCs/>
                <w:color w:val="auto"/>
              </w:rPr>
            </w:pPr>
          </w:p>
          <w:p>
            <w:pPr>
              <w:pStyle w:val="18"/>
              <w:rPr>
                <w:rFonts w:hint="default" w:ascii="Times New Roman" w:hAnsi="Times New Roman" w:eastAsia="仿宋" w:cs="Times New Roman"/>
                <w:b/>
                <w:bCs/>
                <w:color w:val="auto"/>
              </w:rPr>
            </w:pPr>
          </w:p>
          <w:p>
            <w:pPr>
              <w:rPr>
                <w:rFonts w:hint="default" w:ascii="Times New Roman" w:hAnsi="Times New Roman" w:eastAsia="仿宋" w:cs="Times New Roman"/>
                <w:b/>
                <w:bCs/>
                <w:color w:val="auto"/>
              </w:rPr>
            </w:pPr>
          </w:p>
          <w:p>
            <w:pPr>
              <w:pStyle w:val="25"/>
              <w:rPr>
                <w:rFonts w:hint="default" w:ascii="Times New Roman" w:hAnsi="Times New Roman" w:eastAsia="仿宋" w:cs="Times New Roman"/>
                <w:b/>
                <w:bCs/>
                <w:color w:val="auto"/>
              </w:rPr>
            </w:pPr>
          </w:p>
          <w:p>
            <w:pPr>
              <w:pStyle w:val="18"/>
              <w:rPr>
                <w:rFonts w:hint="default" w:ascii="Times New Roman" w:hAnsi="Times New Roman" w:eastAsia="仿宋" w:cs="Times New Roman"/>
                <w:b/>
                <w:bCs/>
                <w:color w:val="auto"/>
              </w:rPr>
            </w:pPr>
          </w:p>
          <w:p>
            <w:pPr>
              <w:rPr>
                <w:rFonts w:hint="default" w:ascii="Times New Roman" w:hAnsi="Times New Roman" w:eastAsia="仿宋" w:cs="Times New Roman"/>
                <w:b/>
                <w:bCs/>
                <w:color w:val="auto"/>
              </w:rPr>
            </w:pPr>
          </w:p>
          <w:p>
            <w:pPr>
              <w:pStyle w:val="25"/>
              <w:rPr>
                <w:rFonts w:hint="default" w:ascii="Times New Roman" w:hAnsi="Times New Roman" w:eastAsia="仿宋" w:cs="Times New Roman"/>
                <w:b/>
                <w:bCs/>
                <w:color w:val="auto"/>
              </w:rPr>
            </w:pPr>
          </w:p>
          <w:p>
            <w:pPr>
              <w:pStyle w:val="18"/>
              <w:rPr>
                <w:rFonts w:hint="default" w:ascii="Times New Roman" w:hAnsi="Times New Roman" w:eastAsia="仿宋" w:cs="Times New Roman"/>
                <w:b/>
                <w:bCs/>
                <w:color w:val="auto"/>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b/>
                <w:bCs/>
                <w:color w:val="auto"/>
                <w:sz w:val="24"/>
                <w:szCs w:val="32"/>
                <w:highlight w:val="none"/>
              </w:rPr>
              <w:t>图2-</w:t>
            </w:r>
            <w:r>
              <w:rPr>
                <w:rFonts w:hint="eastAsia" w:ascii="Times New Roman" w:hAnsi="Times New Roman" w:eastAsia="仿宋" w:cs="Times New Roman"/>
                <w:b/>
                <w:bCs/>
                <w:color w:val="auto"/>
                <w:sz w:val="24"/>
                <w:szCs w:val="32"/>
                <w:highlight w:val="none"/>
                <w:lang w:val="en-US" w:eastAsia="zh-CN"/>
              </w:rPr>
              <w:t>6</w:t>
            </w:r>
            <w:r>
              <w:rPr>
                <w:rFonts w:hint="default" w:ascii="Times New Roman" w:hAnsi="Times New Roman" w:eastAsia="仿宋" w:cs="Times New Roman"/>
                <w:b/>
                <w:bCs/>
                <w:color w:val="auto"/>
                <w:sz w:val="24"/>
                <w:szCs w:val="32"/>
                <w:highlight w:val="none"/>
              </w:rPr>
              <w:t>工艺流程图</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根据矿体赋存及矿区地形地貌条件、开采深度、矿山开采技术条件以及所选用的</w:t>
            </w:r>
            <w:r>
              <w:rPr>
                <w:rFonts w:hint="default" w:ascii="Times New Roman" w:hAnsi="Times New Roman" w:eastAsia="仿宋" w:cs="Times New Roman"/>
                <w:color w:val="auto"/>
                <w:spacing w:val="3"/>
                <w:lang w:eastAsia="zh-CN"/>
              </w:rPr>
              <w:t>采矿</w:t>
            </w:r>
            <w:r>
              <w:rPr>
                <w:rFonts w:hint="default" w:ascii="Times New Roman" w:hAnsi="Times New Roman" w:eastAsia="仿宋" w:cs="Times New Roman"/>
                <w:color w:val="auto"/>
                <w:spacing w:val="3"/>
              </w:rPr>
              <w:t>设备等，项目采用露天开采，采用自上而下开采方法。矿山岩土疏松，可采用挖掘机采掘</w:t>
            </w:r>
            <w:r>
              <w:rPr>
                <w:rFonts w:hint="eastAsia"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1"/>
              </w:rPr>
              <w:t>采下砂石料由胶带输送机将砂石料送入筛分区。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（1）开采方法</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设计采用挖掘机和汽车运输采矿方法，不涉及炸药。</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（2）开拓运输系统</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该矿系露天矿，砂石料内部运输采用挖掘机和胶带输送机。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（3）砂石料加工系统</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color w:val="auto"/>
                <w:spacing w:val="3"/>
              </w:rPr>
              <w:t>采场采出的砂卵石用汽车运至矿石堆放场经胶带输送机输入筛分机内由</w:t>
            </w:r>
            <w:r>
              <w:rPr>
                <w:rFonts w:hint="default" w:ascii="Times New Roman" w:hAnsi="Times New Roman" w:eastAsia="仿宋" w:cs="Times New Roman"/>
                <w:color w:val="auto"/>
                <w:spacing w:val="3"/>
                <w:lang w:eastAsia="zh-CN"/>
              </w:rPr>
              <w:t>滚筒</w:t>
            </w:r>
            <w:r>
              <w:rPr>
                <w:rFonts w:hint="default" w:ascii="Times New Roman" w:hAnsi="Times New Roman" w:eastAsia="仿宋" w:cs="Times New Roman"/>
                <w:color w:val="auto"/>
                <w:spacing w:val="3"/>
              </w:rPr>
              <w:t>筛分。滚筒筛呈圆柱状，</w:t>
            </w:r>
            <w:r>
              <w:rPr>
                <w:rFonts w:hint="default" w:ascii="Times New Roman" w:hAnsi="Times New Roman" w:eastAsia="仿宋" w:cs="Times New Roman"/>
                <w:color w:val="auto"/>
                <w:spacing w:val="3"/>
                <w:lang w:eastAsia="zh-CN"/>
              </w:rPr>
              <w:t>倾斜</w:t>
            </w:r>
            <w:r>
              <w:rPr>
                <w:rFonts w:hint="default" w:ascii="Times New Roman" w:hAnsi="Times New Roman" w:eastAsia="仿宋" w:cs="Times New Roman"/>
                <w:color w:val="auto"/>
                <w:spacing w:val="3"/>
              </w:rPr>
              <w:t>安装，砂卵从位置较高的一侧输入。当滚筒转动时，砂卵石借助重力的作用，往位置较低的一侧移动，同时不同孔径的砂卵石从筛网露出。通过滚筒筛工作，将</w:t>
            </w:r>
            <w:r>
              <w:rPr>
                <w:rFonts w:hint="default" w:ascii="Times New Roman" w:hAnsi="Times New Roman" w:eastAsia="仿宋" w:cs="Times New Roman"/>
                <w:color w:val="auto"/>
                <w:spacing w:val="3"/>
                <w:lang w:eastAsia="zh-CN"/>
              </w:rPr>
              <w:t>粒径</w:t>
            </w:r>
            <w:r>
              <w:rPr>
                <w:rFonts w:hint="default" w:ascii="Times New Roman" w:hAnsi="Times New Roman" w:eastAsia="仿宋" w:cs="Times New Roman"/>
                <w:color w:val="auto"/>
                <w:spacing w:val="3"/>
              </w:rPr>
              <w:t>不同的砂卵石分级后由3条输送带将粒径为0.15-5.0mm、5.0-20.0mm、20-40mm的砂卵石分别输送至临时</w:t>
            </w:r>
            <w:r>
              <w:rPr>
                <w:rFonts w:hint="default" w:ascii="Times New Roman" w:hAnsi="Times New Roman" w:eastAsia="仿宋" w:cs="Times New Roman"/>
                <w:color w:val="auto"/>
                <w:spacing w:val="3"/>
                <w:lang w:eastAsia="zh-CN"/>
              </w:rPr>
              <w:t>堆放</w:t>
            </w:r>
            <w:r>
              <w:rPr>
                <w:rFonts w:hint="default" w:ascii="Times New Roman" w:hAnsi="Times New Roman" w:eastAsia="仿宋" w:cs="Times New Roman"/>
                <w:color w:val="auto"/>
                <w:spacing w:val="3"/>
              </w:rPr>
              <w:t>点，由挖掘机装载至自卸汽车将砂卵石</w:t>
            </w:r>
            <w:r>
              <w:rPr>
                <w:rFonts w:hint="default" w:ascii="Times New Roman" w:hAnsi="Times New Roman" w:eastAsia="仿宋" w:cs="Times New Roman"/>
                <w:color w:val="auto"/>
                <w:spacing w:val="3"/>
                <w:lang w:val="en-US" w:eastAsia="zh-CN"/>
              </w:rPr>
              <w:t>装车外运</w:t>
            </w: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大于40mm及粒</w:t>
            </w:r>
            <w:r>
              <w:rPr>
                <w:rFonts w:hint="default" w:ascii="Times New Roman" w:hAnsi="Times New Roman" w:eastAsia="仿宋" w:cs="Times New Roman"/>
                <w:color w:val="auto"/>
                <w:spacing w:val="3"/>
              </w:rPr>
              <w:t>径小于0.15mm的泥沙，运至废料堆场，</w:t>
            </w:r>
            <w:r>
              <w:rPr>
                <w:rFonts w:hint="default" w:ascii="Times New Roman" w:hAnsi="Times New Roman" w:eastAsia="仿宋" w:cs="Times New Roman"/>
                <w:color w:val="auto"/>
                <w:spacing w:val="3"/>
                <w:lang w:val="en-US" w:eastAsia="zh-CN"/>
              </w:rPr>
              <w:t>后期用于采坑回填</w:t>
            </w:r>
            <w:r>
              <w:rPr>
                <w:rFonts w:hint="default" w:ascii="Times New Roman" w:hAnsi="Times New Roman" w:eastAsia="仿宋" w:cs="Times New Roman"/>
                <w:color w:val="auto"/>
                <w:spacing w:val="3"/>
              </w:rPr>
              <w:t>。</w:t>
            </w:r>
          </w:p>
          <w:p>
            <w:pPr>
              <w:pStyle w:val="8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3、施工时序及建设周期</w:t>
            </w:r>
          </w:p>
          <w:p>
            <w:pPr>
              <w:spacing w:line="360" w:lineRule="auto"/>
              <w:ind w:firstLine="482" w:firstLineChars="200"/>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3.1施工时序</w:t>
            </w:r>
          </w:p>
          <w:p>
            <w:pPr>
              <w:spacing w:line="360" w:lineRule="auto"/>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六必须</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六不准</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84"/>
              <w:spacing w:line="360" w:lineRule="auto"/>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3.2建设周期</w:t>
            </w:r>
          </w:p>
          <w:p>
            <w:pPr>
              <w:pStyle w:val="8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kern w:val="0"/>
                <w:sz w:val="24"/>
                <w:szCs w:val="24"/>
                <w:lang w:val="en-US" w:eastAsia="zh-CN" w:bidi="ar-SA"/>
              </w:rPr>
              <w:t>根据计划及结合工程实际情况，本工程初拟施工总工期</w:t>
            </w:r>
            <w:r>
              <w:rPr>
                <w:rFonts w:hint="eastAsia" w:ascii="Times New Roman" w:hAnsi="Times New Roman" w:eastAsia="仿宋" w:cs="Times New Roman"/>
                <w:b w:val="0"/>
                <w:bCs w:val="0"/>
                <w:color w:val="auto"/>
                <w:kern w:val="0"/>
                <w:sz w:val="24"/>
                <w:szCs w:val="24"/>
                <w:lang w:val="en-US" w:eastAsia="zh-CN" w:bidi="ar-SA"/>
              </w:rPr>
              <w:t>3</w:t>
            </w:r>
            <w:r>
              <w:rPr>
                <w:rFonts w:hint="default" w:ascii="Times New Roman" w:hAnsi="Times New Roman" w:eastAsia="仿宋" w:cs="Times New Roman"/>
                <w:b w:val="0"/>
                <w:bCs w:val="0"/>
                <w:color w:val="auto"/>
                <w:kern w:val="0"/>
                <w:sz w:val="24"/>
                <w:szCs w:val="24"/>
                <w:lang w:val="en-US" w:eastAsia="zh-CN" w:bidi="ar-SA"/>
              </w:rPr>
              <w:t>个月（202</w:t>
            </w:r>
            <w:r>
              <w:rPr>
                <w:rFonts w:hint="eastAsia" w:ascii="Times New Roman" w:hAnsi="Times New Roman" w:eastAsia="仿宋" w:cs="Times New Roman"/>
                <w:b w:val="0"/>
                <w:bCs w:val="0"/>
                <w:color w:val="auto"/>
                <w:kern w:val="0"/>
                <w:sz w:val="24"/>
                <w:szCs w:val="24"/>
                <w:lang w:val="en-US" w:eastAsia="zh-CN" w:bidi="ar-SA"/>
              </w:rPr>
              <w:t>4</w:t>
            </w:r>
            <w:r>
              <w:rPr>
                <w:rFonts w:hint="default" w:ascii="Times New Roman" w:hAnsi="Times New Roman" w:eastAsia="仿宋" w:cs="Times New Roman"/>
                <w:b w:val="0"/>
                <w:bCs w:val="0"/>
                <w:color w:val="auto"/>
                <w:kern w:val="0"/>
                <w:sz w:val="24"/>
                <w:szCs w:val="24"/>
                <w:lang w:val="en-US" w:eastAsia="zh-CN" w:bidi="ar-SA"/>
              </w:rPr>
              <w:t>年4-</w:t>
            </w:r>
            <w:r>
              <w:rPr>
                <w:rFonts w:hint="eastAsia" w:ascii="Times New Roman" w:hAnsi="Times New Roman" w:eastAsia="仿宋" w:cs="Times New Roman"/>
                <w:b w:val="0"/>
                <w:bCs w:val="0"/>
                <w:color w:val="auto"/>
                <w:kern w:val="0"/>
                <w:sz w:val="24"/>
                <w:szCs w:val="24"/>
                <w:lang w:val="en-US" w:eastAsia="zh-CN" w:bidi="ar-SA"/>
              </w:rPr>
              <w:t>6</w:t>
            </w:r>
            <w:r>
              <w:rPr>
                <w:rFonts w:hint="default" w:ascii="Times New Roman" w:hAnsi="Times New Roman" w:eastAsia="仿宋" w:cs="Times New Roman"/>
                <w:b w:val="0"/>
                <w:bCs w:val="0"/>
                <w:color w:val="auto"/>
                <w:kern w:val="0"/>
                <w:sz w:val="24"/>
                <w:szCs w:val="24"/>
                <w:lang w:val="en-US" w:eastAsia="zh-CN" w:bidi="ar-S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其他</w:t>
            </w:r>
          </w:p>
        </w:tc>
        <w:tc>
          <w:tcPr>
            <w:tcW w:w="9070" w:type="dxa"/>
            <w:vAlign w:val="center"/>
          </w:tcPr>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无</w:t>
            </w:r>
          </w:p>
          <w:p>
            <w:pPr>
              <w:pStyle w:val="25"/>
              <w:rPr>
                <w:rFonts w:hint="default" w:ascii="Times New Roman" w:hAnsi="Times New Roman" w:eastAsia="仿宋" w:cs="Times New Roman"/>
                <w:color w:val="auto"/>
                <w:kern w:val="0"/>
                <w:szCs w:val="21"/>
              </w:rPr>
            </w:pPr>
          </w:p>
          <w:p>
            <w:pPr>
              <w:pStyle w:val="18"/>
              <w:ind w:left="0" w:leftChars="0" w:firstLine="0" w:firstLineChars="0"/>
              <w:rPr>
                <w:rFonts w:hint="default"/>
                <w:color w:val="auto"/>
              </w:rPr>
            </w:pPr>
          </w:p>
        </w:tc>
      </w:tr>
    </w:tbl>
    <w:p>
      <w:pPr>
        <w:pStyle w:val="20"/>
        <w:spacing w:line="240" w:lineRule="auto"/>
        <w:ind w:firstLine="0" w:firstLineChars="0"/>
        <w:jc w:val="center"/>
        <w:outlineLvl w:val="0"/>
        <w:rPr>
          <w:rFonts w:hint="default" w:ascii="Times New Roman" w:hAnsi="Times New Roman" w:eastAsia="仿宋" w:cs="Times New Roman"/>
          <w:b/>
          <w:bCs/>
          <w:color w:val="auto"/>
        </w:rPr>
        <w:sectPr>
          <w:footerReference r:id="rId9" w:type="default"/>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三、生态环境现状、保护目标及评价标准</w:t>
      </w:r>
    </w:p>
    <w:tbl>
      <w:tblPr>
        <w:tblStyle w:val="26"/>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生态环境现状</w:t>
            </w:r>
          </w:p>
        </w:tc>
        <w:tc>
          <w:tcPr>
            <w:tcW w:w="8329" w:type="dxa"/>
            <w:vAlign w:val="center"/>
          </w:tcPr>
          <w:p>
            <w:pPr>
              <w:pStyle w:val="9"/>
              <w:widowControl w:val="0"/>
              <w:adjustRightInd w:val="0"/>
              <w:spacing w:before="0" w:after="0" w:line="360" w:lineRule="auto"/>
              <w:ind w:right="0"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1、生态环境现状</w:t>
            </w:r>
            <w:r>
              <w:rPr>
                <w:rFonts w:hint="default" w:ascii="Times New Roman" w:hAnsi="Times New Roman" w:eastAsia="仿宋" w:cs="Times New Roman"/>
                <w:b/>
                <w:bCs/>
                <w:color w:val="auto"/>
                <w:sz w:val="24"/>
                <w:szCs w:val="24"/>
                <w:lang w:val="en-US" w:eastAsia="zh-CN"/>
              </w:rPr>
              <w:t>调查</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w:t>
            </w:r>
            <w:r>
              <w:rPr>
                <w:rFonts w:hint="default" w:ascii="Times New Roman" w:hAnsi="Times New Roman" w:eastAsia="仿宋" w:cs="Times New Roman"/>
                <w:color w:val="auto"/>
                <w:sz w:val="24"/>
                <w:szCs w:val="24"/>
              </w:rPr>
              <w:t>《新疆维吾尔自治区主体功能区规划》</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rPr>
              <w:t>本项目位于</w:t>
            </w:r>
            <w:r>
              <w:rPr>
                <w:rFonts w:hint="default" w:ascii="Times New Roman" w:hAnsi="Times New Roman" w:eastAsia="仿宋" w:cs="Times New Roman"/>
                <w:color w:val="auto"/>
                <w:sz w:val="24"/>
                <w:szCs w:val="24"/>
                <w:highlight w:val="none"/>
                <w:lang w:val="en-US" w:eastAsia="zh-CN"/>
              </w:rPr>
              <w:t>新疆维吾尔自治区吐鲁番地区</w:t>
            </w:r>
            <w:r>
              <w:rPr>
                <w:rFonts w:hint="eastAsia" w:eastAsia="仿宋" w:cs="Times New Roman"/>
                <w:color w:val="auto"/>
                <w:sz w:val="24"/>
                <w:szCs w:val="24"/>
                <w:highlight w:val="none"/>
                <w:lang w:eastAsia="zh-CN"/>
              </w:rPr>
              <w:t>鄯善县北西296°方位，直线距离13.4千米</w:t>
            </w:r>
            <w:r>
              <w:rPr>
                <w:rFonts w:hint="default" w:ascii="Times New Roman" w:hAnsi="Times New Roman" w:eastAsia="仿宋" w:cs="Times New Roman"/>
                <w:color w:val="auto"/>
                <w:sz w:val="24"/>
                <w:szCs w:val="24"/>
                <w:highlight w:val="none"/>
              </w:rPr>
              <w:t>，项目所在区域不属于限制开发区和禁止开发区，属于允许开发区。</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（2）生态功能区划</w:t>
            </w:r>
          </w:p>
          <w:p>
            <w:pPr>
              <w:adjustRightInd w:val="0"/>
              <w:snapToGrid w:val="0"/>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w:t>
            </w:r>
            <w:r>
              <w:rPr>
                <w:rFonts w:hint="default" w:ascii="Times New Roman" w:hAnsi="Times New Roman" w:eastAsia="仿宋" w:cs="Times New Roman"/>
                <w:color w:val="auto"/>
                <w:sz w:val="24"/>
                <w:szCs w:val="24"/>
                <w:highlight w:val="none"/>
                <w:lang w:val="en-US" w:eastAsia="zh-CN"/>
              </w:rPr>
              <w:t>吐鲁番地区</w:t>
            </w:r>
            <w:r>
              <w:rPr>
                <w:rFonts w:hint="eastAsia" w:eastAsia="仿宋" w:cs="Times New Roman"/>
                <w:color w:val="auto"/>
                <w:sz w:val="24"/>
                <w:szCs w:val="24"/>
                <w:highlight w:val="none"/>
                <w:lang w:eastAsia="zh-CN"/>
              </w:rPr>
              <w:t>鄯善县北西296°方位，直线距离13.4千米</w:t>
            </w:r>
            <w:r>
              <w:rPr>
                <w:rFonts w:hint="default" w:ascii="Times New Roman" w:hAnsi="Times New Roman" w:eastAsia="仿宋" w:cs="Times New Roman"/>
                <w:color w:val="auto"/>
                <w:sz w:val="24"/>
                <w:szCs w:val="24"/>
                <w:lang w:val="en-US" w:eastAsia="zh-CN"/>
              </w:rPr>
              <w:t>，根据《新疆生态功能区划》，项目区属于天山南坡吐鲁番—哈密盆地戈壁荒漠、绿洲农业生态亚区，主要生态服务功能为特色农产品生产、人居环境、旅游。项目区的生态功能区划见表3-1</w:t>
            </w:r>
            <w:r>
              <w:rPr>
                <w:rFonts w:hint="eastAsia" w:ascii="Times New Roman" w:hAnsi="Times New Roman" w:eastAsia="仿宋" w:cs="Times New Roman"/>
                <w:color w:val="auto"/>
                <w:sz w:val="24"/>
                <w:szCs w:val="24"/>
                <w:lang w:val="en-US" w:eastAsia="zh-CN"/>
              </w:rPr>
              <w:t>，详见图3-1：项目区生态功能区划图。</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表3-1项目所在区域生态功能区划</w:t>
            </w:r>
          </w:p>
          <w:tbl>
            <w:tblPr>
              <w:tblStyle w:val="8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3"/>
              <w:gridCol w:w="1219"/>
              <w:gridCol w:w="5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生态功能分区单元</w:t>
                  </w: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生态亚区</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主要生态服务功能</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主要生态环境问题</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主要生态敏感因子、敏感</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程度</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主要保护目标</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p>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主要保护措施</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（3）土地利用现状调查</w:t>
            </w:r>
          </w:p>
          <w:p>
            <w:pPr>
              <w:adjustRightInd w:val="0"/>
              <w:snapToGrid w:val="0"/>
              <w:ind w:firstLine="420"/>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sz w:val="24"/>
                <w:szCs w:val="24"/>
                <w:highlight w:val="none"/>
              </w:rPr>
              <w:t>依据</w:t>
            </w:r>
            <w:r>
              <w:rPr>
                <w:rFonts w:hint="default" w:ascii="Times New Roman" w:hAnsi="Times New Roman" w:eastAsia="仿宋" w:cs="Times New Roman"/>
                <w:color w:val="auto"/>
                <w:sz w:val="24"/>
                <w:szCs w:val="24"/>
                <w:highlight w:val="none"/>
                <w:lang w:eastAsia="zh-CN"/>
              </w:rPr>
              <w:t>鄯善县自然资源局</w:t>
            </w:r>
            <w:r>
              <w:rPr>
                <w:rFonts w:hint="default" w:ascii="Times New Roman" w:hAnsi="Times New Roman" w:eastAsia="仿宋" w:cs="Times New Roman"/>
                <w:color w:val="auto"/>
                <w:sz w:val="24"/>
                <w:szCs w:val="24"/>
                <w:highlight w:val="none"/>
              </w:rPr>
              <w:t>出具的《</w:t>
            </w:r>
            <w:r>
              <w:rPr>
                <w:rFonts w:hint="default" w:ascii="Times New Roman" w:hAnsi="Times New Roman" w:eastAsia="仿宋" w:cs="Times New Roman"/>
                <w:color w:val="auto"/>
                <w:sz w:val="24"/>
                <w:szCs w:val="24"/>
                <w:highlight w:val="none"/>
                <w:lang w:eastAsia="zh-CN"/>
              </w:rPr>
              <w:t>关于鄯善县泰航矿业有限公司</w:t>
            </w:r>
            <w:r>
              <w:rPr>
                <w:rFonts w:hint="eastAsia" w:eastAsia="仿宋" w:cs="Times New Roman"/>
                <w:color w:val="auto"/>
                <w:sz w:val="24"/>
                <w:szCs w:val="24"/>
                <w:highlight w:val="none"/>
                <w:lang w:eastAsia="zh-CN"/>
              </w:rPr>
              <w:t>新疆鄯善县连木沁镇阿克墩村北建筑用砂矿</w:t>
            </w:r>
            <w:r>
              <w:rPr>
                <w:rFonts w:hint="default" w:ascii="Times New Roman" w:hAnsi="Times New Roman" w:eastAsia="仿宋" w:cs="Times New Roman"/>
                <w:color w:val="auto"/>
                <w:sz w:val="24"/>
                <w:szCs w:val="24"/>
                <w:highlight w:val="none"/>
                <w:lang w:eastAsia="zh-CN"/>
              </w:rPr>
              <w:t>土地属性的情况说明</w:t>
            </w:r>
            <w:r>
              <w:rPr>
                <w:rFonts w:hint="default" w:ascii="Times New Roman" w:hAnsi="Times New Roman" w:eastAsia="仿宋" w:cs="Times New Roman"/>
                <w:color w:val="auto"/>
                <w:sz w:val="24"/>
                <w:szCs w:val="24"/>
                <w:highlight w:val="none"/>
              </w:rPr>
              <w:t>》（资料来源于第三次全国土地调查数据库），结合《国土空间调查、规划、用途管制用地用海分类指南（试行）》（自然资源部2020年11月），矿区土地类型为</w:t>
            </w:r>
            <w:r>
              <w:rPr>
                <w:rFonts w:hint="default" w:ascii="Times New Roman" w:hAnsi="Times New Roman" w:eastAsia="仿宋" w:cs="Times New Roman"/>
                <w:color w:val="auto"/>
                <w:sz w:val="24"/>
                <w:szCs w:val="24"/>
                <w:highlight w:val="none"/>
                <w:lang w:val="en-US" w:eastAsia="zh-CN"/>
              </w:rPr>
              <w:t>其他土地类</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val="en-US" w:eastAsia="zh-CN"/>
              </w:rPr>
              <w:t>裸岩石砾地</w:t>
            </w:r>
            <w:r>
              <w:rPr>
                <w:rFonts w:hint="default" w:ascii="Times New Roman" w:hAnsi="Times New Roman" w:eastAsia="仿宋" w:cs="Times New Roman"/>
                <w:color w:val="auto"/>
                <w:sz w:val="24"/>
                <w:szCs w:val="24"/>
                <w:highlight w:val="none"/>
              </w:rPr>
              <w:t>，土地权属为国有土地</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详见图3-2：土地利用现状图。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（4）植被现状调查及评价</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矿区内由于干旱缺水，矿区内几无植被，仅个别沟谷见零星红柳、芦苇、骆驼刺等植物生长，大部分地区砂砾裸露，物理风化较强。群落结构简单，植被覆盖率小于1%</w:t>
            </w:r>
            <w:r>
              <w:rPr>
                <w:rFonts w:hint="eastAsia" w:eastAsia="仿宋" w:cs="Times New Roman"/>
                <w:color w:val="auto"/>
                <w:sz w:val="24"/>
                <w:szCs w:val="24"/>
                <w:highlight w:val="none"/>
                <w:lang w:val="en-US" w:eastAsia="zh-CN"/>
              </w:rPr>
              <w:t>，详见图3-3：项目区土壤植被类型图。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根据现场踏勘，矿区范围内未发现国家及自治区重点野生植物，也未发现需要特殊保护的野生植物分布区。</w:t>
            </w:r>
          </w:p>
          <w:p>
            <w:pPr>
              <w:adjustRightInd w:val="0"/>
              <w:snapToGrid w:val="0"/>
              <w:ind w:firstLine="420"/>
              <w:rPr>
                <w:rFonts w:hint="default" w:ascii="Times New Roman" w:hAnsi="Times New Roman" w:eastAsia="宋体" w:cs="Times New Roman"/>
                <w:color w:val="auto"/>
                <w:w w:val="110"/>
                <w:kern w:val="0"/>
                <w:sz w:val="24"/>
                <w:szCs w:val="20"/>
              </w:rPr>
            </w:pPr>
            <w:r>
              <w:rPr>
                <w:rFonts w:hint="default" w:ascii="Times New Roman" w:hAnsi="Times New Roman" w:eastAsia="仿宋" w:cs="Times New Roman"/>
                <w:color w:val="auto"/>
                <w:sz w:val="24"/>
                <w:szCs w:val="24"/>
                <w:highlight w:val="none"/>
                <w:lang w:val="en-US" w:eastAsia="zh-CN"/>
              </w:rPr>
              <w:t>根据实地调查结果统计，评价区内主要物种及分布环境见表</w:t>
            </w:r>
            <w:r>
              <w:rPr>
                <w:rFonts w:hint="eastAsia" w:ascii="Times New Roman" w:hAnsi="Times New Roman" w:eastAsia="仿宋" w:cs="Times New Roman"/>
                <w:color w:val="auto"/>
                <w:sz w:val="24"/>
                <w:szCs w:val="24"/>
                <w:highlight w:val="none"/>
                <w:lang w:val="en-US" w:eastAsia="zh-CN"/>
              </w:rPr>
              <w:t>3-</w:t>
            </w: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w:t>
            </w:r>
          </w:p>
          <w:p>
            <w:pPr>
              <w:adjustRightInd w:val="0"/>
              <w:snapToGrid w:val="0"/>
              <w:ind w:firstLine="420"/>
              <w:jc w:val="center"/>
              <w:rPr>
                <w:rFonts w:hint="default" w:ascii="Times New Roman" w:hAnsi="Times New Roman" w:eastAsia="仿宋" w:cs="Times New Roman"/>
                <w:b/>
                <w:bCs/>
                <w:color w:val="auto"/>
                <w:sz w:val="21"/>
                <w:szCs w:val="21"/>
                <w:highlight w:val="none"/>
                <w:lang w:val="en-US" w:eastAsia="zh-CN"/>
              </w:rPr>
            </w:pPr>
            <w:r>
              <w:rPr>
                <w:rFonts w:hint="eastAsia" w:ascii="Times New Roman" w:hAnsi="Times New Roman" w:eastAsia="仿宋" w:cs="Times New Roman"/>
                <w:b/>
                <w:bCs/>
                <w:color w:val="auto"/>
                <w:sz w:val="21"/>
                <w:szCs w:val="21"/>
                <w:highlight w:val="none"/>
                <w:lang w:val="en-US" w:eastAsia="zh-CN"/>
              </w:rPr>
              <w:t>表3-</w:t>
            </w:r>
            <w:r>
              <w:rPr>
                <w:rFonts w:hint="eastAsia" w:eastAsia="仿宋" w:cs="Times New Roman"/>
                <w:b/>
                <w:bCs/>
                <w:color w:val="auto"/>
                <w:sz w:val="21"/>
                <w:szCs w:val="21"/>
                <w:highlight w:val="none"/>
                <w:lang w:val="en-US" w:eastAsia="zh-CN"/>
              </w:rPr>
              <w:t>2</w:t>
            </w:r>
            <w:r>
              <w:rPr>
                <w:rFonts w:hint="eastAsia" w:ascii="Times New Roman" w:hAnsi="Times New Roman" w:eastAsia="仿宋" w:cs="Times New Roman"/>
                <w:b/>
                <w:bCs/>
                <w:color w:val="auto"/>
                <w:sz w:val="21"/>
                <w:szCs w:val="21"/>
                <w:highlight w:val="none"/>
                <w:lang w:val="en-US" w:eastAsia="zh-CN"/>
              </w:rPr>
              <w:t xml:space="preserve">   评价区常见高等植物种类</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中文名</w:t>
                  </w:r>
                </w:p>
              </w:tc>
              <w:tc>
                <w:tcPr>
                  <w:tcW w:w="2535" w:type="pct"/>
                </w:tcPr>
                <w:p>
                  <w:pPr>
                    <w:adjustRightInd w:val="0"/>
                    <w:snapToGrid w:val="0"/>
                    <w:spacing w:line="240" w:lineRule="auto"/>
                    <w:ind w:firstLine="420"/>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梭梭</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Haloxylon ammodendron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盐生假木贼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salsa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展枝假木贼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truncata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高枝假木贼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Anabais elatior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琵琶柴</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Reaumuria soongorica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柽柳</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Tamarix spp.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骆驼刺</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Karelinia caspia</w:t>
                  </w:r>
                </w:p>
              </w:tc>
            </w:tr>
          </w:tbl>
          <w:p>
            <w:pPr>
              <w:numPr>
                <w:ilvl w:val="0"/>
                <w:numId w:val="2"/>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土壤现状调查及评价</w:t>
            </w:r>
          </w:p>
          <w:p>
            <w:pPr>
              <w:numPr>
                <w:ilvl w:val="0"/>
                <w:numId w:val="0"/>
              </w:numPr>
              <w:adjustRightInd w:val="0"/>
              <w:snapToGrid w:val="0"/>
              <w:ind w:firstLine="480" w:firstLineChars="200"/>
              <w:rPr>
                <w:rFonts w:hint="default"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szCs w:val="24"/>
                <w:lang w:val="en-US" w:eastAsia="zh-CN"/>
              </w:rPr>
              <w:t>根据当地土壤资料及现状调查，矿区及周边的土壤类型为棕漠土，矿内砂土层主要由灰褐色砾石、粗砂、细砂、砂土组成，地表平坦，为一套灰色砾石、砂石等混杂堆积，松散无胶结，自然状态下微潮、分布均匀。根据土壤检测报告，区内土壤有机质含量低，根据委托新疆中合地矿测试研究有限公司提供的土壤化验检测结果，土壤有机质为4.92，</w:t>
            </w:r>
            <w:r>
              <w:rPr>
                <w:rFonts w:hint="eastAsia" w:eastAsia="仿宋" w:cs="Times New Roman"/>
                <w:color w:val="auto"/>
                <w:sz w:val="24"/>
                <w:szCs w:val="24"/>
                <w:lang w:val="en-US" w:eastAsia="zh-CN"/>
              </w:rPr>
              <w:t>pH酸碱度</w:t>
            </w:r>
            <w:r>
              <w:rPr>
                <w:rFonts w:hint="default" w:ascii="Times New Roman" w:hAnsi="Times New Roman" w:eastAsia="仿宋" w:cs="Times New Roman"/>
                <w:color w:val="auto"/>
                <w:sz w:val="24"/>
                <w:szCs w:val="24"/>
                <w:lang w:val="en-US" w:eastAsia="zh-CN"/>
              </w:rPr>
              <w:t>为7.7，土壤肥力低等特点。</w:t>
            </w:r>
          </w:p>
          <w:p>
            <w:pPr>
              <w:numPr>
                <w:ilvl w:val="0"/>
                <w:numId w:val="2"/>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野生动物现状调查及评价</w:t>
            </w:r>
          </w:p>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color w:val="auto"/>
                <w:sz w:val="24"/>
                <w:szCs w:val="24"/>
                <w:highlight w:val="none"/>
                <w:lang w:val="en-US" w:eastAsia="zh-CN"/>
              </w:rPr>
              <w:t>根据现场踏勘，</w:t>
            </w:r>
            <w:r>
              <w:rPr>
                <w:rFonts w:hint="default" w:ascii="Times New Roman" w:hAnsi="Times New Roman" w:eastAsia="仿宋" w:cs="Times New Roman"/>
                <w:b w:val="0"/>
                <w:bCs w:val="0"/>
                <w:color w:val="auto"/>
                <w:sz w:val="24"/>
                <w:szCs w:val="24"/>
                <w:highlight w:val="none"/>
                <w:lang w:val="en-US" w:eastAsia="zh-CN"/>
              </w:rPr>
              <w:t>本项目所在地不涉及国家保护动物，项目区主要分布动物有少量爬行类、鸟类及兽类等小型野生动物，如灰仓鼠、麻蜥等。</w:t>
            </w:r>
          </w:p>
          <w:p>
            <w:pPr>
              <w:adjustRightInd w:val="0"/>
              <w:snapToGrid w:val="0"/>
              <w:ind w:firstLine="420"/>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zh-CN" w:eastAsia="zh-CN" w:bidi="ar-SA"/>
              </w:rPr>
              <w:t>各种野生脊椎动物分布状况见表</w:t>
            </w:r>
            <w:r>
              <w:rPr>
                <w:rFonts w:hint="eastAsia" w:ascii="Times New Roman" w:hAnsi="Times New Roman" w:eastAsia="仿宋" w:cs="Times New Roman"/>
                <w:color w:val="auto"/>
                <w:kern w:val="0"/>
                <w:sz w:val="24"/>
                <w:szCs w:val="24"/>
                <w:highlight w:val="none"/>
                <w:lang w:val="en-US" w:eastAsia="zh-CN" w:bidi="ar-SA"/>
              </w:rPr>
              <w:t>3-</w:t>
            </w:r>
            <w:r>
              <w:rPr>
                <w:rFonts w:hint="eastAsia" w:eastAsia="仿宋" w:cs="Times New Roman"/>
                <w:color w:val="auto"/>
                <w:kern w:val="0"/>
                <w:sz w:val="24"/>
                <w:szCs w:val="24"/>
                <w:highlight w:val="none"/>
                <w:lang w:val="en-US" w:eastAsia="zh-CN" w:bidi="ar-SA"/>
              </w:rPr>
              <w:t>3</w:t>
            </w:r>
            <w:r>
              <w:rPr>
                <w:rFonts w:hint="eastAsia" w:ascii="Times New Roman" w:hAnsi="Times New Roman" w:eastAsia="仿宋" w:cs="Times New Roman"/>
                <w:color w:val="auto"/>
                <w:kern w:val="0"/>
                <w:sz w:val="24"/>
                <w:szCs w:val="24"/>
                <w:highlight w:val="none"/>
                <w:lang w:val="en-US" w:eastAsia="zh-CN" w:bidi="ar-SA"/>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kern w:val="0"/>
                <w:sz w:val="21"/>
                <w:szCs w:val="21"/>
                <w:highlight w:val="none"/>
                <w:lang w:val="en-US" w:eastAsia="zh-CN" w:bidi="ar-SA"/>
              </w:rPr>
            </w:pPr>
            <w:r>
              <w:rPr>
                <w:rFonts w:hint="eastAsia" w:ascii="Times New Roman" w:hAnsi="Times New Roman" w:eastAsia="仿宋" w:cs="Times New Roman"/>
                <w:b/>
                <w:bCs/>
                <w:color w:val="auto"/>
                <w:kern w:val="0"/>
                <w:sz w:val="21"/>
                <w:szCs w:val="21"/>
                <w:highlight w:val="none"/>
                <w:lang w:val="en-US" w:eastAsia="zh-CN" w:bidi="ar-SA"/>
              </w:rPr>
              <w:t>表3-</w:t>
            </w:r>
            <w:r>
              <w:rPr>
                <w:rFonts w:hint="eastAsia" w:eastAsia="仿宋" w:cs="Times New Roman"/>
                <w:b/>
                <w:bCs/>
                <w:color w:val="auto"/>
                <w:kern w:val="0"/>
                <w:sz w:val="21"/>
                <w:szCs w:val="21"/>
                <w:highlight w:val="none"/>
                <w:lang w:val="en-US" w:eastAsia="zh-CN" w:bidi="ar-SA"/>
              </w:rPr>
              <w:t>3</w:t>
            </w:r>
            <w:r>
              <w:rPr>
                <w:rFonts w:hint="eastAsia" w:ascii="Times New Roman" w:hAnsi="Times New Roman" w:eastAsia="仿宋" w:cs="Times New Roman"/>
                <w:b/>
                <w:bCs/>
                <w:color w:val="auto"/>
                <w:kern w:val="0"/>
                <w:sz w:val="21"/>
                <w:szCs w:val="21"/>
                <w:highlight w:val="none"/>
                <w:lang w:val="en-US" w:eastAsia="zh-CN" w:bidi="ar-SA"/>
              </w:rPr>
              <w:t xml:space="preserve">   评价区主要动物名录</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118"/>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序号</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中名</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1</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快步麻蜥</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Eremias velox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2</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黄脊游蛇</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Coluber spinalis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3</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旱地沙蜥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Phrynocephalus helioseopus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4</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毛脚燕</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Delichon urbica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5</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云 雀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Alauda arvensis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6</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小五趾跳鼠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Allactage elater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7</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子午沙鼠</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Meriones meridianus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bidi="ar-SA"/>
                    </w:rPr>
                    <w:t>8</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大沙鼠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Rhombomys opimus  </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 w:cs="Times New Roman"/>
                <w:color w:val="auto"/>
                <w:kern w:val="0"/>
                <w:sz w:val="24"/>
                <w:szCs w:val="24"/>
                <w:highlight w:val="none"/>
                <w:lang w:val="zh-CN" w:eastAsia="zh-CN" w:bidi="ar-SA"/>
              </w:rPr>
            </w:pPr>
            <w:r>
              <w:rPr>
                <w:rFonts w:hint="default" w:ascii="Times New Roman" w:hAnsi="Times New Roman" w:eastAsia="仿宋" w:cs="Times New Roman"/>
                <w:color w:val="auto"/>
                <w:kern w:val="0"/>
                <w:sz w:val="24"/>
                <w:szCs w:val="24"/>
                <w:highlight w:val="none"/>
                <w:lang w:val="zh-CN" w:eastAsia="zh-CN" w:bidi="ar-SA"/>
              </w:rPr>
              <w:t>由于</w:t>
            </w:r>
            <w:r>
              <w:rPr>
                <w:rFonts w:hint="eastAsia" w:ascii="Times New Roman" w:hAnsi="Times New Roman" w:eastAsia="仿宋" w:cs="Times New Roman"/>
                <w:color w:val="auto"/>
                <w:kern w:val="0"/>
                <w:sz w:val="24"/>
                <w:szCs w:val="24"/>
                <w:highlight w:val="none"/>
                <w:lang w:val="en-US" w:eastAsia="zh-CN" w:bidi="ar-SA"/>
              </w:rPr>
              <w:t>项目区</w:t>
            </w:r>
            <w:r>
              <w:rPr>
                <w:rFonts w:hint="default" w:ascii="Times New Roman" w:hAnsi="Times New Roman" w:eastAsia="仿宋" w:cs="Times New Roman"/>
                <w:color w:val="auto"/>
                <w:kern w:val="0"/>
                <w:sz w:val="24"/>
                <w:szCs w:val="24"/>
                <w:highlight w:val="none"/>
                <w:lang w:val="zh-CN" w:eastAsia="zh-CN" w:bidi="ar-SA"/>
              </w:rPr>
              <w:t>地</w:t>
            </w:r>
            <w:r>
              <w:rPr>
                <w:rFonts w:hint="eastAsia" w:ascii="Times New Roman" w:hAnsi="Times New Roman" w:eastAsia="仿宋" w:cs="Times New Roman"/>
                <w:color w:val="auto"/>
                <w:kern w:val="0"/>
                <w:sz w:val="24"/>
                <w:szCs w:val="24"/>
                <w:highlight w:val="none"/>
                <w:lang w:val="en-US" w:eastAsia="zh-CN" w:bidi="ar-SA"/>
              </w:rPr>
              <w:t>处</w:t>
            </w:r>
            <w:r>
              <w:rPr>
                <w:rFonts w:hint="default" w:ascii="Times New Roman" w:hAnsi="Times New Roman" w:eastAsia="仿宋" w:cs="Times New Roman"/>
                <w:color w:val="auto"/>
                <w:kern w:val="0"/>
                <w:sz w:val="24"/>
                <w:szCs w:val="24"/>
                <w:highlight w:val="none"/>
                <w:lang w:val="zh-CN" w:eastAsia="zh-CN" w:bidi="ar-SA"/>
              </w:rPr>
              <w:t>严酷的气候条件，野生动物分布种类少，没有区域特有种，也无保护动物。</w:t>
            </w:r>
          </w:p>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2、环境空气现状</w:t>
            </w:r>
            <w:r>
              <w:rPr>
                <w:rFonts w:hint="default" w:ascii="Times New Roman" w:hAnsi="Times New Roman" w:eastAsia="仿宋" w:cs="Times New Roman"/>
                <w:b/>
                <w:bCs/>
                <w:color w:val="auto"/>
                <w:sz w:val="24"/>
                <w:szCs w:val="24"/>
                <w:lang w:val="en-US" w:eastAsia="zh-CN"/>
              </w:rPr>
              <w:t>调查</w:t>
            </w:r>
          </w:p>
          <w:p>
            <w:pPr>
              <w:pStyle w:val="86"/>
              <w:keepNext w:val="0"/>
              <w:keepLines w:val="0"/>
              <w:pageBreakBefore w:val="0"/>
              <w:widowControl w:val="0"/>
              <w:kinsoku/>
              <w:wordWrap/>
              <w:overflowPunct/>
              <w:topLinePunct w:val="0"/>
              <w:autoSpaceDE/>
              <w:autoSpaceDN/>
              <w:bidi w:val="0"/>
              <w:spacing w:line="360" w:lineRule="auto"/>
              <w:ind w:left="0" w:right="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2.1基本污染物环境质量现状评价</w:t>
            </w:r>
          </w:p>
          <w:p>
            <w:pPr>
              <w:pStyle w:val="86"/>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eastAsia" w:ascii="Times New Roman" w:hAnsi="Times New Roman" w:eastAsia="仿宋" w:cs="Times New Roman"/>
                <w:b w:val="0"/>
                <w:bCs w:val="0"/>
                <w:color w:val="auto"/>
                <w:spacing w:val="-3"/>
                <w:lang w:val="en-US" w:eastAsia="zh-CN"/>
              </w:rPr>
              <w:t>（1）</w:t>
            </w:r>
            <w:r>
              <w:rPr>
                <w:rFonts w:hint="default" w:ascii="Times New Roman" w:hAnsi="Times New Roman" w:eastAsia="仿宋" w:cs="Times New Roman"/>
                <w:b w:val="0"/>
                <w:bCs w:val="0"/>
                <w:color w:val="auto"/>
                <w:spacing w:val="-3"/>
              </w:rPr>
              <w:t>数据来源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项目所在区域执行空气质量二类功能区标准，大气基本污染物环境质量现状达标判定采用环境空气质量模型技术支持服务系统（</w:t>
            </w:r>
            <w:r>
              <w:rPr>
                <w:rFonts w:hint="default" w:ascii="Times New Roman" w:hAnsi="Times New Roman" w:eastAsia="仿宋" w:cs="Times New Roman"/>
                <w:color w:val="auto"/>
                <w:sz w:val="24"/>
                <w:szCs w:val="24"/>
                <w:lang w:val="zh-CN" w:eastAsia="zh-CN"/>
              </w:rPr>
              <w:fldChar w:fldCharType="begin"/>
            </w:r>
            <w:r>
              <w:rPr>
                <w:rFonts w:hint="default" w:ascii="Times New Roman" w:hAnsi="Times New Roman" w:eastAsia="仿宋" w:cs="Times New Roman"/>
                <w:color w:val="auto"/>
                <w:sz w:val="24"/>
                <w:szCs w:val="24"/>
                <w:lang w:val="zh-CN" w:eastAsia="zh-CN"/>
              </w:rPr>
              <w:instrText xml:space="preserve"> HYPERLINK "http://data.lem.org.cn/eamds/apply/tostepone.html" </w:instrText>
            </w:r>
            <w:r>
              <w:rPr>
                <w:rFonts w:hint="default" w:ascii="Times New Roman" w:hAnsi="Times New Roman" w:eastAsia="仿宋" w:cs="Times New Roman"/>
                <w:color w:val="auto"/>
                <w:sz w:val="24"/>
                <w:szCs w:val="24"/>
                <w:lang w:val="zh-CN" w:eastAsia="zh-CN"/>
              </w:rPr>
              <w:fldChar w:fldCharType="separate"/>
            </w:r>
            <w:r>
              <w:rPr>
                <w:rFonts w:hint="default" w:ascii="Times New Roman" w:hAnsi="Times New Roman" w:eastAsia="仿宋" w:cs="Times New Roman"/>
                <w:color w:val="auto"/>
                <w:sz w:val="24"/>
                <w:szCs w:val="24"/>
                <w:lang w:val="zh-CN" w:eastAsia="zh-CN"/>
              </w:rPr>
              <w:t>http://data.lem.org.cn/eamds/apply/tostepone.html</w:t>
            </w:r>
            <w:r>
              <w:rPr>
                <w:rFonts w:hint="default" w:ascii="Times New Roman" w:hAnsi="Times New Roman" w:eastAsia="仿宋" w:cs="Times New Roman"/>
                <w:color w:val="auto"/>
                <w:sz w:val="24"/>
                <w:szCs w:val="24"/>
                <w:lang w:val="zh-CN" w:eastAsia="zh-CN"/>
              </w:rPr>
              <w:fldChar w:fldCharType="end"/>
            </w:r>
            <w:r>
              <w:rPr>
                <w:rFonts w:hint="default" w:ascii="Times New Roman" w:hAnsi="Times New Roman" w:eastAsia="仿宋" w:cs="Times New Roman"/>
                <w:color w:val="auto"/>
                <w:sz w:val="24"/>
                <w:szCs w:val="24"/>
                <w:lang w:val="zh-CN" w:eastAsia="zh-CN"/>
              </w:rPr>
              <w:t>）提供的吐鲁番市生态环境局站点2022年监测数据。</w:t>
            </w:r>
          </w:p>
          <w:p>
            <w:pPr>
              <w:pStyle w:val="86"/>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eastAsia" w:ascii="Times New Roman" w:hAnsi="Times New Roman" w:eastAsia="仿宋" w:cs="Times New Roman"/>
                <w:b w:val="0"/>
                <w:bCs w:val="0"/>
                <w:color w:val="auto"/>
                <w:spacing w:val="-3"/>
                <w:lang w:val="en-US" w:eastAsia="zh-CN"/>
              </w:rPr>
              <w:t>（2）</w:t>
            </w:r>
            <w:r>
              <w:rPr>
                <w:rFonts w:hint="default" w:ascii="Times New Roman" w:hAnsi="Times New Roman" w:eastAsia="仿宋" w:cs="Times New Roman"/>
                <w:b w:val="0"/>
                <w:bCs w:val="0"/>
                <w:color w:val="auto"/>
                <w:spacing w:val="-3"/>
              </w:rPr>
              <w:t>评价内容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城市环境空气质量达标情况评价指标为SO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、NO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10</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2.5</w:t>
            </w:r>
            <w:r>
              <w:rPr>
                <w:rFonts w:hint="default" w:ascii="Times New Roman" w:hAnsi="Times New Roman" w:eastAsia="仿宋" w:cs="Times New Roman"/>
                <w:color w:val="auto"/>
                <w:sz w:val="24"/>
                <w:szCs w:val="24"/>
                <w:lang w:val="zh-CN" w:eastAsia="zh-CN"/>
              </w:rPr>
              <w:t>、CO、O</w:t>
            </w:r>
            <w:r>
              <w:rPr>
                <w:rFonts w:hint="default" w:ascii="Times New Roman" w:hAnsi="Times New Roman" w:eastAsia="仿宋" w:cs="Times New Roman"/>
                <w:color w:val="auto"/>
                <w:sz w:val="24"/>
                <w:szCs w:val="24"/>
                <w:vertAlign w:val="subscript"/>
                <w:lang w:val="zh-CN" w:eastAsia="zh-CN"/>
              </w:rPr>
              <w:t>3</w:t>
            </w:r>
            <w:r>
              <w:rPr>
                <w:rFonts w:hint="default" w:ascii="Times New Roman" w:hAnsi="Times New Roman" w:eastAsia="仿宋" w:cs="Times New Roman"/>
                <w:color w:val="auto"/>
                <w:sz w:val="24"/>
                <w:szCs w:val="24"/>
                <w:lang w:val="zh-CN" w:eastAsia="zh-CN"/>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b w:val="0"/>
                <w:bCs w:val="0"/>
                <w:color w:val="auto"/>
                <w:sz w:val="24"/>
                <w:szCs w:val="24"/>
                <w:lang w:val="zh-CN" w:eastAsia="zh-CN"/>
              </w:rPr>
            </w:pPr>
            <w:r>
              <w:rPr>
                <w:rFonts w:hint="eastAsia" w:eastAsia="仿宋" w:cs="Times New Roman"/>
                <w:b w:val="0"/>
                <w:bCs w:val="0"/>
                <w:color w:val="auto"/>
                <w:sz w:val="24"/>
                <w:szCs w:val="24"/>
                <w:lang w:val="en-US" w:eastAsia="zh-CN"/>
              </w:rPr>
              <w:t>（3）</w:t>
            </w:r>
            <w:r>
              <w:rPr>
                <w:rFonts w:hint="default" w:ascii="Times New Roman" w:hAnsi="Times New Roman" w:eastAsia="仿宋" w:cs="Times New Roman"/>
                <w:b w:val="0"/>
                <w:bCs w:val="0"/>
                <w:color w:val="auto"/>
                <w:sz w:val="24"/>
                <w:szCs w:val="24"/>
                <w:lang w:val="zh-CN" w:eastAsia="zh-CN"/>
              </w:rPr>
              <w:t>监测结果及现状评价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本项目所在区域环境空气质量现状评价结果见下表：</w:t>
            </w:r>
          </w:p>
          <w:p>
            <w:pPr>
              <w:pStyle w:val="86"/>
              <w:keepNext w:val="0"/>
              <w:keepLines w:val="0"/>
              <w:pageBreakBefore w:val="0"/>
              <w:widowControl w:val="0"/>
              <w:kinsoku/>
              <w:wordWrap/>
              <w:overflowPunct/>
              <w:topLinePunct w:val="0"/>
              <w:autoSpaceDE/>
              <w:autoSpaceDN/>
              <w:bidi w:val="0"/>
              <w:spacing w:line="360" w:lineRule="auto"/>
              <w:ind w:left="0" w:right="0" w:firstLine="422" w:firstLineChars="200"/>
              <w:jc w:val="center"/>
              <w:textAlignment w:val="auto"/>
              <w:rPr>
                <w:rFonts w:hint="default" w:ascii="Times New Roman" w:hAnsi="Times New Roman" w:eastAsia="仿宋" w:cs="Times New Roman"/>
                <w:b/>
                <w:color w:val="auto"/>
                <w:kern w:val="0"/>
                <w:sz w:val="21"/>
                <w:szCs w:val="21"/>
                <w:lang w:val="en-US" w:eastAsia="zh-CN" w:bidi="ar-SA"/>
              </w:rPr>
            </w:pPr>
            <w:r>
              <w:rPr>
                <w:rFonts w:hint="default" w:ascii="Times New Roman" w:hAnsi="Times New Roman" w:eastAsia="仿宋" w:cs="Times New Roman"/>
                <w:b/>
                <w:color w:val="auto"/>
                <w:kern w:val="0"/>
                <w:sz w:val="21"/>
                <w:szCs w:val="21"/>
                <w:lang w:val="en-US" w:eastAsia="zh-CN" w:bidi="ar-SA"/>
              </w:rPr>
              <w:t>表3-</w:t>
            </w:r>
            <w:r>
              <w:rPr>
                <w:rFonts w:hint="eastAsia" w:ascii="Times New Roman" w:hAnsi="Times New Roman" w:eastAsia="仿宋" w:cs="Times New Roman"/>
                <w:b/>
                <w:color w:val="auto"/>
                <w:kern w:val="0"/>
                <w:sz w:val="21"/>
                <w:szCs w:val="21"/>
                <w:lang w:val="en-US" w:eastAsia="zh-CN" w:bidi="ar-SA"/>
              </w:rPr>
              <w:t>4</w:t>
            </w:r>
            <w:r>
              <w:rPr>
                <w:rFonts w:hint="default" w:ascii="Times New Roman" w:hAnsi="Times New Roman" w:eastAsia="仿宋" w:cs="Times New Roman"/>
                <w:b/>
                <w:color w:val="auto"/>
                <w:kern w:val="0"/>
                <w:sz w:val="21"/>
                <w:szCs w:val="21"/>
                <w:lang w:val="en-US" w:eastAsia="zh-CN" w:bidi="ar-SA"/>
              </w:rPr>
              <w:t>区域空气质量现状评价表</w:t>
            </w:r>
          </w:p>
          <w:p>
            <w:pPr>
              <w:spacing w:line="43" w:lineRule="exact"/>
              <w:rPr>
                <w:rFonts w:hint="default" w:ascii="Times New Roman" w:hAnsi="Times New Roman" w:eastAsia="仿宋" w:cs="Times New Roman"/>
                <w:color w:val="auto"/>
              </w:rPr>
            </w:pPr>
          </w:p>
          <w:tbl>
            <w:tblPr>
              <w:tblStyle w:val="87"/>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5"/>
              <w:gridCol w:w="1916"/>
              <w:gridCol w:w="1145"/>
              <w:gridCol w:w="1485"/>
              <w:gridCol w:w="1404"/>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评价因子</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平均时段</w:t>
                  </w:r>
                </w:p>
              </w:tc>
              <w:tc>
                <w:tcPr>
                  <w:tcW w:w="706"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评价标准（μg/m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916"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现状浓度（μg/m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866"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占标率（%）</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达标</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SO</w:t>
                  </w:r>
                  <w:r>
                    <w:rPr>
                      <w:rFonts w:hint="default" w:ascii="Times New Roman" w:hAnsi="Times New Roman" w:eastAsia="仿宋" w:cs="Times New Roman"/>
                      <w:color w:val="auto"/>
                      <w:spacing w:val="3"/>
                      <w:position w:val="-1"/>
                      <w:sz w:val="13"/>
                      <w:szCs w:val="13"/>
                    </w:rPr>
                    <w:t>2</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7</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11.67</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6"/>
                      <w:sz w:val="20"/>
                      <w:szCs w:val="20"/>
                    </w:rPr>
                    <w:t>NO</w:t>
                  </w:r>
                  <w:r>
                    <w:rPr>
                      <w:rFonts w:hint="default" w:ascii="Times New Roman" w:hAnsi="Times New Roman" w:eastAsia="仿宋" w:cs="Times New Roman"/>
                      <w:color w:val="auto"/>
                      <w:spacing w:val="6"/>
                      <w:position w:val="-1"/>
                      <w:sz w:val="13"/>
                      <w:szCs w:val="13"/>
                    </w:rPr>
                    <w:t>2</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29</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72.50</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10"/>
                      <w:position w:val="-1"/>
                      <w:sz w:val="13"/>
                      <w:szCs w:val="13"/>
                    </w:rPr>
                    <w:t>10</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70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101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144.29</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6"/>
                      <w:position w:val="-1"/>
                      <w:sz w:val="13"/>
                      <w:szCs w:val="13"/>
                    </w:rPr>
                    <w:t>2.5</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35</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117.14</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CO</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24h平均浓度第95百分位数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7"/>
                      <w:sz w:val="20"/>
                      <w:szCs w:val="20"/>
                    </w:rPr>
                    <w:t>4</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7"/>
                      <w:sz w:val="20"/>
                      <w:szCs w:val="20"/>
                    </w:rPr>
                    <w:t>/m</w:t>
                  </w:r>
                  <w:r>
                    <w:rPr>
                      <w:rFonts w:hint="default" w:ascii="Times New Roman" w:hAnsi="Times New Roman" w:eastAsia="仿宋" w:cs="Times New Roman"/>
                      <w:color w:val="auto"/>
                      <w:spacing w:val="7"/>
                      <w:position w:val="6"/>
                      <w:sz w:val="13"/>
                      <w:szCs w:val="13"/>
                    </w:rPr>
                    <w:t>3</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5"/>
                      <w:sz w:val="20"/>
                      <w:szCs w:val="20"/>
                    </w:rPr>
                    <w:t>2.7</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5"/>
                      <w:sz w:val="20"/>
                      <w:szCs w:val="20"/>
                    </w:rPr>
                    <w:t>/m</w:t>
                  </w:r>
                  <w:r>
                    <w:rPr>
                      <w:rFonts w:hint="default" w:ascii="Times New Roman" w:hAnsi="Times New Roman" w:eastAsia="仿宋" w:cs="Times New Roman"/>
                      <w:color w:val="auto"/>
                      <w:spacing w:val="5"/>
                      <w:position w:val="6"/>
                      <w:sz w:val="13"/>
                      <w:szCs w:val="13"/>
                    </w:rPr>
                    <w:t>3</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6</w:t>
                  </w:r>
                  <w:r>
                    <w:rPr>
                      <w:rFonts w:hint="eastAsia" w:eastAsia="仿宋" w:cs="Times New Roman"/>
                      <w:color w:val="auto"/>
                      <w:spacing w:val="3"/>
                      <w:sz w:val="20"/>
                      <w:szCs w:val="20"/>
                      <w:lang w:eastAsia="zh-CN"/>
                    </w:rPr>
                    <w:t>37.5</w:t>
                  </w:r>
                  <w:r>
                    <w:rPr>
                      <w:rFonts w:hint="default" w:ascii="Times New Roman" w:hAnsi="Times New Roman" w:eastAsia="仿宋" w:cs="Times New Roman"/>
                      <w:color w:val="auto"/>
                      <w:spacing w:val="3"/>
                      <w:sz w:val="20"/>
                      <w:szCs w:val="20"/>
                    </w:rPr>
                    <w:t>0</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1"/>
                      <w:sz w:val="20"/>
                      <w:szCs w:val="20"/>
                    </w:rPr>
                    <w:t>O</w:t>
                  </w:r>
                  <w:r>
                    <w:rPr>
                      <w:rFonts w:hint="default" w:ascii="Times New Roman" w:hAnsi="Times New Roman" w:eastAsia="仿宋" w:cs="Times New Roman"/>
                      <w:color w:val="auto"/>
                      <w:spacing w:val="1"/>
                      <w:position w:val="-1"/>
                      <w:sz w:val="13"/>
                      <w:szCs w:val="13"/>
                    </w:rPr>
                    <w:t>3</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日最大8h滑动平均</w:t>
                  </w:r>
                  <w:r>
                    <w:rPr>
                      <w:rFonts w:hint="default" w:ascii="Times New Roman" w:hAnsi="Times New Roman" w:eastAsia="仿宋" w:cs="Times New Roman"/>
                      <w:color w:val="auto"/>
                      <w:spacing w:val="4"/>
                      <w:sz w:val="20"/>
                      <w:szCs w:val="20"/>
                    </w:rPr>
                    <w:t>值的第90百分位数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134</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83.75</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bl>
          <w:p>
            <w:pPr>
              <w:pStyle w:val="86"/>
              <w:shd w:val="clear"/>
              <w:spacing w:before="35" w:line="359" w:lineRule="auto"/>
              <w:ind w:left="0" w:leftChars="0" w:right="102" w:firstLine="480" w:firstLineChars="200"/>
              <w:jc w:val="both"/>
              <w:rPr>
                <w:rFonts w:hint="default" w:ascii="Times New Roman" w:hAnsi="Times New Roman" w:eastAsia="仿宋" w:cs="Times New Roman"/>
                <w:color w:val="auto"/>
                <w:spacing w:val="-1"/>
                <w:highlight w:val="none"/>
              </w:rPr>
            </w:pPr>
            <w:r>
              <w:rPr>
                <w:rFonts w:hint="default" w:ascii="Times New Roman" w:hAnsi="Times New Roman" w:eastAsia="仿宋" w:cs="Times New Roman"/>
                <w:color w:val="auto"/>
              </w:rPr>
              <w:t>由上表可知，本项目所在区域SO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、NO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10</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2.5</w:t>
            </w:r>
            <w:r>
              <w:rPr>
                <w:rFonts w:hint="default" w:ascii="Times New Roman" w:hAnsi="Times New Roman" w:eastAsia="仿宋" w:cs="Times New Roman"/>
                <w:color w:val="auto"/>
              </w:rPr>
              <w:t>年均浓度分别为</w:t>
            </w:r>
            <w:r>
              <w:rPr>
                <w:rFonts w:hint="default" w:ascii="Times New Roman" w:hAnsi="Times New Roman" w:eastAsia="仿宋" w:cs="Times New Roman"/>
                <w:color w:val="auto"/>
                <w:spacing w:val="6"/>
              </w:rPr>
              <w:t>7</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、29</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、101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、41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w:t>
            </w:r>
            <w:r>
              <w:rPr>
                <w:rFonts w:hint="default" w:ascii="Times New Roman" w:hAnsi="Times New Roman" w:eastAsia="仿宋" w:cs="Times New Roman"/>
                <w:color w:val="auto"/>
              </w:rPr>
              <w:t>CO</w:t>
            </w:r>
            <w:r>
              <w:rPr>
                <w:rFonts w:hint="default" w:ascii="Times New Roman" w:hAnsi="Times New Roman" w:eastAsia="仿宋" w:cs="Times New Roman"/>
                <w:color w:val="auto"/>
                <w:spacing w:val="6"/>
              </w:rPr>
              <w:t>24小时平</w:t>
            </w:r>
            <w:r>
              <w:rPr>
                <w:rFonts w:hint="default" w:ascii="Times New Roman" w:hAnsi="Times New Roman" w:eastAsia="仿宋" w:cs="Times New Roman"/>
                <w:color w:val="auto"/>
                <w:spacing w:val="5"/>
              </w:rPr>
              <w:t>均第95百分位数为</w:t>
            </w:r>
            <w:r>
              <w:rPr>
                <w:rFonts w:hint="default" w:ascii="Times New Roman" w:hAnsi="Times New Roman" w:eastAsia="仿宋" w:cs="Times New Roman"/>
                <w:color w:val="auto"/>
                <w:spacing w:val="-3"/>
              </w:rPr>
              <w:t>2.7mg/m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，O</w:t>
            </w:r>
            <w:r>
              <w:rPr>
                <w:rFonts w:hint="default" w:ascii="Times New Roman" w:hAnsi="Times New Roman" w:eastAsia="仿宋" w:cs="Times New Roman"/>
                <w:color w:val="auto"/>
                <w:spacing w:val="-3"/>
                <w:position w:val="-1"/>
                <w:sz w:val="15"/>
                <w:szCs w:val="15"/>
              </w:rPr>
              <w:t>3</w:t>
            </w:r>
            <w:r>
              <w:rPr>
                <w:rFonts w:hint="default" w:ascii="Times New Roman" w:hAnsi="Times New Roman" w:eastAsia="仿宋" w:cs="Times New Roman"/>
                <w:color w:val="auto"/>
                <w:spacing w:val="-3"/>
              </w:rPr>
              <w:t>日最大8小时平均第90百分位数为134ug/m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；超过《环境空气质</w:t>
            </w:r>
            <w:r>
              <w:rPr>
                <w:rFonts w:hint="default" w:ascii="Times New Roman" w:hAnsi="Times New Roman" w:eastAsia="仿宋" w:cs="Times New Roman"/>
                <w:color w:val="auto"/>
              </w:rPr>
              <w:t>量标准》（GB3095-2012）中二级标</w:t>
            </w:r>
            <w:r>
              <w:rPr>
                <w:rFonts w:hint="default" w:ascii="Times New Roman" w:hAnsi="Times New Roman" w:eastAsia="仿宋" w:cs="Times New Roman"/>
                <w:color w:val="auto"/>
                <w:spacing w:val="-1"/>
              </w:rPr>
              <w:t>准限值的污染物为PM</w:t>
            </w:r>
            <w:r>
              <w:rPr>
                <w:rFonts w:hint="default" w:ascii="Times New Roman" w:hAnsi="Times New Roman" w:eastAsia="仿宋" w:cs="Times New Roman"/>
                <w:color w:val="auto"/>
                <w:spacing w:val="-1"/>
                <w:position w:val="-1"/>
                <w:sz w:val="15"/>
                <w:szCs w:val="15"/>
              </w:rPr>
              <w:t>10</w:t>
            </w:r>
            <w:r>
              <w:rPr>
                <w:rFonts w:hint="default" w:ascii="Times New Roman" w:hAnsi="Times New Roman" w:eastAsia="仿宋" w:cs="Times New Roman"/>
                <w:color w:val="auto"/>
                <w:spacing w:val="-1"/>
              </w:rPr>
              <w:t>、PM</w:t>
            </w:r>
            <w:r>
              <w:rPr>
                <w:rFonts w:hint="default" w:ascii="Times New Roman" w:hAnsi="Times New Roman" w:eastAsia="仿宋" w:cs="Times New Roman"/>
                <w:color w:val="auto"/>
                <w:spacing w:val="-1"/>
                <w:position w:val="-1"/>
                <w:sz w:val="15"/>
                <w:szCs w:val="15"/>
              </w:rPr>
              <w:t>2.5</w:t>
            </w:r>
            <w:r>
              <w:rPr>
                <w:rFonts w:hint="default" w:ascii="Times New Roman" w:hAnsi="Times New Roman" w:eastAsia="仿宋" w:cs="Times New Roman"/>
                <w:color w:val="auto"/>
                <w:spacing w:val="-1"/>
              </w:rPr>
              <w:t>。因此本项目所在区域为非</w:t>
            </w:r>
            <w:r>
              <w:rPr>
                <w:rFonts w:hint="default" w:ascii="Times New Roman" w:hAnsi="Times New Roman" w:eastAsia="仿宋" w:cs="Times New Roman"/>
                <w:color w:val="auto"/>
                <w:spacing w:val="-1"/>
                <w:highlight w:val="none"/>
              </w:rPr>
              <w:t>达标区域。</w:t>
            </w:r>
          </w:p>
          <w:p>
            <w:pPr>
              <w:keepNext/>
              <w:keepLines/>
              <w:numPr>
                <w:ilvl w:val="0"/>
                <w:numId w:val="0"/>
              </w:numPr>
              <w:suppressLineNumbers w:val="0"/>
              <w:shd w:val="clear"/>
              <w:spacing w:before="0" w:beforeAutospacing="0" w:after="0" w:afterAutospacing="0" w:line="360" w:lineRule="auto"/>
              <w:ind w:left="0" w:right="0" w:rightChars="0" w:firstLine="482" w:firstLineChars="200"/>
              <w:outlineLvl w:val="2"/>
              <w:rPr>
                <w:rFonts w:hint="default" w:ascii="Times New Roman" w:hAnsi="Times New Roman" w:eastAsia="仿宋" w:cs="Times New Roman"/>
                <w:b/>
                <w:bCs/>
                <w:color w:val="auto"/>
                <w:kern w:val="2"/>
                <w:sz w:val="24"/>
                <w:szCs w:val="24"/>
                <w:highlight w:val="none"/>
                <w:lang w:val="en-US" w:eastAsia="en-US" w:bidi="ar-SA"/>
              </w:rPr>
            </w:pPr>
            <w:r>
              <w:rPr>
                <w:rFonts w:hint="default" w:ascii="Times New Roman" w:hAnsi="Times New Roman" w:eastAsia="仿宋" w:cs="Times New Roman"/>
                <w:b/>
                <w:bCs/>
                <w:color w:val="auto"/>
                <w:kern w:val="2"/>
                <w:sz w:val="24"/>
                <w:szCs w:val="24"/>
                <w:highlight w:val="none"/>
                <w:lang w:val="en-US" w:eastAsia="zh-CN" w:bidi="ar-SA"/>
              </w:rPr>
              <w:t>2.2其他污染物环境质量现状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为了解项目所在地区环境空气中特征因子现状，本次委托新疆国科检测有限公司对项目区进行了大气监测</w:t>
            </w:r>
            <w:r>
              <w:rPr>
                <w:rFonts w:hint="default" w:ascii="Times New Roman" w:hAnsi="Times New Roman" w:eastAsia="仿宋" w:cs="Times New Roman"/>
                <w:color w:val="auto"/>
                <w:kern w:val="2"/>
                <w:sz w:val="24"/>
                <w:szCs w:val="24"/>
                <w:highlight w:val="none"/>
                <w:lang w:val="en-US" w:eastAsia="zh-CN" w:bidi="ar-SA"/>
              </w:rPr>
              <w:t>，监测时间为2024年</w:t>
            </w:r>
            <w:r>
              <w:rPr>
                <w:rFonts w:hint="eastAsia" w:eastAsia="仿宋" w:cs="Times New Roman"/>
                <w:color w:val="auto"/>
                <w:kern w:val="2"/>
                <w:sz w:val="24"/>
                <w:szCs w:val="24"/>
                <w:highlight w:val="none"/>
                <w:lang w:val="en-US" w:eastAsia="zh-CN" w:bidi="ar-SA"/>
              </w:rPr>
              <w:t>4</w:t>
            </w:r>
            <w:r>
              <w:rPr>
                <w:rFonts w:hint="default" w:ascii="Times New Roman" w:hAnsi="Times New Roman" w:eastAsia="仿宋" w:cs="Times New Roman"/>
                <w:color w:val="auto"/>
                <w:kern w:val="2"/>
                <w:sz w:val="24"/>
                <w:szCs w:val="24"/>
                <w:highlight w:val="none"/>
                <w:lang w:val="en-US" w:eastAsia="zh-CN" w:bidi="ar-SA"/>
              </w:rPr>
              <w:t>月</w:t>
            </w:r>
            <w:r>
              <w:rPr>
                <w:rFonts w:hint="eastAsia" w:eastAsia="仿宋" w:cs="Times New Roman"/>
                <w:color w:val="auto"/>
                <w:kern w:val="2"/>
                <w:sz w:val="24"/>
                <w:szCs w:val="24"/>
                <w:highlight w:val="none"/>
                <w:lang w:val="en-US" w:eastAsia="zh-CN" w:bidi="ar-SA"/>
              </w:rPr>
              <w:t>11</w:t>
            </w:r>
            <w:r>
              <w:rPr>
                <w:rFonts w:hint="default" w:ascii="Times New Roman" w:hAnsi="Times New Roman" w:eastAsia="仿宋" w:cs="Times New Roman"/>
                <w:color w:val="auto"/>
                <w:kern w:val="2"/>
                <w:sz w:val="24"/>
                <w:szCs w:val="24"/>
                <w:highlight w:val="none"/>
                <w:lang w:val="en-US" w:eastAsia="zh-CN" w:bidi="ar-SA"/>
              </w:rPr>
              <w:t>-1</w:t>
            </w:r>
            <w:r>
              <w:rPr>
                <w:rFonts w:hint="eastAsia" w:eastAsia="仿宋" w:cs="Times New Roman"/>
                <w:color w:val="auto"/>
                <w:kern w:val="2"/>
                <w:sz w:val="24"/>
                <w:szCs w:val="24"/>
                <w:highlight w:val="none"/>
                <w:lang w:val="en-US" w:eastAsia="zh-CN" w:bidi="ar-SA"/>
              </w:rPr>
              <w:t>4</w:t>
            </w:r>
            <w:r>
              <w:rPr>
                <w:rFonts w:hint="default" w:ascii="Times New Roman" w:hAnsi="Times New Roman" w:eastAsia="仿宋" w:cs="Times New Roman"/>
                <w:color w:val="auto"/>
                <w:kern w:val="2"/>
                <w:sz w:val="24"/>
                <w:szCs w:val="24"/>
                <w:highlight w:val="none"/>
                <w:lang w:val="en-US" w:eastAsia="zh-CN" w:bidi="ar-SA"/>
              </w:rPr>
              <w:t>日，监测点位于</w:t>
            </w:r>
            <w:r>
              <w:rPr>
                <w:rFonts w:hint="eastAsia" w:eastAsia="仿宋" w:cs="Times New Roman"/>
                <w:color w:val="auto"/>
                <w:kern w:val="2"/>
                <w:sz w:val="24"/>
                <w:szCs w:val="24"/>
                <w:highlight w:val="none"/>
                <w:lang w:val="en-US" w:eastAsia="zh-CN" w:bidi="ar-SA"/>
              </w:rPr>
              <w:t>项目区西侧</w:t>
            </w:r>
            <w:r>
              <w:rPr>
                <w:rFonts w:hint="default" w:ascii="Times New Roman" w:hAnsi="Times New Roman" w:eastAsia="仿宋" w:cs="Times New Roman"/>
                <w:color w:val="auto"/>
                <w:kern w:val="2"/>
                <w:sz w:val="24"/>
                <w:szCs w:val="24"/>
                <w:highlight w:val="none"/>
                <w:lang w:val="en-US" w:eastAsia="zh-CN" w:bidi="ar-SA"/>
              </w:rPr>
              <w:t>约30m处，</w:t>
            </w:r>
            <w:r>
              <w:rPr>
                <w:rFonts w:hint="default" w:ascii="Times New Roman" w:hAnsi="Times New Roman" w:eastAsia="仿宋" w:cs="Times New Roman"/>
                <w:color w:val="auto"/>
                <w:kern w:val="2"/>
                <w:sz w:val="24"/>
                <w:szCs w:val="24"/>
                <w:lang w:val="en-US" w:eastAsia="zh-CN" w:bidi="ar-SA"/>
              </w:rPr>
              <w:t>监测统计结果见下表。</w:t>
            </w:r>
          </w:p>
          <w:p>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仿宋" w:cs="Times New Roman"/>
                <w:b/>
                <w:color w:val="auto"/>
                <w:kern w:val="2"/>
                <w:sz w:val="21"/>
                <w:szCs w:val="21"/>
                <w:lang w:val="en-US" w:eastAsia="zh-CN" w:bidi="ar-SA"/>
              </w:rPr>
            </w:pPr>
            <w:r>
              <w:rPr>
                <w:rFonts w:hint="default" w:ascii="Times New Roman" w:hAnsi="Times New Roman" w:eastAsia="仿宋" w:cs="Times New Roman"/>
                <w:b/>
                <w:color w:val="auto"/>
                <w:kern w:val="2"/>
                <w:sz w:val="21"/>
                <w:szCs w:val="21"/>
                <w:lang w:val="en-US" w:eastAsia="zh-CN" w:bidi="ar-SA"/>
              </w:rPr>
              <w:t>表3-</w:t>
            </w:r>
            <w:r>
              <w:rPr>
                <w:rFonts w:hint="eastAsia" w:eastAsia="仿宋" w:cs="Times New Roman"/>
                <w:b/>
                <w:color w:val="auto"/>
                <w:kern w:val="2"/>
                <w:sz w:val="21"/>
                <w:szCs w:val="21"/>
                <w:lang w:val="en-US" w:eastAsia="zh-CN" w:bidi="ar-SA"/>
              </w:rPr>
              <w:t>5</w:t>
            </w:r>
            <w:r>
              <w:rPr>
                <w:rFonts w:hint="default" w:ascii="Times New Roman" w:hAnsi="Times New Roman" w:eastAsia="仿宋" w:cs="Times New Roman"/>
                <w:b/>
                <w:color w:val="auto"/>
                <w:kern w:val="2"/>
                <w:sz w:val="21"/>
                <w:szCs w:val="21"/>
                <w:lang w:val="en-US" w:eastAsia="zh-CN" w:bidi="ar-SA"/>
              </w:rPr>
              <w:t>环境空气监测数据</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664"/>
              <w:gridCol w:w="1467"/>
              <w:gridCol w:w="102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采样点位</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采样日期</w:t>
                  </w:r>
                </w:p>
              </w:tc>
              <w:tc>
                <w:tcPr>
                  <w:tcW w:w="9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检测项目</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单位</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下</w:t>
                  </w:r>
                  <w:r>
                    <w:rPr>
                      <w:rFonts w:hint="default" w:ascii="Times New Roman" w:hAnsi="Times New Roman" w:eastAsia="仿宋" w:cs="Times New Roman"/>
                      <w:b w:val="0"/>
                      <w:color w:val="auto"/>
                      <w:kern w:val="0"/>
                      <w:sz w:val="21"/>
                      <w:szCs w:val="21"/>
                      <w:highlight w:val="none"/>
                      <w:lang w:val="zh-TW" w:eastAsia="zh-TW" w:bidi="ar-SA"/>
                    </w:rPr>
                    <w:t>风向</w:t>
                  </w:r>
                  <w:r>
                    <w:rPr>
                      <w:rFonts w:hint="default" w:ascii="Times New Roman" w:hAnsi="Times New Roman" w:eastAsia="仿宋" w:cs="Times New Roman"/>
                      <w:b w:val="0"/>
                      <w:color w:val="auto"/>
                      <w:kern w:val="0"/>
                      <w:sz w:val="21"/>
                      <w:szCs w:val="21"/>
                      <w:highlight w:val="none"/>
                      <w:lang w:val="en-US" w:eastAsia="zh-CN" w:bidi="ar-SA"/>
                    </w:rPr>
                    <w:t>1#</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1</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2</w:t>
                  </w:r>
                </w:p>
              </w:tc>
              <w:tc>
                <w:tcPr>
                  <w:tcW w:w="9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TSP</w:t>
                  </w:r>
                </w:p>
              </w:tc>
              <w:tc>
                <w:tcPr>
                  <w:tcW w:w="63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mg/m</w:t>
                  </w:r>
                  <w:r>
                    <w:rPr>
                      <w:rFonts w:hint="default" w:ascii="Times New Roman" w:hAnsi="Times New Roman" w:eastAsia="仿宋" w:cs="Times New Roman"/>
                      <w:b w:val="0"/>
                      <w:color w:val="auto"/>
                      <w:kern w:val="0"/>
                      <w:sz w:val="21"/>
                      <w:szCs w:val="21"/>
                      <w:highlight w:val="none"/>
                      <w:vertAlign w:val="superscript"/>
                      <w:lang w:val="en-US" w:eastAsia="zh-CN" w:bidi="ar-SA"/>
                    </w:rPr>
                    <w:t>3</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w:t>
                  </w:r>
                  <w:r>
                    <w:rPr>
                      <w:rFonts w:hint="eastAsia" w:eastAsia="仿宋" w:cs="Times New Roman"/>
                      <w:b w:val="0"/>
                      <w:color w:val="auto"/>
                      <w:kern w:val="0"/>
                      <w:sz w:val="21"/>
                      <w:szCs w:val="21"/>
                      <w:highlight w:val="none"/>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2</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3</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w:t>
                  </w:r>
                  <w:r>
                    <w:rPr>
                      <w:rFonts w:hint="eastAsia" w:eastAsia="仿宋" w:cs="Times New Roman"/>
                      <w:b w:val="0"/>
                      <w:color w:val="auto"/>
                      <w:kern w:val="0"/>
                      <w:sz w:val="21"/>
                      <w:szCs w:val="21"/>
                      <w:highlight w:val="none"/>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3</w:t>
                  </w:r>
                  <w:r>
                    <w:rPr>
                      <w:rFonts w:hint="default" w:ascii="Times New Roman" w:hAnsi="Times New Roman" w:eastAsia="仿宋" w:cs="Times New Roman"/>
                      <w:b w:val="0"/>
                      <w:color w:val="auto"/>
                      <w:kern w:val="0"/>
                      <w:sz w:val="21"/>
                      <w:szCs w:val="21"/>
                      <w:highlight w:val="none"/>
                      <w:lang w:val="en-US" w:eastAsia="en-US" w:bidi="ar-SA"/>
                    </w:rPr>
                    <w:t>-2024.0</w:t>
                  </w:r>
                  <w:r>
                    <w:rPr>
                      <w:rFonts w:hint="eastAsia"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eastAsia" w:eastAsia="仿宋" w:cs="Times New Roman"/>
                      <w:b w:val="0"/>
                      <w:color w:val="auto"/>
                      <w:kern w:val="0"/>
                      <w:sz w:val="21"/>
                      <w:szCs w:val="21"/>
                      <w:highlight w:val="none"/>
                      <w:lang w:val="en-US" w:eastAsia="zh-CN" w:bidi="ar-SA"/>
                    </w:rPr>
                    <w:t>4</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w:t>
                  </w:r>
                  <w:r>
                    <w:rPr>
                      <w:rFonts w:hint="eastAsia" w:eastAsia="仿宋" w:cs="Times New Roman"/>
                      <w:b w:val="0"/>
                      <w:color w:val="auto"/>
                      <w:kern w:val="0"/>
                      <w:sz w:val="21"/>
                      <w:szCs w:val="21"/>
                      <w:highlight w:val="none"/>
                      <w:lang w:val="en-US" w:eastAsia="zh-CN" w:bidi="ar-SA"/>
                    </w:rPr>
                    <w:t>93</w:t>
                  </w:r>
                </w:p>
              </w:tc>
            </w:tr>
          </w:tbl>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val="0"/>
                <w:bCs/>
                <w:color w:val="auto"/>
                <w:sz w:val="24"/>
                <w:szCs w:val="24"/>
              </w:rPr>
              <w:t>由上述监测结果可知，项目区域现状</w:t>
            </w:r>
            <w:r>
              <w:rPr>
                <w:rFonts w:hint="default" w:ascii="Times New Roman" w:hAnsi="Times New Roman" w:eastAsia="仿宋" w:cs="Times New Roman"/>
                <w:b w:val="0"/>
                <w:bCs/>
                <w:color w:val="auto"/>
                <w:sz w:val="24"/>
                <w:szCs w:val="24"/>
                <w:lang w:val="en-US" w:eastAsia="zh-CN"/>
              </w:rPr>
              <w:t>大气各污染物浓度</w:t>
            </w:r>
            <w:r>
              <w:rPr>
                <w:rFonts w:hint="default" w:ascii="Times New Roman" w:hAnsi="Times New Roman" w:eastAsia="仿宋" w:cs="Times New Roman"/>
                <w:b w:val="0"/>
                <w:bCs/>
                <w:color w:val="auto"/>
                <w:sz w:val="24"/>
                <w:szCs w:val="24"/>
              </w:rPr>
              <w:t>可以满足《</w:t>
            </w:r>
            <w:r>
              <w:rPr>
                <w:rFonts w:hint="default" w:ascii="Times New Roman" w:hAnsi="Times New Roman" w:eastAsia="仿宋" w:cs="Times New Roman"/>
                <w:b w:val="0"/>
                <w:bCs/>
                <w:color w:val="auto"/>
                <w:sz w:val="24"/>
                <w:szCs w:val="24"/>
                <w:lang w:val="en-US" w:eastAsia="zh-CN"/>
              </w:rPr>
              <w:t>环境空气质量标准</w:t>
            </w:r>
            <w:r>
              <w:rPr>
                <w:rFonts w:hint="default" w:ascii="Times New Roman" w:hAnsi="Times New Roman" w:eastAsia="仿宋" w:cs="Times New Roman"/>
                <w:b w:val="0"/>
                <w:bCs/>
                <w:color w:val="auto"/>
                <w:sz w:val="24"/>
                <w:szCs w:val="24"/>
              </w:rPr>
              <w:t>》</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GB3095-2012</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的二级标准。</w:t>
            </w:r>
          </w:p>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3、地表水环境质量现状</w:t>
            </w:r>
            <w:r>
              <w:rPr>
                <w:rFonts w:hint="default" w:ascii="Times New Roman" w:hAnsi="Times New Roman" w:eastAsia="仿宋" w:cs="Times New Roman"/>
                <w:b/>
                <w:color w:val="auto"/>
                <w:sz w:val="24"/>
                <w:szCs w:val="24"/>
                <w:lang w:val="en-US" w:eastAsia="zh-CN"/>
              </w:rPr>
              <w:t>调查</w:t>
            </w:r>
          </w:p>
          <w:p>
            <w:pPr>
              <w:overflowPunct w:val="0"/>
              <w:ind w:firstLine="422"/>
              <w:jc w:val="left"/>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本项目无生产废水外排，</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b w:val="0"/>
                <w:bCs/>
                <w:color w:val="auto"/>
                <w:sz w:val="24"/>
                <w:szCs w:val="24"/>
              </w:rPr>
              <w:t>，厂址1km范围内没有天然地表水体分布，工程不向天然地表水体排水，项目地表水按三级B评价，三级评价项目可不进行地表水环境影响评价，因此未开展地表水现状调查及评价。</w:t>
            </w:r>
          </w:p>
          <w:p>
            <w:pPr>
              <w:overflowPunct w:val="0"/>
              <w:ind w:firstLine="422"/>
              <w:jc w:val="left"/>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地下水环境质量现状</w:t>
            </w:r>
            <w:r>
              <w:rPr>
                <w:rFonts w:hint="default" w:ascii="Times New Roman" w:hAnsi="Times New Roman" w:eastAsia="仿宋" w:cs="Times New Roman"/>
                <w:b/>
                <w:color w:val="auto"/>
                <w:sz w:val="24"/>
                <w:szCs w:val="24"/>
                <w:lang w:val="en-US" w:eastAsia="zh-CN"/>
              </w:rPr>
              <w:t>调查</w:t>
            </w:r>
          </w:p>
          <w:p>
            <w:pPr>
              <w:overflowPunct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overflowPunct w:val="0"/>
              <w:ind w:firstLine="422"/>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5</w:t>
            </w:r>
            <w:r>
              <w:rPr>
                <w:rFonts w:hint="default" w:ascii="Times New Roman" w:hAnsi="Times New Roman" w:eastAsia="仿宋" w:cs="Times New Roman"/>
                <w:b/>
                <w:color w:val="auto"/>
                <w:sz w:val="24"/>
                <w:szCs w:val="24"/>
              </w:rPr>
              <w:t>、声环境质量现状</w:t>
            </w:r>
            <w:r>
              <w:rPr>
                <w:rFonts w:hint="default" w:ascii="Times New Roman" w:hAnsi="Times New Roman" w:eastAsia="仿宋" w:cs="Times New Roman"/>
                <w:b/>
                <w:color w:val="auto"/>
                <w:sz w:val="24"/>
                <w:szCs w:val="24"/>
                <w:lang w:val="en-US" w:eastAsia="zh-CN"/>
              </w:rPr>
              <w:t>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为砂石料建设项目，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本项目建设地点位于</w:t>
            </w:r>
            <w:r>
              <w:rPr>
                <w:rFonts w:hint="eastAsia" w:eastAsia="仿宋" w:cs="Times New Roman"/>
                <w:color w:val="auto"/>
                <w:sz w:val="24"/>
                <w:szCs w:val="24"/>
                <w:lang w:eastAsia="zh-CN"/>
              </w:rPr>
              <w:t>鄯善县北西296°方位，直线距离13.4千米</w:t>
            </w:r>
            <w:r>
              <w:rPr>
                <w:rFonts w:hint="default" w:ascii="Times New Roman" w:hAnsi="Times New Roman" w:eastAsia="仿宋" w:cs="Times New Roman"/>
                <w:color w:val="auto"/>
                <w:spacing w:val="0"/>
                <w:sz w:val="24"/>
                <w:szCs w:val="24"/>
                <w:lang w:val="en-US" w:eastAsia="zh-CN"/>
              </w:rPr>
              <w:t>，项目所在区域声环境质量现状为《声环境质量标准》（GB3096-2008）中2类标准，项目周边50m范围内均为荒漠，无声环境保护目标，因此本项目可不开展声环境现状调查及分析</w:t>
            </w:r>
            <w:r>
              <w:rPr>
                <w:rFonts w:hint="eastAsia" w:eastAsia="仿宋" w:cs="Times New Roman"/>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仿宋" w:cs="Times New Roman"/>
                <w:b/>
                <w:bCs/>
                <w:color w:val="auto"/>
                <w:spacing w:val="0"/>
                <w:sz w:val="24"/>
                <w:szCs w:val="24"/>
                <w:lang w:val="en-US" w:eastAsia="zh-CN"/>
              </w:rPr>
            </w:pPr>
            <w:r>
              <w:rPr>
                <w:rFonts w:hint="default" w:ascii="Times New Roman" w:hAnsi="Times New Roman" w:eastAsia="仿宋" w:cs="Times New Roman"/>
                <w:b/>
                <w:bCs/>
                <w:color w:val="auto"/>
                <w:spacing w:val="0"/>
                <w:sz w:val="24"/>
                <w:szCs w:val="24"/>
                <w:lang w:val="en-US" w:eastAsia="zh-CN"/>
              </w:rPr>
              <w:t>6、土壤环境质量现状调查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自身为敏感目标的建设项目，可根据需要仅对土壤现状进行调查”，本项目属于附录A中的采矿业Ⅲ类项目，</w:t>
            </w:r>
            <w:r>
              <w:rPr>
                <w:rFonts w:hint="default" w:ascii="Times New Roman" w:hAnsi="Times New Roman" w:eastAsia="仿宋" w:cs="Times New Roman"/>
                <w:color w:val="auto"/>
                <w:sz w:val="24"/>
                <w:szCs w:val="24"/>
                <w:lang w:val="en-US" w:eastAsia="zh-CN"/>
              </w:rPr>
              <w:t>根据普查地质报告浅井数据，土壤</w:t>
            </w:r>
            <w:r>
              <w:rPr>
                <w:rFonts w:hint="eastAsia" w:eastAsia="仿宋" w:cs="Times New Roman"/>
                <w:color w:val="auto"/>
                <w:sz w:val="24"/>
                <w:szCs w:val="24"/>
                <w:lang w:val="en-US" w:eastAsia="zh-CN"/>
              </w:rPr>
              <w:t>pH值</w:t>
            </w:r>
            <w:r>
              <w:rPr>
                <w:rFonts w:hint="default" w:ascii="Times New Roman" w:hAnsi="Times New Roman" w:eastAsia="仿宋" w:cs="Times New Roman"/>
                <w:color w:val="auto"/>
                <w:sz w:val="24"/>
                <w:szCs w:val="24"/>
                <w:lang w:val="en-US" w:eastAsia="zh-CN"/>
              </w:rPr>
              <w:t>为</w:t>
            </w:r>
            <w:r>
              <w:rPr>
                <w:rFonts w:hint="eastAsia" w:ascii="Times New Roman" w:hAnsi="Times New Roman" w:eastAsia="仿宋" w:cs="Times New Roman"/>
                <w:color w:val="auto"/>
                <w:sz w:val="24"/>
                <w:szCs w:val="24"/>
                <w:lang w:val="en-US" w:eastAsia="zh-CN"/>
              </w:rPr>
              <w:t>7.7</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为不敏感。</w:t>
            </w:r>
            <w:r>
              <w:rPr>
                <w:rFonts w:hint="default" w:ascii="Times New Roman" w:hAnsi="Times New Roman" w:eastAsia="仿宋" w:cs="Times New Roman"/>
                <w:color w:val="auto"/>
                <w:spacing w:val="0"/>
                <w:sz w:val="24"/>
                <w:szCs w:val="24"/>
                <w:lang w:val="en-US" w:eastAsia="zh-CN"/>
              </w:rPr>
              <w:t>根据《环境影响评价技术导则土壤环境（试行）》（HJ964-2018）中表1生态影响型敏感程度分级表，本项目为不敏感，根据表2生态影响型评价工作等级划分表，本项目可不开展土壤环境影响评价工作，且本项目用地未建设过对土壤环境造成影响的建设项目，土壤环境状况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eastAsia="仿宋"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2"/>
                <w:sz w:val="24"/>
                <w:szCs w:val="24"/>
                <w:lang w:val="en-US" w:eastAsia="zh-CN" w:bidi="ar-SA"/>
              </w:rPr>
              <w:t>与项目有关的原有环境污染和生态问题</w:t>
            </w:r>
          </w:p>
        </w:tc>
        <w:tc>
          <w:tcPr>
            <w:tcW w:w="8329" w:type="dxa"/>
            <w:vAlign w:val="center"/>
          </w:tcPr>
          <w:p>
            <w:pPr>
              <w:pStyle w:val="37"/>
              <w:jc w:val="center"/>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生态环境保护目标</w:t>
            </w:r>
          </w:p>
        </w:tc>
        <w:tc>
          <w:tcPr>
            <w:tcW w:w="8329" w:type="dxa"/>
            <w:vAlign w:val="center"/>
          </w:tcPr>
          <w:p>
            <w:pPr>
              <w:pStyle w:val="86"/>
              <w:spacing w:before="36" w:line="359" w:lineRule="auto"/>
              <w:ind w:right="22"/>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1"/>
              </w:rPr>
              <w:t>根据对项目区周边现场踏勘、资料收集</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项目区不涉及自然保护区、风景名胜区、居住区、文化和农村地区中人群集中的区域等保护目标；项目区</w:t>
            </w:r>
            <w:r>
              <w:rPr>
                <w:rFonts w:hint="default" w:ascii="Times New Roman" w:hAnsi="Times New Roman" w:eastAsia="仿宋" w:cs="Times New Roman"/>
                <w:color w:val="auto"/>
                <w:spacing w:val="-2"/>
              </w:rPr>
              <w:t>厂界外50米范围内无声环境保护目标；本项目不涉及地质公园、重要湿地、</w:t>
            </w:r>
            <w:r>
              <w:rPr>
                <w:rFonts w:hint="default" w:ascii="Times New Roman" w:hAnsi="Times New Roman" w:eastAsia="仿宋" w:cs="Times New Roman"/>
                <w:color w:val="auto"/>
                <w:spacing w:val="-1"/>
              </w:rPr>
              <w:t>饮用水水源保护区等，无地表水保护目标。本项目区</w:t>
            </w:r>
            <w:r>
              <w:rPr>
                <w:rFonts w:hint="eastAsia" w:ascii="Times New Roman" w:hAnsi="Times New Roman" w:eastAsia="仿宋" w:cs="Times New Roman"/>
                <w:color w:val="auto"/>
                <w:spacing w:val="-1"/>
                <w:lang w:val="en-US" w:eastAsia="zh-CN"/>
              </w:rPr>
              <w:t>东侧</w:t>
            </w:r>
            <w:r>
              <w:rPr>
                <w:rFonts w:hint="default" w:ascii="Times New Roman" w:hAnsi="Times New Roman" w:eastAsia="仿宋" w:cs="Times New Roman"/>
                <w:color w:val="auto"/>
                <w:spacing w:val="-1"/>
              </w:rPr>
              <w:t>坎儿井不属于重</w:t>
            </w:r>
            <w:r>
              <w:rPr>
                <w:rFonts w:hint="default" w:ascii="Times New Roman" w:hAnsi="Times New Roman" w:eastAsia="仿宋" w:cs="Times New Roman"/>
                <w:color w:val="auto"/>
                <w:spacing w:val="3"/>
              </w:rPr>
              <w:t>点文物保护单位的坎儿井，在矿业权设置</w:t>
            </w:r>
            <w:r>
              <w:rPr>
                <w:rFonts w:hint="default" w:ascii="Times New Roman" w:hAnsi="Times New Roman" w:eastAsia="仿宋" w:cs="Times New Roman"/>
                <w:color w:val="auto"/>
                <w:spacing w:val="-1"/>
              </w:rPr>
              <w:t>时已</w:t>
            </w:r>
            <w:r>
              <w:rPr>
                <w:rFonts w:hint="eastAsia" w:ascii="Times New Roman" w:hAnsi="Times New Roman" w:eastAsia="仿宋" w:cs="Times New Roman"/>
                <w:color w:val="auto"/>
                <w:spacing w:val="-1"/>
                <w:lang w:val="en-US" w:eastAsia="zh-CN"/>
              </w:rPr>
              <w:t>191</w:t>
            </w:r>
            <w:r>
              <w:rPr>
                <w:rFonts w:hint="default" w:ascii="Times New Roman" w:hAnsi="Times New Roman" w:eastAsia="仿宋" w:cs="Times New Roman"/>
                <w:color w:val="auto"/>
                <w:spacing w:val="-1"/>
              </w:rPr>
              <w:t>m避让</w:t>
            </w:r>
            <w:r>
              <w:rPr>
                <w:rFonts w:hint="default" w:ascii="Times New Roman" w:hAnsi="Times New Roman" w:eastAsia="仿宋" w:cs="Times New Roman"/>
                <w:color w:val="auto"/>
                <w:spacing w:val="3"/>
              </w:rPr>
              <w:t>，且本</w:t>
            </w:r>
            <w:r>
              <w:rPr>
                <w:rFonts w:hint="default" w:ascii="Times New Roman" w:hAnsi="Times New Roman" w:eastAsia="仿宋" w:cs="Times New Roman"/>
                <w:color w:val="auto"/>
                <w:spacing w:val="2"/>
              </w:rPr>
              <w:t>项目不属于</w:t>
            </w:r>
            <w:r>
              <w:rPr>
                <w:rFonts w:hint="default" w:ascii="Times New Roman" w:hAnsi="Times New Roman" w:eastAsia="仿宋" w:cs="Times New Roman"/>
                <w:color w:val="auto"/>
              </w:rPr>
              <w:t>水资源开发利用活动，</w:t>
            </w:r>
            <w:r>
              <w:rPr>
                <w:rFonts w:hint="eastAsia" w:ascii="Times New Roman" w:hAnsi="Times New Roman" w:eastAsia="仿宋" w:cs="Times New Roman"/>
                <w:color w:val="auto"/>
                <w:lang w:val="en-US" w:eastAsia="zh-CN"/>
              </w:rPr>
              <w:t>与坎儿井位置关系图详见图3-4</w:t>
            </w:r>
            <w:r>
              <w:rPr>
                <w:rFonts w:hint="default" w:ascii="Times New Roman" w:hAnsi="Times New Roman" w:eastAsia="仿宋" w:cs="Times New Roman"/>
                <w:color w:val="auto"/>
                <w:spacing w:val="-1"/>
                <w:highlight w:val="none"/>
              </w:rPr>
              <w:t>，</w:t>
            </w:r>
            <w:r>
              <w:rPr>
                <w:rFonts w:hint="default" w:ascii="Times New Roman" w:hAnsi="Times New Roman" w:eastAsia="仿宋" w:cs="Times New Roman"/>
                <w:color w:val="auto"/>
                <w:spacing w:val="-1"/>
                <w:highlight w:val="none"/>
                <w:lang w:val="en-US" w:eastAsia="zh-CN"/>
              </w:rPr>
              <w:t>且相关部门已于2023年7月28日取得鄯善县文化体育广播电视和旅游局《关于</w:t>
            </w:r>
            <w:r>
              <w:rPr>
                <w:rFonts w:hint="eastAsia" w:ascii="Times New Roman" w:hAnsi="Times New Roman" w:eastAsia="仿宋" w:cs="Times New Roman"/>
                <w:color w:val="auto"/>
                <w:spacing w:val="-1"/>
                <w:highlight w:val="none"/>
                <w:lang w:val="en-US" w:eastAsia="zh-CN"/>
              </w:rPr>
              <w:t>新疆鄯善县连木沁镇阿克墩村北建筑用砂矿</w:t>
            </w:r>
            <w:r>
              <w:rPr>
                <w:rFonts w:hint="default" w:ascii="Times New Roman" w:hAnsi="Times New Roman" w:eastAsia="仿宋" w:cs="Times New Roman"/>
                <w:color w:val="auto"/>
                <w:spacing w:val="-1"/>
                <w:highlight w:val="none"/>
                <w:lang w:val="en-US" w:eastAsia="zh-CN"/>
              </w:rPr>
              <w:t>等16个建筑用砂矿拟设采矿权进行公开出让对文物影响的回复意见》，详见附件。</w:t>
            </w:r>
            <w:r>
              <w:rPr>
                <w:rFonts w:hint="default" w:ascii="Times New Roman" w:hAnsi="Times New Roman" w:eastAsia="仿宋" w:cs="Times New Roman"/>
                <w:color w:val="auto"/>
                <w:spacing w:val="-1"/>
              </w:rPr>
              <w:t>项目建</w:t>
            </w:r>
            <w:r>
              <w:rPr>
                <w:rFonts w:hint="default" w:ascii="Times New Roman" w:hAnsi="Times New Roman" w:eastAsia="仿宋" w:cs="Times New Roman"/>
                <w:color w:val="auto"/>
              </w:rPr>
              <w:t>设及运营过程严格按照《新疆维吾尔自治区坎儿井保护条例》内容执行</w:t>
            </w:r>
            <w:r>
              <w:rPr>
                <w:rFonts w:hint="default" w:ascii="Times New Roman" w:hAnsi="Times New Roman" w:eastAsia="仿宋" w:cs="Times New Roman"/>
                <w:color w:val="auto"/>
                <w:spacing w:val="-1"/>
              </w:rPr>
              <w:t>，执</w:t>
            </w:r>
            <w:r>
              <w:rPr>
                <w:rFonts w:hint="default" w:ascii="Times New Roman" w:hAnsi="Times New Roman" w:eastAsia="仿宋" w:cs="Times New Roman"/>
                <w:color w:val="auto"/>
                <w:spacing w:val="-2"/>
              </w:rPr>
              <w:t>行内容如下表。</w:t>
            </w:r>
          </w:p>
          <w:p>
            <w:pPr>
              <w:pStyle w:val="86"/>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w:t>
            </w:r>
            <w:r>
              <w:rPr>
                <w:rFonts w:hint="eastAsia" w:ascii="Times New Roman" w:hAnsi="Times New Roman" w:eastAsia="仿宋" w:cs="Times New Roman"/>
                <w:b/>
                <w:bCs/>
                <w:color w:val="auto"/>
                <w:spacing w:val="-1"/>
                <w:sz w:val="21"/>
                <w:szCs w:val="21"/>
                <w:highlight w:val="none"/>
                <w:lang w:val="en-US" w:eastAsia="zh-CN"/>
              </w:rPr>
              <w:t>6</w:t>
            </w:r>
            <w:r>
              <w:rPr>
                <w:rFonts w:hint="default" w:ascii="Times New Roman" w:hAnsi="Times New Roman" w:eastAsia="仿宋" w:cs="Times New Roman"/>
                <w:b/>
                <w:bCs/>
                <w:color w:val="auto"/>
                <w:spacing w:val="-1"/>
                <w:sz w:val="21"/>
                <w:szCs w:val="21"/>
                <w:highlight w:val="none"/>
                <w:lang w:val="en-US" w:eastAsia="zh-CN"/>
              </w:rPr>
              <w:t>本项目关于坎儿井保护条例执行要求</w:t>
            </w:r>
          </w:p>
          <w:tbl>
            <w:tblPr>
              <w:tblStyle w:val="87"/>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32"/>
              <w:gridCol w:w="4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保护条例内容</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本项目建设内容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对列入重点文物保护单位的坎儿井，应当按照有</w:t>
                  </w:r>
                  <w:r>
                    <w:rPr>
                      <w:rFonts w:hint="default" w:ascii="Times New Roman" w:hAnsi="Times New Roman" w:eastAsia="仿宋" w:cs="Times New Roman"/>
                      <w:color w:val="auto"/>
                      <w:spacing w:val="9"/>
                      <w:sz w:val="21"/>
                      <w:szCs w:val="21"/>
                    </w:rPr>
                    <w:t>关文物保护的法律、法规予以保护、利用和管理</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项目区</w:t>
                  </w:r>
                  <w:r>
                    <w:rPr>
                      <w:rFonts w:hint="eastAsia" w:ascii="Times New Roman" w:hAnsi="Times New Roman" w:eastAsia="仿宋" w:cs="Times New Roman"/>
                      <w:color w:val="auto"/>
                      <w:spacing w:val="8"/>
                      <w:sz w:val="21"/>
                      <w:szCs w:val="21"/>
                      <w:lang w:val="en-US" w:eastAsia="zh-CN"/>
                    </w:rPr>
                    <w:t>东</w:t>
                  </w:r>
                  <w:r>
                    <w:rPr>
                      <w:rFonts w:hint="default" w:ascii="Times New Roman" w:hAnsi="Times New Roman" w:eastAsia="仿宋" w:cs="Times New Roman"/>
                      <w:color w:val="auto"/>
                      <w:spacing w:val="8"/>
                      <w:sz w:val="21"/>
                      <w:szCs w:val="21"/>
                      <w:lang w:val="en-US" w:eastAsia="zh-CN"/>
                    </w:rPr>
                    <w:t>侧</w:t>
                  </w:r>
                  <w:r>
                    <w:rPr>
                      <w:rFonts w:hint="default" w:ascii="Times New Roman" w:hAnsi="Times New Roman" w:eastAsia="仿宋" w:cs="Times New Roman"/>
                      <w:color w:val="auto"/>
                      <w:spacing w:val="8"/>
                      <w:sz w:val="21"/>
                      <w:szCs w:val="21"/>
                    </w:rPr>
                    <w:t>坎儿井不属于</w:t>
                  </w:r>
                  <w:r>
                    <w:rPr>
                      <w:rFonts w:hint="default" w:ascii="Times New Roman" w:hAnsi="Times New Roman" w:eastAsia="仿宋" w:cs="Times New Roman"/>
                      <w:color w:val="auto"/>
                      <w:spacing w:val="9"/>
                      <w:sz w:val="21"/>
                      <w:szCs w:val="21"/>
                    </w:rPr>
                    <w:t>重点文物保护单位的坎儿井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在坎儿井所在地从事水资源开发利用活动，应当遵守坎儿井保护和利用规划，新建、改建、扩建水库等控制性水利工程或者打机电井，应当对工程的建设和运行管理进行科学论证，避免对坎儿井水源造成影响</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9"/>
                      <w:sz w:val="21"/>
                      <w:szCs w:val="21"/>
                    </w:rPr>
                    <w:t>本项目不属于水资源开发利用活动及控制性水利工程或者</w:t>
                  </w:r>
                  <w:r>
                    <w:rPr>
                      <w:rFonts w:hint="default" w:ascii="Times New Roman" w:hAnsi="Times New Roman" w:eastAsia="仿宋" w:cs="Times New Roman"/>
                      <w:color w:val="auto"/>
                      <w:spacing w:val="6"/>
                      <w:sz w:val="21"/>
                      <w:szCs w:val="21"/>
                    </w:rPr>
                    <w:t>打机电井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坎儿井水源第一口竖井上下各2公里、左右各</w:t>
                  </w:r>
                  <w:r>
                    <w:rPr>
                      <w:rFonts w:hint="default" w:ascii="Times New Roman" w:hAnsi="Times New Roman" w:eastAsia="仿宋" w:cs="Times New Roman"/>
                      <w:color w:val="auto"/>
                      <w:spacing w:val="7"/>
                      <w:sz w:val="21"/>
                      <w:szCs w:val="21"/>
                    </w:rPr>
                    <w:t>700米，暗渠左右各500米范围内，不得新打机电</w:t>
                  </w:r>
                  <w:r>
                    <w:rPr>
                      <w:rFonts w:hint="default" w:ascii="Times New Roman" w:hAnsi="Times New Roman" w:eastAsia="仿宋" w:cs="Times New Roman"/>
                      <w:color w:val="auto"/>
                      <w:spacing w:val="5"/>
                      <w:sz w:val="21"/>
                      <w:szCs w:val="21"/>
                    </w:rPr>
                    <w:t>井；已有的机电井，应当控制并逐渐减少取水量；</w:t>
                  </w:r>
                  <w:r>
                    <w:rPr>
                      <w:rFonts w:hint="default" w:ascii="Times New Roman" w:hAnsi="Times New Roman" w:eastAsia="仿宋" w:cs="Times New Roman"/>
                      <w:color w:val="auto"/>
                      <w:spacing w:val="9"/>
                      <w:sz w:val="21"/>
                      <w:szCs w:val="21"/>
                    </w:rPr>
                    <w:t>已经干涸的机电井，不得恢复</w:t>
                  </w:r>
                </w:p>
              </w:tc>
              <w:tc>
                <w:tcPr>
                  <w:tcW w:w="0" w:type="auto"/>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本项目不</w:t>
                  </w:r>
                  <w:r>
                    <w:rPr>
                      <w:rFonts w:hint="default" w:ascii="Times New Roman" w:hAnsi="Times New Roman" w:eastAsia="仿宋" w:cs="Times New Roman"/>
                      <w:color w:val="auto"/>
                      <w:spacing w:val="8"/>
                      <w:sz w:val="21"/>
                      <w:szCs w:val="21"/>
                      <w:lang w:eastAsia="zh-CN"/>
                    </w:rPr>
                    <w:t>打</w:t>
                  </w:r>
                  <w:r>
                    <w:rPr>
                      <w:rFonts w:hint="default" w:ascii="Times New Roman" w:hAnsi="Times New Roman" w:eastAsia="仿宋" w:cs="Times New Roman"/>
                      <w:color w:val="auto"/>
                      <w:spacing w:val="8"/>
                      <w:sz w:val="21"/>
                      <w:szCs w:val="21"/>
                    </w:rPr>
                    <w:t>机电井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坎儿井暗渠地上两侧各30米以内，已有的耕地</w:t>
                  </w:r>
                  <w:r>
                    <w:rPr>
                      <w:rFonts w:hint="default" w:ascii="Times New Roman" w:hAnsi="Times New Roman" w:eastAsia="仿宋" w:cs="Times New Roman"/>
                      <w:color w:val="auto"/>
                      <w:spacing w:val="9"/>
                      <w:sz w:val="21"/>
                      <w:szCs w:val="21"/>
                      <w:highlight w:val="none"/>
                    </w:rPr>
                    <w:t>维持务状，不得扩大耕地面积或者改种高耗水作物</w:t>
                  </w:r>
                  <w:r>
                    <w:rPr>
                      <w:rFonts w:hint="default" w:ascii="Times New Roman" w:hAnsi="Times New Roman" w:eastAsia="仿宋" w:cs="Times New Roman"/>
                      <w:color w:val="auto"/>
                      <w:spacing w:val="9"/>
                      <w:sz w:val="21"/>
                      <w:szCs w:val="21"/>
                      <w:highlight w:val="none"/>
                      <w:lang w:eastAsia="zh-CN"/>
                    </w:rPr>
                    <w:t>；</w:t>
                  </w:r>
                  <w:r>
                    <w:rPr>
                      <w:rFonts w:hint="default" w:ascii="Times New Roman" w:hAnsi="Times New Roman" w:eastAsia="仿宋" w:cs="Times New Roman"/>
                      <w:color w:val="auto"/>
                      <w:spacing w:val="9"/>
                      <w:sz w:val="21"/>
                      <w:szCs w:val="21"/>
                      <w:highlight w:val="none"/>
                    </w:rPr>
                    <w:t>不得修建渠道、房屋等各类建筑物</w:t>
                  </w:r>
                  <w:r>
                    <w:rPr>
                      <w:rFonts w:hint="default" w:ascii="Times New Roman" w:hAnsi="Times New Roman" w:eastAsia="仿宋" w:cs="Times New Roman"/>
                      <w:color w:val="auto"/>
                      <w:spacing w:val="9"/>
                      <w:sz w:val="21"/>
                      <w:szCs w:val="21"/>
                      <w:highlight w:val="none"/>
                      <w:lang w:eastAsia="zh-CN"/>
                    </w:rPr>
                    <w:t>；</w:t>
                  </w:r>
                  <w:r>
                    <w:rPr>
                      <w:rFonts w:hint="default" w:ascii="Times New Roman" w:hAnsi="Times New Roman" w:eastAsia="仿宋" w:cs="Times New Roman"/>
                      <w:color w:val="auto"/>
                      <w:spacing w:val="9"/>
                      <w:sz w:val="21"/>
                      <w:szCs w:val="21"/>
                      <w:highlight w:val="none"/>
                    </w:rPr>
                    <w:t>已</w:t>
                  </w:r>
                  <w:r>
                    <w:rPr>
                      <w:rFonts w:hint="default" w:ascii="Times New Roman" w:hAnsi="Times New Roman" w:eastAsia="仿宋" w:cs="Times New Roman"/>
                      <w:color w:val="auto"/>
                      <w:spacing w:val="8"/>
                      <w:sz w:val="21"/>
                      <w:szCs w:val="21"/>
                      <w:highlight w:val="none"/>
                    </w:rPr>
                    <w:t>有的建筑</w:t>
                  </w:r>
                  <w:r>
                    <w:rPr>
                      <w:rFonts w:hint="default" w:ascii="Times New Roman" w:hAnsi="Times New Roman" w:eastAsia="仿宋" w:cs="Times New Roman"/>
                      <w:color w:val="auto"/>
                      <w:spacing w:val="9"/>
                      <w:sz w:val="21"/>
                      <w:szCs w:val="21"/>
                      <w:highlight w:val="none"/>
                    </w:rPr>
                    <w:t>物对坎儿井造成损害的，应当采取补救措施</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pacing w:val="9"/>
                      <w:sz w:val="21"/>
                      <w:szCs w:val="21"/>
                      <w:highlight w:val="none"/>
                    </w:rPr>
                    <w:t>本项目</w:t>
                  </w:r>
                  <w:r>
                    <w:rPr>
                      <w:rFonts w:hint="eastAsia" w:ascii="Times New Roman" w:hAnsi="Times New Roman" w:eastAsia="仿宋" w:cs="Times New Roman"/>
                      <w:color w:val="auto"/>
                      <w:spacing w:val="9"/>
                      <w:sz w:val="21"/>
                      <w:szCs w:val="21"/>
                      <w:highlight w:val="none"/>
                      <w:lang w:val="en-US" w:eastAsia="zh-CN"/>
                    </w:rPr>
                    <w:t>东侧</w:t>
                  </w:r>
                  <w:r>
                    <w:rPr>
                      <w:rFonts w:hint="default" w:ascii="Times New Roman" w:hAnsi="Times New Roman" w:eastAsia="仿宋" w:cs="Times New Roman"/>
                      <w:color w:val="auto"/>
                      <w:spacing w:val="9"/>
                      <w:sz w:val="21"/>
                      <w:szCs w:val="21"/>
                      <w:highlight w:val="none"/>
                    </w:rPr>
                    <w:t>距离坎儿井</w:t>
                  </w:r>
                  <w:r>
                    <w:rPr>
                      <w:rFonts w:hint="eastAsia" w:ascii="Times New Roman" w:hAnsi="Times New Roman" w:eastAsia="仿宋" w:cs="Times New Roman"/>
                      <w:color w:val="auto"/>
                      <w:spacing w:val="4"/>
                      <w:sz w:val="21"/>
                      <w:szCs w:val="21"/>
                      <w:highlight w:val="none"/>
                      <w:lang w:val="en-US" w:eastAsia="zh-CN"/>
                    </w:rPr>
                    <w:t>191</w:t>
                  </w:r>
                  <w:r>
                    <w:rPr>
                      <w:rFonts w:hint="default" w:ascii="Times New Roman" w:hAnsi="Times New Roman" w:eastAsia="仿宋" w:cs="Times New Roman"/>
                      <w:color w:val="auto"/>
                      <w:spacing w:val="4"/>
                      <w:sz w:val="21"/>
                      <w:szCs w:val="21"/>
                      <w:highlight w:val="none"/>
                    </w:rPr>
                    <w:t>m，项目区</w:t>
                  </w:r>
                  <w:r>
                    <w:rPr>
                      <w:rFonts w:hint="default" w:ascii="Times New Roman" w:hAnsi="Times New Roman" w:eastAsia="仿宋" w:cs="Times New Roman"/>
                      <w:color w:val="auto"/>
                      <w:spacing w:val="4"/>
                      <w:sz w:val="21"/>
                      <w:szCs w:val="21"/>
                      <w:highlight w:val="none"/>
                      <w:lang w:val="en-US" w:eastAsia="zh-CN"/>
                    </w:rPr>
                    <w:t>采场位于厂区东侧，远离东南角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坎儿井暗渠地上两侧各30米内，与坎儿井伴行的道路，限制重型机动车辆通行</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9"/>
                      <w:sz w:val="21"/>
                      <w:szCs w:val="21"/>
                    </w:rPr>
                    <w:t>本项目运输道路设置在</w:t>
                  </w:r>
                  <w:r>
                    <w:rPr>
                      <w:rFonts w:hint="default" w:ascii="Times New Roman" w:hAnsi="Times New Roman" w:eastAsia="仿宋" w:cs="Times New Roman"/>
                      <w:color w:val="auto"/>
                      <w:spacing w:val="9"/>
                      <w:sz w:val="21"/>
                      <w:szCs w:val="21"/>
                      <w:lang w:val="en-US" w:eastAsia="zh-CN"/>
                    </w:rPr>
                    <w:t>南侧</w:t>
                  </w:r>
                  <w:r>
                    <w:rPr>
                      <w:rFonts w:hint="default" w:ascii="Times New Roman" w:hAnsi="Times New Roman" w:eastAsia="仿宋" w:cs="Times New Roman"/>
                      <w:color w:val="auto"/>
                      <w:spacing w:val="8"/>
                      <w:sz w:val="21"/>
                      <w:szCs w:val="21"/>
                    </w:rPr>
                    <w:t>进出，远离坎儿井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保护坎儿井的特有景观，不得破坏附属于坎儿井竖井的堆土</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项目区</w:t>
                  </w:r>
                  <w:r>
                    <w:rPr>
                      <w:rFonts w:hint="eastAsia" w:ascii="Times New Roman" w:hAnsi="Times New Roman" w:eastAsia="仿宋" w:cs="Times New Roman"/>
                      <w:color w:val="auto"/>
                      <w:spacing w:val="8"/>
                      <w:sz w:val="21"/>
                      <w:szCs w:val="21"/>
                      <w:lang w:val="en-US" w:eastAsia="zh-CN"/>
                    </w:rPr>
                    <w:t>东侧</w:t>
                  </w:r>
                  <w:r>
                    <w:rPr>
                      <w:rFonts w:hint="default" w:ascii="Times New Roman" w:hAnsi="Times New Roman" w:eastAsia="仿宋" w:cs="Times New Roman"/>
                      <w:color w:val="auto"/>
                      <w:spacing w:val="8"/>
                      <w:sz w:val="21"/>
                      <w:szCs w:val="21"/>
                    </w:rPr>
                    <w:t>设置禁止进入</w:t>
                  </w:r>
                  <w:r>
                    <w:rPr>
                      <w:rFonts w:hint="default" w:ascii="Times New Roman" w:hAnsi="Times New Roman" w:eastAsia="仿宋" w:cs="Times New Roman"/>
                      <w:color w:val="auto"/>
                      <w:spacing w:val="7"/>
                      <w:sz w:val="21"/>
                      <w:szCs w:val="21"/>
                    </w:rPr>
                    <w:t>区域并安装警告标示标牌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禁止向坎儿井水源、明渠、蓄水池倾倒废污水、垃圾等废弃物</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9"/>
                      <w:sz w:val="21"/>
                      <w:szCs w:val="21"/>
                    </w:rPr>
                    <w:t>本项目</w:t>
                  </w:r>
                  <w:r>
                    <w:rPr>
                      <w:rFonts w:hint="default" w:ascii="Times New Roman" w:hAnsi="Times New Roman" w:eastAsia="仿宋" w:cs="Times New Roman"/>
                      <w:color w:val="auto"/>
                      <w:spacing w:val="9"/>
                      <w:sz w:val="21"/>
                      <w:szCs w:val="21"/>
                      <w:lang w:val="en-US" w:eastAsia="zh-CN"/>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9"/>
                      <w:sz w:val="21"/>
                      <w:szCs w:val="21"/>
                    </w:rPr>
                    <w:t>；生产废水排入沉淀池循环使用；生活垃圾集中收集由环卫部门处置；按照相关规范设置危废暂存间，暂存废机油定期交由危</w:t>
                  </w:r>
                  <w:r>
                    <w:rPr>
                      <w:rFonts w:hint="default" w:ascii="Times New Roman" w:hAnsi="Times New Roman" w:eastAsia="仿宋" w:cs="Times New Roman"/>
                      <w:color w:val="auto"/>
                      <w:spacing w:val="8"/>
                      <w:sz w:val="21"/>
                      <w:szCs w:val="21"/>
                    </w:rPr>
                    <w:t>废处置单位处置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7"/>
                      <w:sz w:val="21"/>
                      <w:szCs w:val="21"/>
                    </w:rPr>
                    <w:t>新建、改建、扩建公路、铁路、输油输气管道以及石油、</w:t>
                  </w:r>
                  <w:r>
                    <w:rPr>
                      <w:rFonts w:hint="eastAsia" w:ascii="Times New Roman" w:hAnsi="Times New Roman" w:eastAsia="仿宋" w:cs="Times New Roman"/>
                      <w:color w:val="auto"/>
                      <w:spacing w:val="7"/>
                      <w:sz w:val="21"/>
                      <w:szCs w:val="21"/>
                      <w:lang w:eastAsia="zh-CN"/>
                    </w:rPr>
                    <w:t>天然气</w:t>
                  </w:r>
                  <w:r>
                    <w:rPr>
                      <w:rFonts w:hint="default" w:ascii="Times New Roman" w:hAnsi="Times New Roman" w:eastAsia="仿宋" w:cs="Times New Roman"/>
                      <w:color w:val="auto"/>
                      <w:spacing w:val="7"/>
                      <w:sz w:val="21"/>
                      <w:szCs w:val="21"/>
                    </w:rPr>
                    <w:t>开采等各类工程，需要穿越、跨越坎儿井的，应当对工程建设期间、运行过程中可能给坎儿井造成的危害进行论证，并制定坎儿井保护</w:t>
                  </w:r>
                  <w:r>
                    <w:rPr>
                      <w:rFonts w:hint="default" w:ascii="Times New Roman" w:hAnsi="Times New Roman" w:eastAsia="仿宋" w:cs="Times New Roman"/>
                      <w:color w:val="auto"/>
                      <w:spacing w:val="5"/>
                      <w:sz w:val="21"/>
                      <w:szCs w:val="21"/>
                    </w:rPr>
                    <w:t>方案</w:t>
                  </w:r>
                </w:p>
              </w:tc>
              <w:tc>
                <w:tcPr>
                  <w:tcW w:w="0" w:type="auto"/>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9"/>
                      <w:sz w:val="21"/>
                      <w:szCs w:val="21"/>
                    </w:rPr>
                    <w:t>本项目不属于公路、铁路、输油输气管道以及石油、</w:t>
                  </w:r>
                  <w:r>
                    <w:rPr>
                      <w:rFonts w:hint="eastAsia" w:ascii="Times New Roman" w:hAnsi="Times New Roman" w:eastAsia="仿宋" w:cs="Times New Roman"/>
                      <w:color w:val="auto"/>
                      <w:spacing w:val="9"/>
                      <w:sz w:val="21"/>
                      <w:szCs w:val="21"/>
                      <w:lang w:eastAsia="zh-CN"/>
                    </w:rPr>
                    <w:t>天然气</w:t>
                  </w:r>
                  <w:r>
                    <w:rPr>
                      <w:rFonts w:hint="default" w:ascii="Times New Roman" w:hAnsi="Times New Roman" w:eastAsia="仿宋" w:cs="Times New Roman"/>
                      <w:color w:val="auto"/>
                      <w:spacing w:val="8"/>
                      <w:sz w:val="21"/>
                      <w:szCs w:val="21"/>
                    </w:rPr>
                    <w:t>开采等各类工程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0" w:type="auto"/>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7"/>
                      <w:sz w:val="21"/>
                      <w:szCs w:val="21"/>
                    </w:rPr>
                    <w:t>在坎儿井周围从事爆破、勘探、开采等活动的，应当事先告知邻近的坎儿井所有者，并采取有效措</w:t>
                  </w:r>
                  <w:r>
                    <w:rPr>
                      <w:rFonts w:hint="default" w:ascii="Times New Roman" w:hAnsi="Times New Roman" w:eastAsia="仿宋" w:cs="Times New Roman"/>
                      <w:color w:val="auto"/>
                      <w:spacing w:val="9"/>
                      <w:sz w:val="21"/>
                      <w:szCs w:val="21"/>
                    </w:rPr>
                    <w:t>施，防止对坎儿井造成破坏</w:t>
                  </w:r>
                </w:p>
              </w:tc>
              <w:tc>
                <w:tcPr>
                  <w:tcW w:w="0" w:type="auto"/>
                  <w:tcBorders>
                    <w:tl2br w:val="nil"/>
                    <w:tr2bl w:val="nil"/>
                  </w:tcBorders>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9"/>
                      <w:sz w:val="21"/>
                      <w:szCs w:val="21"/>
                    </w:rPr>
                    <w:t>本项目不进行爆破等活动。项目运营期间已调查附近坎儿</w:t>
                  </w:r>
                  <w:r>
                    <w:rPr>
                      <w:rFonts w:hint="default" w:ascii="Times New Roman" w:hAnsi="Times New Roman" w:eastAsia="仿宋" w:cs="Times New Roman"/>
                      <w:color w:val="auto"/>
                      <w:spacing w:val="4"/>
                      <w:sz w:val="21"/>
                      <w:szCs w:val="21"/>
                    </w:rPr>
                    <w:t>井情况，目前该坎儿井不再使</w:t>
                  </w:r>
                  <w:r>
                    <w:rPr>
                      <w:rFonts w:hint="default" w:ascii="Times New Roman" w:hAnsi="Times New Roman" w:eastAsia="仿宋" w:cs="Times New Roman"/>
                      <w:color w:val="auto"/>
                      <w:spacing w:val="9"/>
                      <w:sz w:val="21"/>
                      <w:szCs w:val="21"/>
                    </w:rPr>
                    <w:t>用无所有者。项目区</w:t>
                  </w:r>
                  <w:r>
                    <w:rPr>
                      <w:rFonts w:hint="eastAsia" w:ascii="Times New Roman" w:hAnsi="Times New Roman" w:eastAsia="仿宋" w:cs="Times New Roman"/>
                      <w:color w:val="auto"/>
                      <w:spacing w:val="9"/>
                      <w:sz w:val="21"/>
                      <w:szCs w:val="21"/>
                      <w:lang w:val="en-US" w:eastAsia="zh-CN"/>
                    </w:rPr>
                    <w:t>东</w:t>
                  </w:r>
                  <w:r>
                    <w:rPr>
                      <w:rFonts w:hint="default" w:ascii="Times New Roman" w:hAnsi="Times New Roman" w:eastAsia="仿宋" w:cs="Times New Roman"/>
                      <w:color w:val="auto"/>
                      <w:spacing w:val="9"/>
                      <w:sz w:val="21"/>
                      <w:szCs w:val="21"/>
                    </w:rPr>
                    <w:t>侧坎</w:t>
                  </w:r>
                  <w:r>
                    <w:rPr>
                      <w:rFonts w:hint="default" w:ascii="Times New Roman" w:hAnsi="Times New Roman" w:eastAsia="仿宋" w:cs="Times New Roman"/>
                      <w:color w:val="auto"/>
                      <w:spacing w:val="12"/>
                      <w:sz w:val="21"/>
                      <w:szCs w:val="21"/>
                    </w:rPr>
                    <w:t>儿井</w:t>
                  </w:r>
                  <w:r>
                    <w:rPr>
                      <w:rFonts w:hint="eastAsia" w:ascii="Times New Roman" w:hAnsi="Times New Roman" w:eastAsia="仿宋" w:cs="Times New Roman"/>
                      <w:color w:val="auto"/>
                      <w:spacing w:val="12"/>
                      <w:sz w:val="21"/>
                      <w:szCs w:val="21"/>
                      <w:lang w:val="en-US" w:eastAsia="zh-CN"/>
                    </w:rPr>
                    <w:t>191</w:t>
                  </w:r>
                  <w:r>
                    <w:rPr>
                      <w:rFonts w:hint="default" w:ascii="Times New Roman" w:hAnsi="Times New Roman" w:eastAsia="仿宋" w:cs="Times New Roman"/>
                      <w:color w:val="auto"/>
                      <w:spacing w:val="12"/>
                      <w:sz w:val="21"/>
                      <w:szCs w:val="21"/>
                    </w:rPr>
                    <w:t>m范围设置禁止活动区</w:t>
                  </w:r>
                  <w:r>
                    <w:rPr>
                      <w:rFonts w:hint="default" w:ascii="Times New Roman" w:hAnsi="Times New Roman" w:eastAsia="仿宋" w:cs="Times New Roman"/>
                      <w:color w:val="auto"/>
                      <w:sz w:val="21"/>
                      <w:szCs w:val="21"/>
                    </w:rPr>
                    <w:t>域</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根据项目特点，环境保护对象及其保护要求见表3-</w:t>
            </w:r>
            <w:r>
              <w:rPr>
                <w:rFonts w:hint="eastAsia" w:ascii="Times New Roman" w:hAnsi="Times New Roman" w:eastAsia="仿宋" w:cs="Times New Roman"/>
                <w:color w:val="auto"/>
                <w:spacing w:val="3"/>
                <w:lang w:val="en-US" w:eastAsia="zh-CN"/>
              </w:rPr>
              <w:t>6</w:t>
            </w:r>
            <w:r>
              <w:rPr>
                <w:rFonts w:hint="default" w:ascii="Times New Roman" w:hAnsi="Times New Roman" w:eastAsia="仿宋" w:cs="Times New Roman"/>
                <w:color w:val="auto"/>
                <w:spacing w:val="3"/>
              </w:rPr>
              <w:t>。</w:t>
            </w:r>
          </w:p>
          <w:p>
            <w:pPr>
              <w:pStyle w:val="86"/>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w:t>
            </w:r>
            <w:r>
              <w:rPr>
                <w:rFonts w:hint="eastAsia" w:ascii="Times New Roman" w:hAnsi="Times New Roman" w:eastAsia="仿宋" w:cs="Times New Roman"/>
                <w:b/>
                <w:bCs/>
                <w:color w:val="auto"/>
                <w:spacing w:val="-1"/>
                <w:sz w:val="21"/>
                <w:szCs w:val="21"/>
                <w:highlight w:val="none"/>
                <w:lang w:val="en-US" w:eastAsia="zh-CN"/>
              </w:rPr>
              <w:t>7</w:t>
            </w:r>
            <w:r>
              <w:rPr>
                <w:rFonts w:hint="default" w:ascii="Times New Roman" w:hAnsi="Times New Roman" w:eastAsia="仿宋" w:cs="Times New Roman"/>
                <w:b/>
                <w:bCs/>
                <w:color w:val="auto"/>
                <w:spacing w:val="-1"/>
                <w:sz w:val="21"/>
                <w:szCs w:val="21"/>
                <w:highlight w:val="none"/>
                <w:lang w:val="en-US" w:eastAsia="zh-CN"/>
              </w:rPr>
              <w:t>环境保护目标一览表</w:t>
            </w:r>
          </w:p>
          <w:tbl>
            <w:tblPr>
              <w:tblStyle w:val="87"/>
              <w:tblW w:w="7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282"/>
              <w:gridCol w:w="1329"/>
              <w:gridCol w:w="684"/>
              <w:gridCol w:w="589"/>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58"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序号</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环境要素</w:t>
                  </w:r>
                </w:p>
              </w:tc>
              <w:tc>
                <w:tcPr>
                  <w:tcW w:w="1329"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保护对象</w:t>
                  </w:r>
                </w:p>
              </w:tc>
              <w:tc>
                <w:tcPr>
                  <w:tcW w:w="684"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方位</w:t>
                  </w:r>
                </w:p>
              </w:tc>
              <w:tc>
                <w:tcPr>
                  <w:tcW w:w="589"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距离</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功能区域标准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1</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大气</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0" w:line="240" w:lineRule="auto"/>
                    <w:ind w:left="459"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《环境空气质量标准》</w:t>
                  </w:r>
                </w:p>
                <w:p>
                  <w:pPr>
                    <w:pStyle w:val="86"/>
                    <w:keepNext w:val="0"/>
                    <w:keepLines w:val="0"/>
                    <w:pageBreakBefore w:val="0"/>
                    <w:widowControl w:val="0"/>
                    <w:kinsoku/>
                    <w:wordWrap/>
                    <w:overflowPunct/>
                    <w:topLinePunct w:val="0"/>
                    <w:autoSpaceDE/>
                    <w:autoSpaceDN/>
                    <w:bidi w:val="0"/>
                    <w:adjustRightInd/>
                    <w:snapToGrid/>
                    <w:spacing w:before="23"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（GB3095-2012）中的二级标准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2</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w:t>
                  </w:r>
                </w:p>
              </w:tc>
              <w:tc>
                <w:tcPr>
                  <w:tcW w:w="2602" w:type="dxa"/>
                  <w:gridSpan w:val="3"/>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厂界外</w:t>
                  </w:r>
                  <w:r>
                    <w:rPr>
                      <w:rFonts w:hint="eastAsia" w:ascii="Times New Roman" w:hAnsi="Times New Roman" w:eastAsia="仿宋" w:cs="Times New Roman"/>
                      <w:color w:val="auto"/>
                      <w:spacing w:val="7"/>
                      <w:kern w:val="2"/>
                      <w:sz w:val="21"/>
                      <w:szCs w:val="21"/>
                      <w:lang w:val="en-US" w:eastAsia="zh-CN" w:bidi="ar-SA"/>
                    </w:rPr>
                    <w:t>50</w:t>
                  </w:r>
                  <w:r>
                    <w:rPr>
                      <w:rFonts w:hint="default" w:ascii="Times New Roman" w:hAnsi="Times New Roman" w:eastAsia="仿宋" w:cs="Times New Roman"/>
                      <w:color w:val="auto"/>
                      <w:spacing w:val="7"/>
                      <w:kern w:val="2"/>
                      <w:sz w:val="21"/>
                      <w:szCs w:val="21"/>
                      <w:lang w:val="en-US" w:eastAsia="en-US" w:bidi="ar-SA"/>
                    </w:rPr>
                    <w:t>m范围内</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3"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《声环境质量标准》</w:t>
                  </w:r>
                </w:p>
                <w:p>
                  <w:pPr>
                    <w:pStyle w:val="86"/>
                    <w:keepNext w:val="0"/>
                    <w:keepLines w:val="0"/>
                    <w:pageBreakBefore w:val="0"/>
                    <w:widowControl w:val="0"/>
                    <w:kinsoku/>
                    <w:wordWrap/>
                    <w:overflowPunct/>
                    <w:topLinePunct w:val="0"/>
                    <w:autoSpaceDE/>
                    <w:autoSpaceDN/>
                    <w:bidi w:val="0"/>
                    <w:adjustRightInd/>
                    <w:snapToGrid/>
                    <w:spacing w:before="25"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（GB3096-2008）的2类标准要求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3</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before="37" w:line="240" w:lineRule="auto"/>
                    <w:ind w:left="11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地下水环境</w:t>
                  </w:r>
                </w:p>
              </w:tc>
              <w:tc>
                <w:tcPr>
                  <w:tcW w:w="2602" w:type="dxa"/>
                  <w:gridSpan w:val="3"/>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7"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4</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before="35" w:line="240" w:lineRule="auto"/>
                    <w:ind w:left="222"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生态环境</w:t>
                  </w:r>
                </w:p>
              </w:tc>
              <w:tc>
                <w:tcPr>
                  <w:tcW w:w="2602" w:type="dxa"/>
                  <w:gridSpan w:val="3"/>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评价区内植被、土壤、野生动物</w:t>
                  </w:r>
                </w:p>
              </w:tc>
              <w:tc>
                <w:tcPr>
                  <w:tcW w:w="3367" w:type="dxa"/>
                  <w:vAlign w:val="center"/>
                </w:tcPr>
                <w:p>
                  <w:pPr>
                    <w:pStyle w:val="86"/>
                    <w:keepNext w:val="0"/>
                    <w:keepLines w:val="0"/>
                    <w:pageBreakBefore w:val="0"/>
                    <w:widowControl w:val="0"/>
                    <w:tabs>
                      <w:tab w:val="left" w:pos="1250"/>
                      <w:tab w:val="center" w:pos="2176"/>
                    </w:tabs>
                    <w:kinsoku/>
                    <w:wordWrap/>
                    <w:overflowPunct/>
                    <w:topLinePunct w:val="0"/>
                    <w:autoSpaceDE/>
                    <w:autoSpaceDN/>
                    <w:bidi w:val="0"/>
                    <w:adjustRightInd/>
                    <w:snapToGrid/>
                    <w:spacing w:before="35"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合理布局，加强管理，尽量减少项目占地，控制和减轻由工程建设和运行过程中可能造成的滑坡、坍塌或水土流失现象，保护工程区域的景观生态体系及其生物资源，维护工程地区的生态完整性与稳定性，使因工程建设造成的自然景观和植被破坏得以尽快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仿宋" w:cs="Times New Roman"/>
                      <w:color w:val="auto"/>
                      <w:spacing w:val="7"/>
                      <w:kern w:val="2"/>
                      <w:sz w:val="21"/>
                      <w:szCs w:val="21"/>
                      <w:lang w:val="en-US" w:eastAsia="zh-CN" w:bidi="ar-SA"/>
                    </w:rPr>
                  </w:pPr>
                  <w:r>
                    <w:rPr>
                      <w:rFonts w:hint="eastAsia" w:eastAsia="仿宋" w:cs="Times New Roman"/>
                      <w:color w:val="auto"/>
                      <w:spacing w:val="7"/>
                      <w:kern w:val="2"/>
                      <w:sz w:val="21"/>
                      <w:szCs w:val="21"/>
                      <w:lang w:val="en-US" w:eastAsia="zh-CN" w:bidi="ar-SA"/>
                    </w:rPr>
                    <w:t>5</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eastAsia" w:ascii="Times New Roman" w:hAnsi="Times New Roman" w:eastAsia="仿宋" w:cs="Times New Roman"/>
                      <w:color w:val="auto"/>
                      <w:spacing w:val="7"/>
                      <w:kern w:val="2"/>
                      <w:sz w:val="21"/>
                      <w:szCs w:val="21"/>
                      <w:lang w:val="en-US" w:eastAsia="zh-CN" w:bidi="ar-SA"/>
                    </w:rPr>
                    <w:t>土壤环境</w:t>
                  </w:r>
                </w:p>
              </w:tc>
              <w:tc>
                <w:tcPr>
                  <w:tcW w:w="2602" w:type="dxa"/>
                  <w:gridSpan w:val="3"/>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eastAsia" w:ascii="Times New Roman" w:hAnsi="Times New Roman" w:eastAsia="仿宋" w:cs="Times New Roman"/>
                      <w:color w:val="auto"/>
                      <w:spacing w:val="7"/>
                      <w:kern w:val="2"/>
                      <w:sz w:val="21"/>
                      <w:szCs w:val="21"/>
                      <w:lang w:val="en-US" w:eastAsia="zh-CN" w:bidi="ar-SA"/>
                    </w:rPr>
                    <w:t>土壤</w:t>
                  </w:r>
                  <w:r>
                    <w:rPr>
                      <w:rFonts w:hint="default" w:ascii="Times New Roman" w:hAnsi="Times New Roman" w:eastAsia="仿宋" w:cs="Times New Roman"/>
                      <w:color w:val="auto"/>
                      <w:spacing w:val="7"/>
                      <w:kern w:val="2"/>
                      <w:sz w:val="21"/>
                      <w:szCs w:val="21"/>
                      <w:lang w:val="en-US" w:eastAsia="en-US" w:bidi="ar-SA"/>
                    </w:rPr>
                    <w:t>保护</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确定本项目的污染控制目标为：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（1）环境空气质量符合《环境空气质量标准》（GB 3095-2012）修改单</w:t>
            </w:r>
            <w:r>
              <w:rPr>
                <w:rFonts w:hint="eastAsia" w:ascii="Times New Roman" w:hAnsi="Times New Roman" w:eastAsia="仿宋" w:cs="Times New Roman"/>
                <w:color w:val="auto"/>
                <w:spacing w:val="3"/>
                <w:lang w:val="en-US" w:eastAsia="zh-CN"/>
              </w:rPr>
              <w:t>中</w:t>
            </w:r>
            <w:r>
              <w:rPr>
                <w:rFonts w:hint="default" w:ascii="Times New Roman" w:hAnsi="Times New Roman" w:eastAsia="仿宋" w:cs="Times New Roman"/>
                <w:color w:val="auto"/>
                <w:spacing w:val="3"/>
              </w:rPr>
              <w:t>二级标准，控制废气排放对周围环境的影响。</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（2）保护建设项目所在区域地下水环境不受本项目的影响，地下水满足《地下水质量标准》（GB/T14848-2017）中Ⅲ类标准。</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（3）控制</w:t>
            </w:r>
            <w:r>
              <w:rPr>
                <w:rFonts w:hint="default" w:ascii="Times New Roman" w:hAnsi="Times New Roman" w:eastAsia="仿宋" w:cs="Times New Roman"/>
                <w:color w:val="auto"/>
                <w:spacing w:val="3"/>
                <w:lang w:eastAsia="zh-CN"/>
              </w:rPr>
              <w:t>厂</w:t>
            </w:r>
            <w:r>
              <w:rPr>
                <w:rFonts w:hint="default" w:ascii="Times New Roman" w:hAnsi="Times New Roman" w:eastAsia="仿宋" w:cs="Times New Roman"/>
                <w:color w:val="auto"/>
                <w:spacing w:val="3"/>
              </w:rPr>
              <w:t>界噪声满足《工业企业厂界环境噪声排放标准》（GB12348-2008）中2类标准，避免对场址区域造成噪声污染。保护本项目建成后区域声环境依旧满足《声环境质量标准》（GB3096-2008）中的2类要求。</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eastAsia" w:ascii="Times New Roman" w:hAnsi="Times New Roman" w:eastAsia="仿宋" w:cs="Times New Roman"/>
                <w:color w:val="auto"/>
                <w:spacing w:val="3"/>
                <w:lang w:val="en-US" w:eastAsia="zh-CN"/>
              </w:rPr>
              <w:t>4</w:t>
            </w:r>
            <w:r>
              <w:rPr>
                <w:rFonts w:hint="default" w:ascii="Times New Roman" w:hAnsi="Times New Roman" w:eastAsia="仿宋" w:cs="Times New Roman"/>
                <w:color w:val="auto"/>
                <w:spacing w:val="3"/>
              </w:rPr>
              <w:t>）妥善处理生活垃圾，统一收集，定期运送至生活垃圾填埋场处理。一般工业固体废弃物处理和处置按照</w:t>
            </w:r>
            <w:r>
              <w:rPr>
                <w:rFonts w:hint="default" w:ascii="Times New Roman" w:hAnsi="Times New Roman" w:eastAsia="仿宋" w:cs="Times New Roman"/>
                <w:color w:val="auto"/>
                <w:spacing w:val="0"/>
                <w:sz w:val="24"/>
                <w:szCs w:val="24"/>
                <w:lang w:val="en-US" w:eastAsia="zh-CN"/>
              </w:rPr>
              <w:t>《一般工业固体废物贮存和填埋污染控制标准》（GB18599-2020）</w:t>
            </w:r>
            <w:r>
              <w:rPr>
                <w:rFonts w:hint="default" w:ascii="Times New Roman" w:hAnsi="Times New Roman" w:eastAsia="仿宋" w:cs="Times New Roman"/>
                <w:color w:val="auto"/>
                <w:spacing w:val="3"/>
              </w:rPr>
              <w:t>。</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pacing w:val="3"/>
              </w:rPr>
              <w:t>（5）矿区及外围生态环境功能不因矿山开发及运行受到显著影响，尽量减少项目占地破坏，最大限度减少地形地貌破坏，保护动物、植物、土壤等生态因子，保持生态系统的完整性与稳定性，尽量减少工程诱发的水土流失，并采取措施加以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评价</w:t>
            </w:r>
          </w:p>
          <w:p>
            <w:pPr>
              <w:adjustRightInd w:val="0"/>
              <w:snapToGrid w:val="0"/>
              <w:ind w:firstLine="0" w:firstLineChars="0"/>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Cs w:val="21"/>
              </w:rPr>
              <w:t>标准</w:t>
            </w:r>
          </w:p>
        </w:tc>
        <w:tc>
          <w:tcPr>
            <w:tcW w:w="8329" w:type="dxa"/>
            <w:vAlign w:val="center"/>
          </w:tcPr>
          <w:p>
            <w:pPr>
              <w:pStyle w:val="4"/>
              <w:keepNext/>
              <w:keepLines/>
              <w:pageBreakBefore w:val="0"/>
              <w:widowControl w:val="0"/>
              <w:kinsoku/>
              <w:wordWrap/>
              <w:overflowPunct/>
              <w:topLinePunct w:val="0"/>
              <w:autoSpaceDE/>
              <w:autoSpaceDN/>
              <w:bidi w:val="0"/>
              <w:adjustRightInd/>
              <w:snapToGrid/>
              <w:spacing w:before="157" w:beforeLines="50" w:line="440" w:lineRule="exact"/>
              <w:ind w:left="0" w:leftChars="0" w:firstLine="0" w:firstLineChars="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1、环境质量</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（1）《环境空气质量标准》（GB 3095-2012）修改单中的二级标准；</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（2）《声环境质量标准》（GB3096-2008）中2类标准。</w:t>
            </w:r>
          </w:p>
          <w:p>
            <w:pPr>
              <w:pStyle w:val="4"/>
              <w:pageBreakBefore w:val="0"/>
              <w:widowControl w:val="0"/>
              <w:kinsoku/>
              <w:wordWrap/>
              <w:overflowPunct/>
              <w:topLinePunct w:val="0"/>
              <w:autoSpaceDE/>
              <w:autoSpaceDN/>
              <w:bidi w:val="0"/>
              <w:spacing w:line="440" w:lineRule="exact"/>
              <w:ind w:left="0" w:leftChars="0" w:firstLine="0" w:firstLineChars="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2、污染物排放标准</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（1）废气</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①粉尘：排放标准执行《大气污染物综合排放标准》（GB16297-96）表2中无组织排放监控浓度限值，具体标准值见表3-</w:t>
            </w:r>
            <w:r>
              <w:rPr>
                <w:rFonts w:hint="eastAsia" w:eastAsia="仿宋" w:cs="Times New Roman"/>
                <w:color w:val="auto"/>
                <w:spacing w:val="0"/>
                <w:sz w:val="24"/>
                <w:szCs w:val="24"/>
                <w:lang w:val="en-US" w:eastAsia="zh-CN"/>
              </w:rPr>
              <w:t>8</w:t>
            </w:r>
            <w:r>
              <w:rPr>
                <w:rFonts w:hint="default" w:ascii="Times New Roman" w:hAnsi="Times New Roman" w:eastAsia="仿宋" w:cs="Times New Roman"/>
                <w:color w:val="auto"/>
                <w:spacing w:val="0"/>
                <w:sz w:val="24"/>
                <w:szCs w:val="24"/>
                <w:lang w:val="en-US" w:eastAsia="zh-CN"/>
              </w:rPr>
              <w:t>。</w:t>
            </w:r>
          </w:p>
          <w:p>
            <w:pPr>
              <w:pStyle w:val="63"/>
              <w:pageBreakBefore w:val="0"/>
              <w:widowControl w:val="0"/>
              <w:kinsoku/>
              <w:wordWrap/>
              <w:overflowPunct/>
              <w:topLinePunct w:val="0"/>
              <w:autoSpaceDE/>
              <w:autoSpaceDN/>
              <w:bidi w:val="0"/>
              <w:spacing w:line="360" w:lineRule="auto"/>
              <w:jc w:val="center"/>
              <w:rPr>
                <w:rFonts w:hint="default" w:ascii="Times New Roman" w:hAnsi="Times New Roman" w:eastAsia="仿宋" w:cs="Times New Roman"/>
                <w:b/>
                <w:bCs/>
                <w:color w:val="auto"/>
                <w:spacing w:val="0"/>
                <w:sz w:val="21"/>
                <w:szCs w:val="21"/>
                <w:lang w:val="en-US" w:eastAsia="zh-CN"/>
              </w:rPr>
            </w:pPr>
            <w:r>
              <w:rPr>
                <w:rFonts w:hint="default" w:ascii="Times New Roman" w:hAnsi="Times New Roman" w:eastAsia="仿宋" w:cs="Times New Roman"/>
                <w:b/>
                <w:bCs/>
                <w:color w:val="auto"/>
                <w:spacing w:val="0"/>
                <w:sz w:val="21"/>
                <w:szCs w:val="21"/>
                <w:lang w:val="en-US" w:eastAsia="zh-CN"/>
              </w:rPr>
              <w:t>表3-</w:t>
            </w:r>
            <w:r>
              <w:rPr>
                <w:rFonts w:hint="eastAsia" w:eastAsia="仿宋" w:cs="Times New Roman"/>
                <w:b/>
                <w:bCs/>
                <w:color w:val="auto"/>
                <w:spacing w:val="0"/>
                <w:sz w:val="21"/>
                <w:szCs w:val="21"/>
                <w:lang w:val="en-US" w:eastAsia="zh-CN"/>
              </w:rPr>
              <w:t>8</w:t>
            </w:r>
            <w:r>
              <w:rPr>
                <w:rFonts w:hint="default" w:ascii="Times New Roman" w:hAnsi="Times New Roman" w:eastAsia="仿宋" w:cs="Times New Roman"/>
                <w:b/>
                <w:bCs/>
                <w:color w:val="auto"/>
                <w:spacing w:val="0"/>
                <w:sz w:val="21"/>
                <w:szCs w:val="21"/>
                <w:lang w:val="en-US" w:eastAsia="zh-CN"/>
              </w:rPr>
              <w:t>《大气污染物综合排放标准》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6"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污染物</w:t>
                  </w:r>
                </w:p>
              </w:tc>
              <w:tc>
                <w:tcPr>
                  <w:tcW w:w="339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restar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颗粒物</w:t>
                  </w:r>
                </w:p>
              </w:tc>
              <w:tc>
                <w:tcPr>
                  <w:tcW w:w="1607"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监控点</w:t>
                  </w:r>
                </w:p>
              </w:tc>
              <w:tc>
                <w:tcPr>
                  <w:tcW w:w="1785"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浓度限值（mg/m</w:t>
                  </w:r>
                  <w:r>
                    <w:rPr>
                      <w:rFonts w:hint="default" w:ascii="Times New Roman" w:hAnsi="Times New Roman" w:eastAsia="仿宋" w:cs="Times New Roman"/>
                      <w:color w:val="auto"/>
                      <w:spacing w:val="0"/>
                      <w:sz w:val="21"/>
                      <w:szCs w:val="21"/>
                      <w:vertAlign w:val="superscript"/>
                      <w:lang w:val="en-US" w:eastAsia="zh-CN"/>
                    </w:rPr>
                    <w:t>3</w:t>
                  </w:r>
                  <w:r>
                    <w:rPr>
                      <w:rFonts w:hint="default" w:ascii="Times New Roman" w:hAnsi="Times New Roman" w:eastAsia="仿宋" w:cs="Times New Roman"/>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continue"/>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p>
              </w:tc>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周界外浓度最高点</w:t>
                  </w:r>
                </w:p>
              </w:tc>
              <w:tc>
                <w:tcPr>
                  <w:tcW w:w="1785"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1.0</w:t>
                  </w:r>
                </w:p>
              </w:tc>
            </w:tr>
          </w:tbl>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lang w:val="en-US" w:eastAsia="zh-CN"/>
              </w:rPr>
              <w:t>②食堂油烟：执行</w:t>
            </w:r>
            <w:r>
              <w:rPr>
                <w:rFonts w:hint="default" w:ascii="Times New Roman" w:hAnsi="Times New Roman" w:eastAsia="仿宋" w:cs="Times New Roman"/>
                <w:color w:val="auto"/>
              </w:rPr>
              <w:t>《饮食业油烟排放标准（试行）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（GB18483-2001）油烟最高允许排放浓度≤2mg/m</w:t>
            </w:r>
            <w:r>
              <w:rPr>
                <w:rFonts w:hint="default" w:ascii="Times New Roman" w:hAnsi="Times New Roman" w:eastAsia="仿宋" w:cs="Times New Roman"/>
                <w:color w:val="auto"/>
                <w:vertAlign w:val="superscript"/>
              </w:rPr>
              <w:t>3</w:t>
            </w:r>
            <w:r>
              <w:rPr>
                <w:rFonts w:hint="default" w:ascii="Times New Roman" w:hAnsi="Times New Roman" w:eastAsia="仿宋" w:cs="Times New Roman"/>
                <w:color w:val="auto"/>
              </w:rPr>
              <w:t>标准</w:t>
            </w:r>
            <w:r>
              <w:rPr>
                <w:rFonts w:hint="default" w:ascii="Times New Roman" w:hAnsi="Times New Roman" w:eastAsia="仿宋" w:cs="Times New Roman"/>
                <w:color w:val="auto"/>
                <w:lang w:eastAsia="zh-CN"/>
              </w:rPr>
              <w:t>。</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（2）废水</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0"/>
                <w:sz w:val="24"/>
                <w:szCs w:val="24"/>
                <w:lang w:val="en-US" w:eastAsia="zh-CN"/>
              </w:rPr>
              <w:t>。</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（3）噪声</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施工期噪声执行《建筑施工场界环境噪声排放标准》（GB12523-2011）中各阶段标准，即昼间70dB（A）、夜间55dB（A）；项目运营期噪声执行</w:t>
            </w:r>
            <w:r>
              <w:rPr>
                <w:rFonts w:hint="default" w:ascii="Times New Roman" w:hAnsi="Times New Roman" w:eastAsia="仿宋" w:cs="Times New Roman"/>
                <w:color w:val="auto"/>
              </w:rPr>
              <w:t>《工业企业厂界环境噪声排放标准》（GB12348-2008）中</w:t>
            </w: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类标准</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即</w:t>
            </w:r>
            <w:r>
              <w:rPr>
                <w:rFonts w:hint="default" w:ascii="Times New Roman" w:hAnsi="Times New Roman" w:eastAsia="仿宋" w:cs="Times New Roman"/>
                <w:color w:val="auto"/>
                <w:spacing w:val="0"/>
                <w:sz w:val="24"/>
                <w:szCs w:val="24"/>
                <w:lang w:val="en-US" w:eastAsia="zh-CN"/>
              </w:rPr>
              <w:t>昼间60dB（A）、夜间50dB（A）。</w:t>
            </w:r>
          </w:p>
          <w:p>
            <w:pPr>
              <w:pStyle w:val="63"/>
              <w:bidi w:val="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（4）固废</w:t>
            </w:r>
          </w:p>
          <w:p>
            <w:pPr>
              <w:pStyle w:val="63"/>
              <w:bidi w:val="0"/>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0"/>
                <w:sz w:val="24"/>
                <w:szCs w:val="24"/>
                <w:lang w:val="en-US" w:eastAsia="zh-CN"/>
              </w:rPr>
              <w:t>本项目产生的一般工业固体废物贮存和处置评价采用《一般工业固体废物贮存和填埋污染控制标准》（GB18599-2020），危险废物评价采用《危险废物贮存污染控制标准》（GB18597-2023）中相关要求。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w:t>
            </w:r>
          </w:p>
        </w:tc>
        <w:tc>
          <w:tcPr>
            <w:tcW w:w="8329"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结合本项目所在区域的环境特征，生产过程主要为颗粒物的排放，本项目生产无外排废水，不设置污染物排放总量控制因子。</w:t>
            </w:r>
          </w:p>
          <w:p>
            <w:pPr>
              <w:pStyle w:val="9"/>
              <w:rPr>
                <w:rFonts w:hint="default" w:ascii="Times New Roman" w:hAnsi="Times New Roman" w:eastAsia="仿宋" w:cs="Times New Roman"/>
                <w:color w:val="auto"/>
                <w:kern w:val="0"/>
                <w:sz w:val="24"/>
                <w:szCs w:val="24"/>
              </w:rPr>
            </w:pPr>
          </w:p>
          <w:p>
            <w:pPr>
              <w:pStyle w:val="10"/>
              <w:rPr>
                <w:rFonts w:hint="default" w:ascii="Times New Roman" w:hAnsi="Times New Roman" w:eastAsia="仿宋" w:cs="Times New Roman"/>
                <w:color w:val="auto"/>
                <w:kern w:val="0"/>
                <w:sz w:val="24"/>
                <w:szCs w:val="24"/>
              </w:rPr>
            </w:pPr>
          </w:p>
          <w:p>
            <w:pPr>
              <w:pStyle w:val="10"/>
              <w:rPr>
                <w:rFonts w:hint="default" w:ascii="Times New Roman" w:hAnsi="Times New Roman" w:eastAsia="仿宋" w:cs="Times New Roman"/>
                <w:color w:val="auto"/>
                <w:kern w:val="0"/>
                <w:sz w:val="24"/>
                <w:szCs w:val="24"/>
              </w:rPr>
            </w:pPr>
          </w:p>
        </w:tc>
      </w:tr>
    </w:tbl>
    <w:p>
      <w:pPr>
        <w:pStyle w:val="20"/>
        <w:spacing w:line="240" w:lineRule="auto"/>
        <w:ind w:firstLine="0" w:firstLineChars="0"/>
        <w:jc w:val="center"/>
        <w:outlineLvl w:val="0"/>
        <w:rPr>
          <w:rFonts w:hint="default" w:ascii="Times New Roman" w:hAnsi="Times New Roman" w:eastAsia="仿宋" w:cs="Times New Roman"/>
          <w:snapToGrid w:val="0"/>
          <w:color w:val="auto"/>
          <w:kern w:val="2"/>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四、生态环境影响分析</w:t>
      </w:r>
    </w:p>
    <w:tbl>
      <w:tblPr>
        <w:tblStyle w:val="26"/>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21"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bookmarkStart w:id="1" w:name="_Hlk49796138"/>
            <w:r>
              <w:rPr>
                <w:rFonts w:hint="default" w:ascii="Times New Roman" w:hAnsi="Times New Roman" w:eastAsia="仿宋" w:cs="Times New Roman"/>
                <w:bCs/>
                <w:color w:val="auto"/>
                <w:spacing w:val="10"/>
                <w:kern w:val="2"/>
                <w:sz w:val="21"/>
                <w:szCs w:val="21"/>
              </w:rPr>
              <w:t>施工期生态环境影响分析</w:t>
            </w:r>
            <w:bookmarkEnd w:id="1"/>
          </w:p>
        </w:tc>
        <w:tc>
          <w:tcPr>
            <w:tcW w:w="8558"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本工程的建设使土地利用格局发生变化。工程建设对区域生态体系稳定性影响的主要途径是地表扰动。对区域景观的影响随着项目开发建设，挖毁地貌、修建人工设施、废弃物堆置、地表变形等景观格局的变化，使区域固有的自然生态功能部分丧失。同时，产生了水土流失、污染生态问题。而且随着时间的推移和建设规模的扩大，这种景观结构的变化有可能不断延伸、扩大。总而言之，本项目的建设将导致项目所在区域景观生态结构与功能的变化。同时，还会引起项目区内环境质量有所变化。具体表现在以下几方面：</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①</w:t>
            </w:r>
            <w:r>
              <w:rPr>
                <w:rFonts w:hint="default" w:ascii="Times New Roman" w:hAnsi="Times New Roman" w:eastAsia="仿宋" w:cs="Times New Roman"/>
                <w:b w:val="0"/>
                <w:bCs w:val="0"/>
                <w:color w:val="auto"/>
                <w:sz w:val="24"/>
                <w:szCs w:val="24"/>
              </w:rPr>
              <w:t>项目施工期主要生态环境影响为占地、植被破坏、水土流失以及对野生动物的</w:t>
            </w:r>
            <w:r>
              <w:rPr>
                <w:rFonts w:hint="default" w:ascii="Times New Roman" w:hAnsi="Times New Roman" w:eastAsia="仿宋" w:cs="Times New Roman"/>
                <w:b w:val="0"/>
                <w:bCs w:val="0"/>
                <w:color w:val="auto"/>
                <w:sz w:val="24"/>
                <w:szCs w:val="24"/>
                <w:lang w:eastAsia="zh-CN"/>
              </w:rPr>
              <w:t>侵扰</w:t>
            </w:r>
            <w:r>
              <w:rPr>
                <w:rFonts w:hint="default" w:ascii="Times New Roman" w:hAnsi="Times New Roman" w:eastAsia="仿宋" w:cs="Times New Roman"/>
                <w:b w:val="0"/>
                <w:bCs w:val="0"/>
                <w:color w:val="auto"/>
                <w:sz w:val="24"/>
                <w:szCs w:val="24"/>
              </w:rPr>
              <w:t>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②</w:t>
            </w:r>
            <w:r>
              <w:rPr>
                <w:rFonts w:hint="default" w:ascii="Times New Roman" w:hAnsi="Times New Roman" w:eastAsia="仿宋" w:cs="Times New Roman"/>
                <w:b w:val="0"/>
                <w:bCs w:val="0"/>
                <w:color w:val="auto"/>
                <w:sz w:val="24"/>
                <w:szCs w:val="24"/>
              </w:rPr>
              <w:t>矿区采矿场及环保设施建设，占用土地、破坏植被，造成水土流失。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③</w:t>
            </w:r>
            <w:r>
              <w:rPr>
                <w:rFonts w:hint="default" w:ascii="Times New Roman" w:hAnsi="Times New Roman" w:eastAsia="仿宋" w:cs="Times New Roman"/>
                <w:b w:val="0"/>
                <w:bCs w:val="0"/>
                <w:color w:val="auto"/>
                <w:sz w:val="24"/>
                <w:szCs w:val="24"/>
              </w:rPr>
              <w:t>改变地面生物生存环境。</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④</w:t>
            </w:r>
            <w:r>
              <w:rPr>
                <w:rFonts w:hint="default" w:ascii="Times New Roman" w:hAnsi="Times New Roman" w:eastAsia="仿宋" w:cs="Times New Roman"/>
                <w:b w:val="0"/>
                <w:bCs w:val="0"/>
                <w:color w:val="auto"/>
                <w:sz w:val="24"/>
                <w:szCs w:val="24"/>
              </w:rPr>
              <w:t>生态景观发生改变。</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工程占地影响分析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①</w:t>
            </w:r>
            <w:r>
              <w:rPr>
                <w:rFonts w:hint="default" w:ascii="Times New Roman" w:hAnsi="Times New Roman" w:eastAsia="仿宋" w:cs="Times New Roman"/>
                <w:b w:val="0"/>
                <w:bCs w:val="0"/>
                <w:color w:val="auto"/>
                <w:sz w:val="24"/>
                <w:szCs w:val="24"/>
              </w:rPr>
              <w:t>临时占地</w:t>
            </w:r>
          </w:p>
          <w:p>
            <w:pPr>
              <w:adjustRightInd w:val="0"/>
              <w:snapToGrid w:val="0"/>
              <w:ind w:firstLine="422"/>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rPr>
              <w:t>临时占地包括工程建设期间临时征用的所有土地，主要为临时运输道路等占地，施工结束后将恢复现有的使用功能。临时生活区等在划定区域内，不新增用地。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②</w:t>
            </w:r>
            <w:r>
              <w:rPr>
                <w:rFonts w:hint="default" w:ascii="Times New Roman" w:hAnsi="Times New Roman" w:eastAsia="仿宋" w:cs="Times New Roman"/>
                <w:b w:val="0"/>
                <w:bCs w:val="0"/>
                <w:color w:val="auto"/>
                <w:sz w:val="24"/>
                <w:szCs w:val="24"/>
              </w:rPr>
              <w:t>永久占地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永久压占土地类型为</w:t>
            </w:r>
            <w:r>
              <w:rPr>
                <w:rFonts w:hint="default" w:ascii="Times New Roman" w:hAnsi="Times New Roman" w:eastAsia="仿宋" w:cs="Times New Roman"/>
                <w:b w:val="0"/>
                <w:bCs w:val="0"/>
                <w:color w:val="auto"/>
                <w:sz w:val="24"/>
                <w:szCs w:val="24"/>
                <w:lang w:eastAsia="zh-CN"/>
              </w:rPr>
              <w:t>裸岩石砾地</w:t>
            </w:r>
            <w:r>
              <w:rPr>
                <w:rFonts w:hint="default" w:ascii="Times New Roman" w:hAnsi="Times New Roman" w:eastAsia="仿宋" w:cs="Times New Roman"/>
                <w:b w:val="0"/>
                <w:bCs w:val="0"/>
                <w:color w:val="auto"/>
                <w:sz w:val="24"/>
                <w:szCs w:val="24"/>
              </w:rPr>
              <w:t>，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施工期土壤环境影响分析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zh-CN"/>
              </w:rPr>
              <w:t>项目所在区域土壤类型为砂质棕漠土，植被稀少，土地贫瘠，有机质含量低。</w:t>
            </w:r>
            <w:r>
              <w:rPr>
                <w:rFonts w:hint="default" w:ascii="Times New Roman" w:hAnsi="Times New Roman" w:eastAsia="仿宋" w:cs="Times New Roman"/>
                <w:b w:val="0"/>
                <w:bCs w:val="0"/>
                <w:color w:val="auto"/>
                <w:sz w:val="24"/>
                <w:szCs w:val="24"/>
              </w:rPr>
              <w:t>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施工过程中，各种机械设备和车辆排放的废气与油污、丢弃的固体废物、施工机具车辆的</w:t>
            </w:r>
            <w:r>
              <w:rPr>
                <w:rFonts w:hint="default" w:ascii="Times New Roman" w:hAnsi="Times New Roman" w:eastAsia="仿宋" w:cs="Times New Roman"/>
                <w:b w:val="0"/>
                <w:bCs w:val="0"/>
                <w:color w:val="auto"/>
                <w:sz w:val="24"/>
                <w:szCs w:val="24"/>
                <w:lang w:val="en-US" w:eastAsia="zh-CN"/>
              </w:rPr>
              <w:t>清洗</w:t>
            </w:r>
            <w:r>
              <w:rPr>
                <w:rFonts w:hint="default" w:ascii="Times New Roman" w:hAnsi="Times New Roman" w:eastAsia="仿宋" w:cs="Times New Roman"/>
                <w:b w:val="0"/>
                <w:bCs w:val="0"/>
                <w:color w:val="auto"/>
                <w:sz w:val="24"/>
                <w:szCs w:val="24"/>
              </w:rPr>
              <w:t>污水、临时生活点排放的生活污水等，也将对土壤环境产生一定的影响。</w:t>
            </w:r>
          </w:p>
          <w:p>
            <w:pPr>
              <w:adjustRightInd w:val="0"/>
              <w:snapToGrid w:val="0"/>
              <w:ind w:firstLine="422"/>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项目永久占地，地表土壤在施工过程中将彻底清除或被覆盖，施工结束后被水泥建构物等替代，从而根本上改变了所占区域地表覆盖层类型和性质，地表土壤永久不可恢复。</w:t>
            </w:r>
            <w:r>
              <w:rPr>
                <w:rFonts w:hint="default" w:ascii="Times New Roman" w:hAnsi="Times New Roman" w:eastAsia="仿宋" w:cs="Times New Roman"/>
                <w:b w:val="0"/>
                <w:bCs w:val="0"/>
                <w:color w:val="auto"/>
                <w:sz w:val="24"/>
                <w:szCs w:val="24"/>
                <w:lang w:val="zh-CN"/>
              </w:rPr>
              <w:t>项目永久占地面积较小，对区域土壤环境影响较小。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（3）对土壤侵蚀的影响分析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清理露天开采地表、矿区道路建设、服务设施建设等工程，要进行开挖地表和地面建设，造成施工区域内的地表扰动，从而新增一定量的土壤侵蚀。除此之外矿区范围内其他临时占地也将不可避免的扰动原有相对稳定的地表，使土壤变得疏松，产生一定面积的裸露地面，造成新增水土流失。施工过程中产生的弃土也将导致新的水土流失。施工期对原生地表的扰动和破坏是不可避免的，引起一定程度的土壤侵蚀。</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4</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施工期</w:t>
            </w:r>
            <w:r>
              <w:rPr>
                <w:rFonts w:hint="default" w:ascii="Times New Roman" w:hAnsi="Times New Roman" w:eastAsia="仿宋" w:cs="Times New Roman"/>
                <w:b w:val="0"/>
                <w:bCs w:val="0"/>
                <w:color w:val="auto"/>
                <w:sz w:val="24"/>
                <w:szCs w:val="24"/>
              </w:rPr>
              <w:t>占地会对占地范围内的植被造成影响，但在人工措施的辅助下可以逐步得到恢复。由于本项目区基本为荒漠草原地带，植被稀少，这些植被均为区域的优势种，分布广泛，适应环境能力较强，因此拟建项目的建设不会造成该区段的生物量大量减少，亦不会造成物种丧失和生物多样性下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5</w:t>
            </w:r>
            <w:r>
              <w:rPr>
                <w:rFonts w:hint="default" w:ascii="Times New Roman" w:hAnsi="Times New Roman" w:eastAsia="仿宋" w:cs="Times New Roman"/>
                <w:b w:val="0"/>
                <w:bCs w:val="0"/>
                <w:color w:val="auto"/>
                <w:sz w:val="24"/>
                <w:szCs w:val="24"/>
              </w:rPr>
              <w:t>）施工活动中污染物对植物的影响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扬尘对植被的影响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工程开发建设中的扬尘是对植物生长产生影响的因素之一，但由于该区域的自然条件使得大气中扬尘易扩散，因此在正常情况下扬尘浓度低，工期短，对植被影响很小。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rPr>
              <w:t>施工期废水对植被影响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施工期由于只产生少量生活废水，不会对植被产生大的影响。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6</w:t>
            </w:r>
            <w:r>
              <w:rPr>
                <w:rFonts w:hint="default" w:ascii="Times New Roman" w:hAnsi="Times New Roman" w:eastAsia="仿宋" w:cs="Times New Roman"/>
                <w:b w:val="0"/>
                <w:bCs w:val="0"/>
                <w:color w:val="auto"/>
                <w:sz w:val="24"/>
                <w:szCs w:val="24"/>
              </w:rPr>
              <w:t>）人为活动对植被的影响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人为活动对植被的影响主要表现为施工人员和作业机械对草本植物的践踏、碾压等，主要由于施工过程中人类践踏形成的小面积局部地段的次生裸地，多集中在临时性占地外围50m范围内，这种影响一般为短期性影响，且强度不大，施工结束，这一影响也逐渐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7</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施工期对野生动物资源影响分析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在施工过程中，由于各类机械产生的噪声和人为活动的干扰，会使野生动物如啮齿类动物和一些鸟类向外迁移，使评价区周边的局部地区动物的密度相应增加；施工噪声会对野生动物产生驱赶和惊扰作用，另外，施工人员滥捕乱猎等现象的出现，将直接影响到这一地区的某些野生动物种群数量。这种影响可通过加强对施工人员的宣传教育和管理得到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由于评价区野生动物种类较少，现有的野生动物多为一些常见的鸟类、啮齿类及昆虫等。动物在受到人为影响时均可就近迁入周边地区继续生存繁衍，因此项目建设期不会使评价区内的野生动物物种数量发生较大的变化，其种群数量也不会发生明显变化。只要加强对施工人员的管理，矿区开发对区域野生动物资源不会造成毁灭性影响。</w:t>
            </w:r>
            <w:bookmarkStart w:id="2" w:name="_Toc357066904"/>
            <w:bookmarkStart w:id="3" w:name="_Toc406434301"/>
            <w:bookmarkStart w:id="4" w:name="_Toc462191111"/>
            <w:bookmarkStart w:id="5" w:name="_Toc346113447"/>
            <w:bookmarkStart w:id="6" w:name="_Toc417381861"/>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8</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水土流失影响分析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平整施工区、矿区道路建设等工程，要进行开挖地表和地面建设，造成施工区域内的地表扰动，从而可能引起一定的土壤侵蚀。范围内其它占地也将不可避免的扰动原有相对稳定的地表，使土壤变得疏松，产生一定面积的裸露地面，造成新的水土流失。施工产生的弃土也将导致新的水土流失。施工期对原生地表的扰动和破坏是不可避免的，引起一定程度的土壤侵蚀。</w:t>
            </w:r>
          </w:p>
          <w:bookmarkEnd w:id="2"/>
          <w:bookmarkEnd w:id="3"/>
          <w:bookmarkEnd w:id="4"/>
          <w:bookmarkEnd w:id="5"/>
          <w:bookmarkEnd w:id="6"/>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2、环境空气影响分析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施工期产生废气主要是施工扬尘及燃油施工设备和运输车辆运行时排放废气。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（1）施工扬尘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施工扬尘主要产生于以下施工过程：</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1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①</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场地清理平整过程产生扬尘；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2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②</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场地开挖、土石方堆放、回填等过程产生扬尘；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3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③</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粉砂状建筑材料运输、装卸、搬运、堆放等过程产生扬尘；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4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④</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粉砂状施工垃圾清理、堆放、装卸、运输等过程产生扬尘；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产生量及对其周边环境及人群产生影响范围和程度与施工现场的土质和气候、施工设备机械化程度、施工作业方式、施工管理水平、土石方量、路面状况、运输方式等诸多因素密切相关。施工扬尘排放呈间歇、不定量、无组织排放，其中的主要污染因子为颗粒物（TSP）。</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在施工扬尘来源中，场地清理平整、土石方挖掘、堆放和回填、粉砂状物料装卸、搬运、堆放、清理、运输等过程产生扬尘较多，结构施工、设备安装等过程产生扬尘较少或不产生扬尘。施工扬尘污染源多为间歇分散排放源，其排放口距地面高度低，其排放会在施工区域及周边附近区域形成局部污染，如果其未经充分扩散稀释就进入地面呼吸层会对现场施工人员工作环境和健康产生一定影响。</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各种燃油施工设备和运输车辆运行时排放废气中主要污染因子为SO</w:t>
            </w:r>
            <w:r>
              <w:rPr>
                <w:rFonts w:hint="default" w:ascii="Times New Roman" w:hAnsi="Times New Roman" w:eastAsia="仿宋" w:cs="Times New Roman"/>
                <w:bCs/>
                <w:color w:val="auto"/>
                <w:sz w:val="24"/>
                <w:szCs w:val="24"/>
                <w:vertAlign w:val="subscript"/>
              </w:rPr>
              <w:t>2</w:t>
            </w:r>
            <w:r>
              <w:rPr>
                <w:rFonts w:hint="default" w:ascii="Times New Roman" w:hAnsi="Times New Roman" w:eastAsia="仿宋" w:cs="Times New Roman"/>
                <w:bCs/>
                <w:color w:val="auto"/>
                <w:sz w:val="24"/>
                <w:szCs w:val="24"/>
              </w:rPr>
              <w:t>、NO</w:t>
            </w:r>
            <w:r>
              <w:rPr>
                <w:rFonts w:hint="default" w:ascii="Times New Roman" w:hAnsi="Times New Roman" w:eastAsia="仿宋" w:cs="Times New Roman"/>
                <w:bCs/>
                <w:color w:val="auto"/>
                <w:sz w:val="24"/>
                <w:szCs w:val="24"/>
                <w:vertAlign w:val="subscript"/>
              </w:rPr>
              <w:t>x</w:t>
            </w:r>
            <w:r>
              <w:rPr>
                <w:rFonts w:hint="default" w:ascii="Times New Roman" w:hAnsi="Times New Roman" w:eastAsia="仿宋" w:cs="Times New Roman"/>
                <w:bCs/>
                <w:color w:val="auto"/>
                <w:sz w:val="24"/>
                <w:szCs w:val="24"/>
              </w:rPr>
              <w:t>、CO、烃类等，其产排量与设备和车辆的选型、使用频率、使用燃料种类和用量等相关。各种燃油施工设备和运输车辆运行时排放废气呈间歇、不定量、流动、无组织排放，其产排量较小，对区域大气环境及人群产生影响较小，主要对施工作业点周边以及运输道路沿线两侧局部范围大气环境及人群产生一定影响，经采取选用低能耗、高效率的燃油施工设备和运输车辆，使用清洁燃料，对其注重日常保养维护，确保其良好运转状态等措施可以有效降低燃油施工设备和运输车辆运行时排放废气对周边大气环境及人群产生的影响。</w:t>
            </w:r>
          </w:p>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3、水环境影响分析</w:t>
            </w:r>
          </w:p>
          <w:p>
            <w:pPr>
              <w:adjustRightInd w:val="0"/>
              <w:snapToGrid w:val="0"/>
              <w:ind w:firstLine="420"/>
              <w:rPr>
                <w:rFonts w:hint="default" w:ascii="Times New Roman" w:hAnsi="Times New Roman" w:eastAsia="仿宋" w:cs="Times New Roman"/>
                <w:color w:val="auto"/>
                <w:spacing w:val="0"/>
                <w:position w:val="0"/>
                <w:sz w:val="24"/>
                <w:szCs w:val="24"/>
                <w:highlight w:val="none"/>
              </w:rPr>
            </w:pPr>
            <w:r>
              <w:rPr>
                <w:rFonts w:hint="default" w:ascii="Times New Roman" w:hAnsi="Times New Roman" w:eastAsia="仿宋" w:cs="Times New Roman"/>
                <w:color w:val="auto"/>
                <w:spacing w:val="0"/>
                <w:position w:val="0"/>
                <w:sz w:val="24"/>
                <w:szCs w:val="24"/>
                <w:highlight w:val="none"/>
              </w:rPr>
              <w:t>本项目</w:t>
            </w:r>
            <w:r>
              <w:rPr>
                <w:rFonts w:hint="default" w:ascii="Times New Roman" w:hAnsi="Times New Roman" w:eastAsia="仿宋" w:cs="Times New Roman"/>
                <w:color w:val="auto"/>
                <w:spacing w:val="0"/>
                <w:position w:val="0"/>
                <w:sz w:val="24"/>
                <w:szCs w:val="24"/>
                <w:highlight w:val="none"/>
                <w:lang w:val="en-US" w:eastAsia="zh-CN"/>
              </w:rPr>
              <w:t>不设置</w:t>
            </w:r>
            <w:r>
              <w:rPr>
                <w:rFonts w:hint="default" w:ascii="Times New Roman" w:hAnsi="Times New Roman" w:eastAsia="仿宋" w:cs="Times New Roman"/>
                <w:color w:val="auto"/>
                <w:spacing w:val="0"/>
                <w:position w:val="0"/>
                <w:sz w:val="24"/>
                <w:szCs w:val="24"/>
                <w:highlight w:val="none"/>
              </w:rPr>
              <w:t>施工营地，施工人员为当地人员，</w:t>
            </w:r>
            <w:r>
              <w:rPr>
                <w:rFonts w:hint="default" w:ascii="Times New Roman" w:hAnsi="Times New Roman" w:eastAsia="仿宋" w:cs="Times New Roman"/>
                <w:color w:val="auto"/>
                <w:spacing w:val="0"/>
                <w:position w:val="0"/>
                <w:sz w:val="24"/>
                <w:szCs w:val="24"/>
                <w:highlight w:val="none"/>
                <w:lang w:val="zh-CN" w:bidi="zh-CN"/>
              </w:rPr>
              <w:t>施工人员产生的生活污水主要污染物为COD</w:t>
            </w:r>
            <w:r>
              <w:rPr>
                <w:rFonts w:hint="default" w:ascii="Times New Roman" w:hAnsi="Times New Roman" w:eastAsia="仿宋" w:cs="Times New Roman"/>
                <w:color w:val="auto"/>
                <w:spacing w:val="0"/>
                <w:position w:val="0"/>
                <w:sz w:val="24"/>
                <w:szCs w:val="24"/>
                <w:highlight w:val="none"/>
                <w:vertAlign w:val="subscript"/>
                <w:lang w:val="zh-CN" w:bidi="zh-CN"/>
              </w:rPr>
              <w:t>Cr</w:t>
            </w:r>
            <w:r>
              <w:rPr>
                <w:rFonts w:hint="default" w:ascii="Times New Roman" w:hAnsi="Times New Roman" w:eastAsia="仿宋" w:cs="Times New Roman"/>
                <w:color w:val="auto"/>
                <w:spacing w:val="0"/>
                <w:position w:val="0"/>
                <w:sz w:val="24"/>
                <w:szCs w:val="24"/>
                <w:highlight w:val="none"/>
                <w:lang w:val="zh-CN" w:bidi="zh-CN"/>
              </w:rPr>
              <w:t>、BOD</w:t>
            </w:r>
            <w:r>
              <w:rPr>
                <w:rFonts w:hint="default" w:ascii="Times New Roman" w:hAnsi="Times New Roman" w:eastAsia="仿宋" w:cs="Times New Roman"/>
                <w:color w:val="auto"/>
                <w:spacing w:val="0"/>
                <w:position w:val="0"/>
                <w:sz w:val="24"/>
                <w:szCs w:val="24"/>
                <w:highlight w:val="none"/>
                <w:vertAlign w:val="subscript"/>
                <w:lang w:bidi="zh-CN"/>
              </w:rPr>
              <w:t>5</w:t>
            </w:r>
            <w:r>
              <w:rPr>
                <w:rFonts w:hint="default" w:ascii="Times New Roman" w:hAnsi="Times New Roman" w:eastAsia="仿宋" w:cs="Times New Roman"/>
                <w:color w:val="auto"/>
                <w:spacing w:val="0"/>
                <w:position w:val="0"/>
                <w:sz w:val="24"/>
                <w:szCs w:val="24"/>
                <w:highlight w:val="none"/>
                <w:lang w:val="zh-CN" w:bidi="zh-CN"/>
              </w:rPr>
              <w:t>、NH</w:t>
            </w:r>
            <w:r>
              <w:rPr>
                <w:rFonts w:hint="default" w:ascii="Times New Roman" w:hAnsi="Times New Roman" w:eastAsia="仿宋" w:cs="Times New Roman"/>
                <w:color w:val="auto"/>
                <w:spacing w:val="0"/>
                <w:position w:val="0"/>
                <w:sz w:val="24"/>
                <w:szCs w:val="24"/>
                <w:highlight w:val="none"/>
                <w:vertAlign w:val="subscript"/>
                <w:lang w:val="zh-CN" w:bidi="zh-CN"/>
              </w:rPr>
              <w:t>3</w:t>
            </w:r>
            <w:r>
              <w:rPr>
                <w:rFonts w:hint="default" w:ascii="Times New Roman" w:hAnsi="Times New Roman" w:eastAsia="仿宋" w:cs="Times New Roman"/>
                <w:color w:val="auto"/>
                <w:spacing w:val="0"/>
                <w:position w:val="0"/>
                <w:sz w:val="24"/>
                <w:szCs w:val="24"/>
                <w:highlight w:val="none"/>
                <w:lang w:val="zh-CN" w:bidi="zh-CN"/>
              </w:rPr>
              <w:t>-N、SS等。本项目施工高峰期总人数按</w:t>
            </w:r>
            <w:r>
              <w:rPr>
                <w:rFonts w:hint="default" w:ascii="Times New Roman" w:hAnsi="Times New Roman" w:eastAsia="仿宋" w:cs="Times New Roman"/>
                <w:color w:val="auto"/>
                <w:spacing w:val="0"/>
                <w:position w:val="0"/>
                <w:sz w:val="24"/>
                <w:szCs w:val="24"/>
                <w:highlight w:val="none"/>
                <w:lang w:val="en-US" w:bidi="zh-CN"/>
              </w:rPr>
              <w:t>10</w:t>
            </w:r>
            <w:r>
              <w:rPr>
                <w:rFonts w:hint="default" w:ascii="Times New Roman" w:hAnsi="Times New Roman" w:eastAsia="仿宋" w:cs="Times New Roman"/>
                <w:color w:val="auto"/>
                <w:spacing w:val="0"/>
                <w:position w:val="0"/>
                <w:sz w:val="24"/>
                <w:szCs w:val="24"/>
                <w:highlight w:val="none"/>
                <w:lang w:val="zh-CN" w:bidi="zh-CN"/>
              </w:rPr>
              <w:t>人计，施工人员每天生活用水以</w:t>
            </w:r>
            <w:r>
              <w:rPr>
                <w:rFonts w:hint="default" w:ascii="Times New Roman" w:hAnsi="Times New Roman" w:eastAsia="仿宋" w:cs="Times New Roman"/>
                <w:color w:val="auto"/>
                <w:spacing w:val="0"/>
                <w:position w:val="0"/>
                <w:sz w:val="24"/>
                <w:szCs w:val="24"/>
                <w:highlight w:val="none"/>
                <w:lang w:bidi="zh-CN"/>
              </w:rPr>
              <w:t>50</w:t>
            </w:r>
            <w:r>
              <w:rPr>
                <w:rFonts w:hint="default" w:ascii="Times New Roman" w:hAnsi="Times New Roman" w:eastAsia="仿宋" w:cs="Times New Roman"/>
                <w:color w:val="auto"/>
                <w:spacing w:val="0"/>
                <w:position w:val="0"/>
                <w:sz w:val="24"/>
                <w:szCs w:val="24"/>
                <w:highlight w:val="none"/>
                <w:lang w:val="zh-CN" w:bidi="zh-CN"/>
              </w:rPr>
              <w:t>L/人·d计，生活污水按用水量的80%计，则生活污水的排放量为</w:t>
            </w:r>
            <w:r>
              <w:rPr>
                <w:rFonts w:hint="default" w:ascii="Times New Roman" w:hAnsi="Times New Roman" w:eastAsia="仿宋" w:cs="Times New Roman"/>
                <w:color w:val="auto"/>
                <w:spacing w:val="0"/>
                <w:position w:val="0"/>
                <w:sz w:val="24"/>
                <w:szCs w:val="24"/>
                <w:highlight w:val="none"/>
                <w:lang w:val="en-US" w:bidi="zh-CN"/>
              </w:rPr>
              <w:t>0.4</w:t>
            </w:r>
            <w:r>
              <w:rPr>
                <w:rFonts w:hint="default" w:ascii="Times New Roman" w:hAnsi="Times New Roman" w:eastAsia="仿宋" w:cs="Times New Roman"/>
                <w:color w:val="auto"/>
                <w:spacing w:val="0"/>
                <w:position w:val="0"/>
                <w:sz w:val="24"/>
                <w:szCs w:val="24"/>
                <w:highlight w:val="none"/>
                <w:lang w:val="zh-CN" w:bidi="zh-CN"/>
              </w:rPr>
              <w:t>m³/d，该项目施工期施工人员生活污水</w:t>
            </w:r>
            <w:r>
              <w:rPr>
                <w:rFonts w:hint="default" w:ascii="Times New Roman" w:hAnsi="Times New Roman" w:eastAsia="仿宋" w:cs="Times New Roman"/>
                <w:color w:val="auto"/>
                <w:spacing w:val="0"/>
                <w:position w:val="0"/>
                <w:sz w:val="24"/>
                <w:szCs w:val="24"/>
                <w:highlight w:val="none"/>
                <w:lang w:val="en-US" w:bidi="zh-CN"/>
              </w:rPr>
              <w:t>经化粪池暂存后统一拉运至鄯善县污水处理厂</w:t>
            </w:r>
            <w:r>
              <w:rPr>
                <w:rFonts w:hint="default" w:ascii="Times New Roman" w:hAnsi="Times New Roman" w:eastAsia="仿宋" w:cs="Times New Roman"/>
                <w:color w:val="auto"/>
                <w:spacing w:val="0"/>
                <w:position w:val="0"/>
                <w:sz w:val="24"/>
                <w:szCs w:val="24"/>
                <w:highlight w:val="none"/>
              </w:rPr>
              <w:t>。</w:t>
            </w:r>
          </w:p>
          <w:p>
            <w:pPr>
              <w:spacing w:line="360" w:lineRule="auto"/>
              <w:ind w:firstLine="480" w:firstLineChars="200"/>
              <w:rPr>
                <w:rFonts w:hint="default" w:ascii="Times New Roman" w:hAnsi="Times New Roman" w:eastAsia="仿宋" w:cs="Times New Roman"/>
                <w:color w:val="auto"/>
                <w:spacing w:val="0"/>
                <w:position w:val="0"/>
                <w:sz w:val="24"/>
                <w:lang w:val="en-US" w:eastAsia="zh-CN"/>
              </w:rPr>
            </w:pPr>
            <w:r>
              <w:rPr>
                <w:rFonts w:hint="default" w:ascii="Times New Roman" w:hAnsi="Times New Roman" w:eastAsia="仿宋" w:cs="Times New Roman"/>
                <w:color w:val="auto"/>
                <w:spacing w:val="0"/>
                <w:position w:val="0"/>
                <w:sz w:val="24"/>
                <w:szCs w:val="24"/>
                <w:lang w:val="en-US" w:eastAsia="zh-CN" w:bidi="zh-CN"/>
              </w:rPr>
              <w:t>施工期生产废水主要为机械设备冲洗废水、混凝土养护废水，其污染物为悬浮物和石油类，</w:t>
            </w:r>
            <w:r>
              <w:rPr>
                <w:rFonts w:hint="default" w:ascii="Times New Roman" w:hAnsi="Times New Roman" w:eastAsia="仿宋" w:cs="Times New Roman"/>
                <w:color w:val="auto"/>
                <w:spacing w:val="0"/>
                <w:position w:val="0"/>
                <w:sz w:val="24"/>
              </w:rPr>
              <w:t>该类废水中SS浓度在3000mg/L-5000mg/L，</w:t>
            </w:r>
            <w:r>
              <w:rPr>
                <w:rFonts w:hint="default" w:ascii="Times New Roman" w:hAnsi="Times New Roman" w:eastAsia="仿宋" w:cs="Times New Roman"/>
                <w:color w:val="auto"/>
                <w:spacing w:val="0"/>
                <w:position w:val="0"/>
                <w:sz w:val="24"/>
                <w:lang w:val="en-US" w:eastAsia="zh-CN"/>
              </w:rPr>
              <w:t>拟在施工区设置简易沉淀池，施工废水经沉淀池沉淀后回用于场地及道路降尘等。</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4、声环境影响分析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（1）施工噪声源强调查</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施工噪声主要有设备噪声、机械噪声等。</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施工设备噪声主要是推土机、空压机、挖掘机、平地机、振捣机等施工机械设备，距离设备10m处的噪声源强一般在60~82dB(A)。根据有关资料，主要施工机械的噪声状况列于表4-1。</w:t>
            </w:r>
          </w:p>
          <w:p>
            <w:pPr>
              <w:snapToGrid w:val="0"/>
              <w:spacing w:line="36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表4-1主要施工机械设备噪声</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3197"/>
              <w:gridCol w:w="51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施工设备名称</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运输车辆</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r>
          </w:tbl>
          <w:p>
            <w:pPr>
              <w:adjustRightInd w:val="0"/>
              <w:snapToGrid w:val="0"/>
              <w:spacing w:before="120" w:beforeLines="5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由表4-1可以看出，施工机械设备噪声很高，在实际施工过程中，往往是各种机械同时工作，各种噪声源辐射的相互叠加，噪声级将会更高，辐射面也会更大。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（2）施工期噪声影响分析及防治对策</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由于本工程施工机械产生的噪声主要属中低频噪声，因此在预测其影响时可只考虑其扩散衰减，预测模型可选用：</w:t>
            </w:r>
          </w:p>
          <w:p>
            <w:pPr>
              <w:adjustRightInd w:val="0"/>
              <w:snapToGrid w:val="0"/>
              <w:ind w:firstLine="1320" w:firstLineChars="5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&gt;r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分别为距声源r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处的等效A声级（dB(A)）；</w:t>
            </w:r>
          </w:p>
          <w:p>
            <w:pPr>
              <w:adjustRightInd w:val="0"/>
              <w:snapToGrid w:val="0"/>
              <w:ind w:firstLine="1200" w:firstLineChars="5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为接受点距声源的距离（m）。</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由上式可推出噪声随距离增加而衰减的量ΔL；</w:t>
            </w:r>
          </w:p>
          <w:p>
            <w:pPr>
              <w:adjustRightInd w:val="0"/>
              <w:snapToGrid w:val="0"/>
              <w:ind w:firstLine="1190" w:firstLineChars="496"/>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ΔL=L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由此式可计算出噪声值随距离衰减值，具体衰减情况见表4-2。</w:t>
            </w:r>
          </w:p>
          <w:p>
            <w:pPr>
              <w:snapToGrid w:val="0"/>
              <w:spacing w:line="360" w:lineRule="auto"/>
              <w:ind w:firstLine="0" w:firstLineChars="0"/>
              <w:jc w:val="cente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表4-2噪声值随距离的衰减关系</w:t>
            </w:r>
          </w:p>
          <w:tbl>
            <w:tblPr>
              <w:tblStyle w:val="87"/>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3"/>
              <w:gridCol w:w="571"/>
              <w:gridCol w:w="473"/>
              <w:gridCol w:w="721"/>
              <w:gridCol w:w="722"/>
              <w:gridCol w:w="722"/>
              <w:gridCol w:w="721"/>
              <w:gridCol w:w="722"/>
              <w:gridCol w:w="754"/>
              <w:gridCol w:w="75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09" w:type="pct"/>
                  <w:vMerge w:val="restart"/>
                  <w:tcBorders>
                    <w:top w:val="single" w:color="000000" w:sz="2" w:space="0"/>
                    <w:left w:val="single" w:color="000000" w:sz="2" w:space="0"/>
                    <w:bottom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设备名称</w:t>
                  </w:r>
                </w:p>
              </w:tc>
              <w:tc>
                <w:tcPr>
                  <w:tcW w:w="344" w:type="pct"/>
                  <w:vMerge w:val="restart"/>
                  <w:tcBorders>
                    <w:top w:val="single" w:color="000000" w:sz="2" w:space="0"/>
                    <w:bottom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声级</w:t>
                  </w:r>
                </w:p>
              </w:tc>
              <w:tc>
                <w:tcPr>
                  <w:tcW w:w="3845" w:type="pct"/>
                  <w:gridSpan w:val="9"/>
                  <w:tcBorders>
                    <w:top w:val="single" w:color="000000" w:sz="2" w:space="0"/>
                    <w:righ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不同距离处的噪声值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09" w:type="pct"/>
                  <w:vMerge w:val="continue"/>
                  <w:tcBorders>
                    <w:top w:val="nil"/>
                    <w:lef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344"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150m</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105</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91</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85</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79</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73</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116</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102</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96</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77.9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108</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88</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56.5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09" w:type="pct"/>
                  <w:tcBorders>
                    <w:left w:val="single" w:color="000000" w:sz="2" w:space="0"/>
                    <w:bottom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4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106</w:t>
                  </w:r>
                </w:p>
              </w:tc>
              <w:tc>
                <w:tcPr>
                  <w:tcW w:w="28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92</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70.4</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67.9</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62.5</w:t>
                  </w:r>
                </w:p>
              </w:tc>
              <w:tc>
                <w:tcPr>
                  <w:tcW w:w="472" w:type="pct"/>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bl>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由表4-2可知，施工机械中以推土机噪声影响程度最大。各种机械噪声源强均在75dB(A)以上，对靠近施工现场100m范围内的影响较大。由于在项目区周围5km范围内无居民区，所以工程施工对外环境的影响较小。</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5、固体废物影响分析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本项目施工期间产生固体废物主要是少量施工垃圾和生活垃圾。</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施工垃圾主要是施工过程产生建筑垃圾、剩余建筑材料等，其中：建筑垃圾集中收集后定期统一运至当地城建部门指定的建筑垃圾场处置，剩余建筑材料回收利用。</w:t>
            </w:r>
          </w:p>
          <w:p>
            <w:pPr>
              <w:adjustRightInd w:val="0"/>
              <w:snapToGrid w:val="0"/>
              <w:ind w:firstLine="42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color w:val="auto"/>
                <w:spacing w:val="0"/>
                <w:position w:val="0"/>
                <w:sz w:val="24"/>
                <w:highlight w:val="none"/>
              </w:rPr>
              <w:t>本项目施工期主要为施工人员产生的生活垃圾，项目施工人数</w:t>
            </w:r>
            <w:r>
              <w:rPr>
                <w:rFonts w:hint="default" w:ascii="Times New Roman" w:hAnsi="Times New Roman" w:eastAsia="仿宋" w:cs="Times New Roman"/>
                <w:color w:val="auto"/>
                <w:spacing w:val="0"/>
                <w:position w:val="0"/>
                <w:sz w:val="24"/>
                <w:highlight w:val="none"/>
                <w:lang w:val="en-US" w:eastAsia="zh-CN"/>
              </w:rPr>
              <w:t>10</w:t>
            </w:r>
            <w:r>
              <w:rPr>
                <w:rFonts w:hint="default" w:ascii="Times New Roman" w:hAnsi="Times New Roman" w:eastAsia="仿宋" w:cs="Times New Roman"/>
                <w:color w:val="auto"/>
                <w:spacing w:val="0"/>
                <w:position w:val="0"/>
                <w:sz w:val="24"/>
                <w:highlight w:val="none"/>
              </w:rPr>
              <w:t>人，按每人每天生活垃圾产生量为0.5kg计，本项目</w:t>
            </w:r>
            <w:r>
              <w:rPr>
                <w:rFonts w:hint="default" w:ascii="Times New Roman" w:hAnsi="Times New Roman" w:eastAsia="仿宋" w:cs="Times New Roman"/>
                <w:color w:val="auto"/>
                <w:spacing w:val="0"/>
                <w:position w:val="0"/>
                <w:sz w:val="24"/>
                <w:highlight w:val="none"/>
                <w:lang w:val="en-US" w:eastAsia="zh-CN"/>
              </w:rPr>
              <w:t>施工期</w:t>
            </w:r>
            <w:r>
              <w:rPr>
                <w:rFonts w:hint="default" w:ascii="Times New Roman" w:hAnsi="Times New Roman" w:eastAsia="仿宋" w:cs="Times New Roman"/>
                <w:color w:val="auto"/>
                <w:spacing w:val="0"/>
                <w:position w:val="0"/>
                <w:sz w:val="24"/>
                <w:highlight w:val="none"/>
              </w:rPr>
              <w:t>产生的生活垃圾为</w:t>
            </w:r>
            <w:r>
              <w:rPr>
                <w:rFonts w:hint="default" w:ascii="Times New Roman" w:hAnsi="Times New Roman" w:eastAsia="仿宋" w:cs="Times New Roman"/>
                <w:color w:val="auto"/>
                <w:spacing w:val="0"/>
                <w:position w:val="0"/>
                <w:sz w:val="24"/>
                <w:highlight w:val="none"/>
                <w:lang w:val="en-US" w:eastAsia="zh-CN"/>
              </w:rPr>
              <w:t>5千克/天</w:t>
            </w:r>
            <w:r>
              <w:rPr>
                <w:rFonts w:hint="default" w:ascii="Times New Roman" w:hAnsi="Times New Roman" w:eastAsia="仿宋" w:cs="Times New Roman"/>
                <w:color w:val="auto"/>
                <w:spacing w:val="0"/>
                <w:position w:val="0"/>
                <w:sz w:val="24"/>
                <w:highlight w:val="none"/>
              </w:rPr>
              <w:t>，生活垃圾集中收集后由</w:t>
            </w:r>
            <w:r>
              <w:rPr>
                <w:rFonts w:hint="default" w:ascii="Times New Roman" w:hAnsi="Times New Roman" w:eastAsia="仿宋" w:cs="Times New Roman"/>
                <w:color w:val="auto"/>
                <w:spacing w:val="0"/>
                <w:position w:val="0"/>
                <w:sz w:val="24"/>
                <w:highlight w:val="none"/>
                <w:lang w:val="en-US" w:eastAsia="zh-CN"/>
              </w:rPr>
              <w:t>统一</w:t>
            </w:r>
            <w:r>
              <w:rPr>
                <w:rFonts w:hint="default" w:ascii="Times New Roman" w:hAnsi="Times New Roman" w:eastAsia="仿宋" w:cs="Times New Roman"/>
                <w:color w:val="auto"/>
                <w:spacing w:val="0"/>
                <w:position w:val="0"/>
                <w:sz w:val="24"/>
                <w:highlight w:val="none"/>
              </w:rPr>
              <w:t>清运至当地垃圾填埋场集中处置</w:t>
            </w:r>
            <w:r>
              <w:rPr>
                <w:rFonts w:hint="default" w:ascii="Times New Roman" w:hAnsi="Times New Roman" w:eastAsia="仿宋" w:cs="Times New Roman"/>
                <w:bCs/>
                <w:color w:val="auto"/>
                <w:sz w:val="24"/>
                <w:szCs w:val="24"/>
                <w:highlight w:val="none"/>
                <w:lang w:eastAsia="zh-CN"/>
              </w:rPr>
              <w:t>。</w:t>
            </w: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pStyle w:val="25"/>
              <w:rPr>
                <w:rFonts w:hint="default" w:ascii="Times New Roman" w:hAnsi="Times New Roman" w:eastAsia="仿宋" w:cs="Times New Roman"/>
                <w:bCs/>
                <w:color w:val="auto"/>
                <w:sz w:val="24"/>
                <w:szCs w:val="24"/>
              </w:rPr>
            </w:pPr>
          </w:p>
          <w:p>
            <w:pPr>
              <w:pStyle w:val="18"/>
              <w:rPr>
                <w:rFonts w:hint="default"/>
                <w:color w:val="auto"/>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621"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spacing w:val="10"/>
                <w:kern w:val="2"/>
                <w:sz w:val="21"/>
                <w:szCs w:val="21"/>
              </w:rPr>
              <w:t>运营期生态环境影响分析</w:t>
            </w:r>
          </w:p>
        </w:tc>
        <w:tc>
          <w:tcPr>
            <w:tcW w:w="8558" w:type="dxa"/>
          </w:tcPr>
          <w:p>
            <w:pPr>
              <w:overflowPunct w:val="0"/>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1、生态环境影响分析</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default" w:ascii="Times New Roman" w:hAnsi="Times New Roman" w:eastAsia="仿宋" w:cs="Times New Roman"/>
                <w:color w:val="auto"/>
                <w:sz w:val="24"/>
                <w:szCs w:val="24"/>
                <w:lang w:eastAsia="zh-CN"/>
              </w:rPr>
              <w:t>位于</w:t>
            </w:r>
            <w:r>
              <w:rPr>
                <w:rFonts w:hint="eastAsia" w:eastAsia="仿宋" w:cs="Times New Roman"/>
                <w:color w:val="auto"/>
                <w:sz w:val="24"/>
                <w:szCs w:val="24"/>
                <w:lang w:eastAsia="zh-CN"/>
              </w:rPr>
              <w:t>鄯善县北西296°方位，直线距离13.4千米</w:t>
            </w:r>
            <w:r>
              <w:rPr>
                <w:rFonts w:hint="default" w:ascii="Times New Roman" w:hAnsi="Times New Roman" w:eastAsia="仿宋" w:cs="Times New Roman"/>
                <w:color w:val="auto"/>
                <w:sz w:val="24"/>
                <w:szCs w:val="24"/>
              </w:rPr>
              <w:t>，项目区及周边附近区域内动物以啮齿类、爬行类、昆虫类、鸟类等为主，无国家及自治区级珍稀濒危保护动物活动。项目区及周边附近区域内无自然保护区、风景名胜区、文化自然遗产地、文物保护单位、大型集中办公居民区、军事基地</w:t>
            </w:r>
            <w:r>
              <w:rPr>
                <w:rFonts w:hint="eastAsia" w:eastAsia="仿宋" w:cs="Times New Roman"/>
                <w:color w:val="auto"/>
                <w:sz w:val="24"/>
                <w:szCs w:val="24"/>
                <w:lang w:eastAsia="zh-CN"/>
              </w:rPr>
              <w:t>、</w:t>
            </w:r>
            <w:r>
              <w:rPr>
                <w:rFonts w:hint="default" w:ascii="Times New Roman" w:hAnsi="Times New Roman" w:eastAsia="仿宋" w:cs="Times New Roman"/>
                <w:color w:val="auto"/>
                <w:kern w:val="0"/>
                <w:sz w:val="24"/>
                <w:szCs w:val="24"/>
                <w:lang w:val="en-US" w:eastAsia="zh-CN" w:bidi="ar"/>
              </w:rPr>
              <w:t>土地封禁保护区、水土流失重点防御区和重点治理区等环境敏感区</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本项目开采活动对区域生态的影响主要表现在土地占用扰动地表、景观影响、水土流失等方面，随着项目开发建设，地表开挖、修建人工设施、破坏矿区地貌、破坏自然景观等影响，这种生态格局的变化，使矿区固有的自然生态功能部分丧失。同时，造成水土流失、生态环境质量下降等问题，而且随着时间的推移和开发规模的扩大，这种景观结构的变化可能延伸、扩大。</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具体影响见下表：</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3</w:t>
            </w:r>
            <w:r>
              <w:rPr>
                <w:rFonts w:hint="default" w:ascii="Times New Roman" w:hAnsi="Times New Roman" w:eastAsia="仿宋" w:cs="Times New Roman"/>
                <w:b/>
                <w:color w:val="auto"/>
                <w:kern w:val="0"/>
                <w:sz w:val="21"/>
                <w:szCs w:val="21"/>
              </w:rPr>
              <w:t>本项目生态环境影响一览表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55"/>
              <w:gridCol w:w="6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主要影响活动及项目</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运营期影响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露天开采</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采坑占地范围植被全部破坏，地貌发生变化，水土流失加剧；噪声、震动扰动野生动物栖息。扬尘影响植物呼吸作用和光合作用。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汽车运输</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color w:val="auto"/>
                      <w:kern w:val="0"/>
                      <w:sz w:val="21"/>
                      <w:szCs w:val="21"/>
                    </w:rPr>
                    <w:t>扬尘影响植物生长，噪声干扰野生动物的生存活动。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lang w:eastAsia="zh-CN"/>
                    </w:rPr>
                  </w:pPr>
                  <w:r>
                    <w:rPr>
                      <w:rFonts w:hint="default" w:ascii="Times New Roman" w:hAnsi="Times New Roman" w:eastAsia="仿宋" w:cs="Times New Roman"/>
                      <w:bCs/>
                      <w:color w:val="auto"/>
                      <w:sz w:val="21"/>
                      <w:szCs w:val="21"/>
                      <w:lang w:val="en-US" w:eastAsia="zh-CN"/>
                    </w:rPr>
                    <w:t>排土场</w:t>
                  </w:r>
                </w:p>
              </w:tc>
              <w:tc>
                <w:tcPr>
                  <w:tcW w:w="3710" w:type="pct"/>
                  <w:vAlign w:val="center"/>
                </w:tcPr>
                <w:p>
                  <w:pPr>
                    <w:autoSpaceDE w:val="0"/>
                    <w:autoSpaceDN w:val="0"/>
                    <w:adjustRightIn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占用土地，影响周围土壤的质量，无植被覆盖，水土流失加剧，使局部环境恶化。</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（1）对土地利用功能的影响分析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本项目占地范围土地利用类型均属于</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。运营期</w:t>
            </w:r>
            <w:r>
              <w:rPr>
                <w:rFonts w:hint="eastAsia" w:eastAsia="仿宋" w:cs="Times New Roman"/>
                <w:color w:val="auto"/>
                <w:sz w:val="24"/>
                <w:szCs w:val="24"/>
                <w:lang w:val="en-US" w:eastAsia="zh-CN"/>
              </w:rPr>
              <w:t>损坏土地</w:t>
            </w:r>
            <w:r>
              <w:rPr>
                <w:rFonts w:hint="default" w:ascii="Times New Roman" w:hAnsi="Times New Roman" w:eastAsia="仿宋" w:cs="Times New Roman"/>
                <w:color w:val="auto"/>
                <w:sz w:val="24"/>
                <w:szCs w:val="24"/>
              </w:rPr>
              <w:t>占地面积为</w:t>
            </w:r>
            <w:r>
              <w:rPr>
                <w:rFonts w:hint="eastAsia" w:eastAsia="仿宋" w:cs="Times New Roman"/>
                <w:color w:val="auto"/>
                <w:sz w:val="24"/>
                <w:szCs w:val="24"/>
                <w:lang w:val="en-US" w:eastAsia="zh-CN"/>
              </w:rPr>
              <w:t>100060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。本项目占地情况见表4-</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项目占地情况表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1"/>
              <w:gridCol w:w="1349"/>
              <w:gridCol w:w="1608"/>
              <w:gridCol w:w="1711"/>
              <w:gridCol w:w="2184"/>
              <w:gridCol w:w="8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384"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序号</w:t>
                  </w:r>
                </w:p>
              </w:tc>
              <w:tc>
                <w:tcPr>
                  <w:tcW w:w="806"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分项名称</w:t>
                  </w:r>
                </w:p>
              </w:tc>
              <w:tc>
                <w:tcPr>
                  <w:tcW w:w="3293" w:type="pct"/>
                  <w:gridSpan w:val="3"/>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占地类别及面积（m</w:t>
                  </w:r>
                  <w:r>
                    <w:rPr>
                      <w:rFonts w:hint="default" w:ascii="Times New Roman" w:hAnsi="Times New Roman" w:eastAsia="仿宋" w:cs="Times New Roman"/>
                      <w:b/>
                      <w:color w:val="auto"/>
                      <w:sz w:val="21"/>
                      <w:szCs w:val="21"/>
                      <w:vertAlign w:val="superscript"/>
                    </w:rPr>
                    <w:t>2</w:t>
                  </w:r>
                  <w:r>
                    <w:rPr>
                      <w:rFonts w:hint="default" w:ascii="Times New Roman" w:hAnsi="Times New Roman" w:eastAsia="仿宋" w:cs="Times New Roman"/>
                      <w:b/>
                      <w:color w:val="auto"/>
                      <w:sz w:val="21"/>
                      <w:szCs w:val="21"/>
                    </w:rPr>
                    <w:t>）</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w:t>
                  </w:r>
                </w:p>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4"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806"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962"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永久占地</w:t>
                  </w:r>
                </w:p>
              </w:tc>
              <w:tc>
                <w:tcPr>
                  <w:tcW w:w="1024"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临时占地</w:t>
                  </w:r>
                </w:p>
              </w:tc>
              <w:tc>
                <w:tcPr>
                  <w:tcW w:w="1306"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合计</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06" w:type="pct"/>
                  <w:vAlign w:val="center"/>
                </w:tcPr>
                <w:p>
                  <w:pPr>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露天采场</w:t>
                  </w:r>
                </w:p>
              </w:tc>
              <w:tc>
                <w:tcPr>
                  <w:tcW w:w="9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color w:val="auto"/>
                      <w:sz w:val="21"/>
                      <w:szCs w:val="21"/>
                      <w:lang w:val="en-US" w:eastAsia="zh-CN"/>
                    </w:rPr>
                    <w:t>99400</w:t>
                  </w:r>
                </w:p>
              </w:tc>
              <w:tc>
                <w:tcPr>
                  <w:tcW w:w="102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99400</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裸岩石砾地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4" w:type="pct"/>
                  <w:vAlign w:val="center"/>
                </w:tcPr>
                <w:p>
                  <w:pPr>
                    <w:adjustRightInd w:val="0"/>
                    <w:snapToGrid w:val="0"/>
                    <w:spacing w:line="240" w:lineRule="auto"/>
                    <w:ind w:firstLine="0" w:firstLineChars="0"/>
                    <w:jc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2</w:t>
                  </w:r>
                </w:p>
              </w:tc>
              <w:tc>
                <w:tcPr>
                  <w:tcW w:w="806"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sz w:val="21"/>
                      <w:szCs w:val="21"/>
                      <w:highlight w:val="none"/>
                      <w:lang w:val="en-US" w:eastAsia="zh-CN"/>
                    </w:rPr>
                    <w:t>工业场地</w:t>
                  </w:r>
                </w:p>
              </w:tc>
              <w:tc>
                <w:tcPr>
                  <w:tcW w:w="9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3000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102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3000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4" w:type="pct"/>
                  <w:vAlign w:val="center"/>
                </w:tcPr>
                <w:p>
                  <w:pPr>
                    <w:adjustRightInd w:val="0"/>
                    <w:snapToGrid w:val="0"/>
                    <w:spacing w:line="240" w:lineRule="auto"/>
                    <w:ind w:firstLine="0" w:firstLineChars="0"/>
                    <w:jc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3</w:t>
                  </w:r>
                </w:p>
              </w:tc>
              <w:tc>
                <w:tcPr>
                  <w:tcW w:w="806"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sz w:val="21"/>
                      <w:szCs w:val="21"/>
                      <w:highlight w:val="none"/>
                      <w:lang w:val="en-US" w:eastAsia="zh-CN"/>
                    </w:rPr>
                    <w:t>办公生活区</w:t>
                  </w:r>
                </w:p>
              </w:tc>
              <w:tc>
                <w:tcPr>
                  <w:tcW w:w="9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1000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102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1000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4" w:type="pct"/>
                  <w:vAlign w:val="center"/>
                </w:tcPr>
                <w:p>
                  <w:pPr>
                    <w:adjustRightInd w:val="0"/>
                    <w:snapToGrid w:val="0"/>
                    <w:spacing w:line="240" w:lineRule="auto"/>
                    <w:ind w:firstLine="0" w:firstLineChars="0"/>
                    <w:jc w:val="center"/>
                    <w:rPr>
                      <w:rFonts w:hint="default" w:eastAsia="仿宋" w:cs="Times New Roman"/>
                      <w:color w:val="auto"/>
                      <w:sz w:val="21"/>
                      <w:szCs w:val="21"/>
                      <w:lang w:val="en-US" w:eastAsia="zh-CN"/>
                    </w:rPr>
                  </w:pPr>
                  <w:r>
                    <w:rPr>
                      <w:rFonts w:hint="eastAsia" w:eastAsia="仿宋" w:cs="Times New Roman"/>
                      <w:color w:val="auto"/>
                      <w:sz w:val="21"/>
                      <w:szCs w:val="21"/>
                      <w:lang w:val="en-US" w:eastAsia="zh-CN"/>
                    </w:rPr>
                    <w:t>4</w:t>
                  </w:r>
                </w:p>
              </w:tc>
              <w:tc>
                <w:tcPr>
                  <w:tcW w:w="80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排土场</w:t>
                  </w:r>
                </w:p>
              </w:tc>
              <w:tc>
                <w:tcPr>
                  <w:tcW w:w="9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color w:val="auto"/>
                      <w:sz w:val="21"/>
                      <w:szCs w:val="21"/>
                      <w:lang w:val="en-US" w:eastAsia="zh-CN"/>
                    </w:rPr>
                  </w:pPr>
                  <w:r>
                    <w:rPr>
                      <w:rFonts w:hint="eastAsia"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102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color w:val="auto"/>
                      <w:sz w:val="21"/>
                      <w:szCs w:val="21"/>
                      <w:lang w:val="en-US" w:eastAsia="zh-CN"/>
                    </w:rPr>
                  </w:pPr>
                  <w:r>
                    <w:rPr>
                      <w:rFonts w:hint="eastAsia"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4" w:type="pct"/>
                  <w:vMerge w:val="restart"/>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5</w:t>
                  </w:r>
                </w:p>
              </w:tc>
              <w:tc>
                <w:tcPr>
                  <w:tcW w:w="806" w:type="pct"/>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highlight w:val="none"/>
                      <w:shd w:val="clear" w:color="auto" w:fill="auto"/>
                      <w:lang w:val="en-US" w:eastAsia="zh-CN"/>
                    </w:rPr>
                    <w:t>拟建</w:t>
                  </w:r>
                  <w:r>
                    <w:rPr>
                      <w:rFonts w:hint="default" w:ascii="Times New Roman" w:hAnsi="Times New Roman" w:eastAsia="仿宋" w:cs="Times New Roman"/>
                      <w:color w:val="auto"/>
                      <w:sz w:val="21"/>
                      <w:szCs w:val="21"/>
                      <w:highlight w:val="none"/>
                      <w:shd w:val="clear" w:color="auto" w:fill="auto"/>
                    </w:rPr>
                    <w:t>矿山道路</w:t>
                  </w:r>
                </w:p>
              </w:tc>
              <w:tc>
                <w:tcPr>
                  <w:tcW w:w="9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bCs/>
                      <w:color w:val="auto"/>
                      <w:sz w:val="21"/>
                      <w:szCs w:val="21"/>
                      <w:lang w:val="en-US" w:eastAsia="zh-CN"/>
                    </w:rPr>
                    <w:t>1440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102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eastAsia" w:eastAsia="仿宋" w:cs="Times New Roman"/>
                      <w:bCs/>
                      <w:color w:val="auto"/>
                      <w:sz w:val="21"/>
                      <w:szCs w:val="21"/>
                      <w:lang w:val="en-US" w:eastAsia="zh-CN"/>
                    </w:rPr>
                    <w:t>1440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default" w:ascii="Times New Roman" w:hAnsi="Times New Roman" w:eastAsia="仿宋" w:cs="Times New Roman"/>
                      <w:bCs/>
                      <w:color w:val="auto"/>
                      <w:sz w:val="21"/>
                      <w:szCs w:val="21"/>
                    </w:rPr>
                    <w:t>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4" w:type="pct"/>
                  <w:vMerge w:val="continue"/>
                  <w:vAlign w:val="center"/>
                </w:tcPr>
                <w:p>
                  <w:pPr>
                    <w:widowControl/>
                    <w:spacing w:line="240" w:lineRule="auto"/>
                    <w:ind w:firstLine="0" w:firstLineChars="0"/>
                    <w:jc w:val="center"/>
                    <w:rPr>
                      <w:rFonts w:hint="eastAsia" w:eastAsia="仿宋" w:cs="Times New Roman"/>
                      <w:color w:val="auto"/>
                      <w:kern w:val="0"/>
                      <w:sz w:val="21"/>
                      <w:szCs w:val="21"/>
                      <w:lang w:val="en-US" w:eastAsia="zh-CN"/>
                    </w:rPr>
                  </w:pPr>
                </w:p>
              </w:tc>
              <w:tc>
                <w:tcPr>
                  <w:tcW w:w="806" w:type="pct"/>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shd w:val="clear" w:color="auto" w:fill="auto"/>
                      <w:lang w:val="en-US" w:eastAsia="zh-CN"/>
                    </w:rPr>
                  </w:pPr>
                </w:p>
              </w:tc>
              <w:tc>
                <w:tcPr>
                  <w:tcW w:w="962" w:type="pct"/>
                  <w:vAlign w:val="center"/>
                </w:tcPr>
                <w:p>
                  <w:pPr>
                    <w:adjustRightInd w:val="0"/>
                    <w:snapToGrid w:val="0"/>
                    <w:spacing w:line="240" w:lineRule="auto"/>
                    <w:ind w:firstLine="0" w:firstLineChars="0"/>
                    <w:jc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w:t>
                  </w:r>
                </w:p>
              </w:tc>
              <w:tc>
                <w:tcPr>
                  <w:tcW w:w="102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bCs/>
                      <w:color w:val="auto"/>
                      <w:sz w:val="21"/>
                      <w:szCs w:val="21"/>
                      <w:lang w:val="en-US" w:eastAsia="zh-CN"/>
                    </w:rPr>
                  </w:pPr>
                  <w:r>
                    <w:rPr>
                      <w:rFonts w:hint="eastAsia" w:eastAsia="仿宋" w:cs="Times New Roman"/>
                      <w:bCs/>
                      <w:color w:val="auto"/>
                      <w:sz w:val="21"/>
                      <w:szCs w:val="21"/>
                      <w:lang w:val="en-US" w:eastAsia="zh-CN"/>
                    </w:rPr>
                    <w:t>660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eastAsia"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s="Times New Roman"/>
                      <w:bCs/>
                      <w:color w:val="auto"/>
                      <w:sz w:val="21"/>
                      <w:szCs w:val="21"/>
                      <w:lang w:val="en-US" w:eastAsia="zh-CN"/>
                    </w:rPr>
                  </w:pPr>
                  <w:r>
                    <w:rPr>
                      <w:rFonts w:hint="eastAsia" w:eastAsia="仿宋" w:cs="Times New Roman"/>
                      <w:bCs/>
                      <w:color w:val="auto"/>
                      <w:sz w:val="21"/>
                      <w:szCs w:val="21"/>
                      <w:lang w:val="en-US" w:eastAsia="zh-CN"/>
                    </w:rPr>
                    <w:t>660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矿区范围</w:t>
                  </w:r>
                  <w:r>
                    <w:rPr>
                      <w:rFonts w:hint="eastAsia"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1191" w:type="pct"/>
                  <w:gridSpan w:val="2"/>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9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99400</w:t>
                  </w:r>
                </w:p>
              </w:tc>
              <w:tc>
                <w:tcPr>
                  <w:tcW w:w="1024"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660</w:t>
                  </w:r>
                </w:p>
              </w:tc>
              <w:tc>
                <w:tcPr>
                  <w:tcW w:w="1306"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lang w:val="en-US" w:eastAsia="zh-CN"/>
                    </w:rPr>
                    <w:t>100060</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矿区内各个单元占地面积</w:t>
            </w:r>
            <w:r>
              <w:rPr>
                <w:rFonts w:hint="default" w:ascii="Times New Roman" w:hAnsi="Times New Roman" w:eastAsia="仿宋" w:cs="Times New Roman"/>
                <w:color w:val="auto"/>
                <w:sz w:val="24"/>
                <w:szCs w:val="24"/>
                <w:lang w:eastAsia="zh-CN"/>
              </w:rPr>
              <w:t>较大</w:t>
            </w:r>
            <w:r>
              <w:rPr>
                <w:rFonts w:hint="default" w:ascii="Times New Roman" w:hAnsi="Times New Roman" w:eastAsia="仿宋"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（2）对植被的影响分析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采矿生产过程中产生的粉尘污染对植物的影响主要表现在对作物光合作用的影响上。粒径大于1mm的颗粒物在扩散过程中可自然沉降，吸附于植物叶片上，阻塞气孔，影响生长，使叶片褪色、变硬，植物生长不良。粉尘落到地面会影响土壤透水透气性，不利于植物吸收土壤养分，间接造成植物生长缓慢，随着开采面积的增大，会逐步损坏矿区地表植被，运营期</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开采预计破坏土地面积</w:t>
            </w:r>
            <w:r>
              <w:rPr>
                <w:rFonts w:hint="eastAsia" w:eastAsia="仿宋" w:cs="Times New Roman"/>
                <w:color w:val="auto"/>
                <w:sz w:val="24"/>
                <w:szCs w:val="24"/>
                <w:lang w:val="en-US" w:eastAsia="zh-CN"/>
              </w:rPr>
              <w:t>100060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，采矿区的推进开挖压占对项目区荒漠植被破坏较为严重。</w:t>
            </w:r>
            <w:r>
              <w:rPr>
                <w:rFonts w:hint="default" w:ascii="Times New Roman" w:hAnsi="Times New Roman" w:eastAsia="仿宋" w:cs="Times New Roman"/>
                <w:color w:val="auto"/>
                <w:sz w:val="24"/>
                <w:szCs w:val="24"/>
                <w:lang w:val="en-US" w:eastAsia="zh-CN"/>
              </w:rPr>
              <w:t>根据</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本项目占地范围内植物平均生物量约0.075</w:t>
            </w:r>
            <w:r>
              <w:rPr>
                <w:rFonts w:hint="default" w:ascii="Times New Roman" w:hAnsi="Times New Roman" w:eastAsia="仿宋" w:cs="Times New Roman"/>
                <w:color w:val="auto"/>
                <w:sz w:val="24"/>
                <w:szCs w:val="24"/>
              </w:rPr>
              <w:t>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本项目占地范围内植物生物量损失估算表见表4-</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占地范围内植物生物量损失估算表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088"/>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土地类型</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占地面积（hm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平均生物量（t/hm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生物量（t）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裸/稀植被地</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10.006</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0.075</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0.75</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矿区区域为</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矿山开采期间，将造成评价区生物量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%。因此，本项目矿山开采对区域内植被影响较小，造成的生物量损失较少。闭矿后通过土地整治与生态恢复措施，项目开采行为对区域植被及景观环境影响较小。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（3）对土壤理化性质的影响分析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本项目占地类型为</w:t>
            </w:r>
            <w:r>
              <w:rPr>
                <w:rFonts w:hint="default" w:ascii="Times New Roman" w:hAnsi="Times New Roman" w:eastAsia="仿宋" w:cs="Times New Roman"/>
                <w:color w:val="auto"/>
                <w:sz w:val="24"/>
                <w:szCs w:val="24"/>
                <w:lang w:eastAsia="zh-CN"/>
              </w:rPr>
              <w:t>裸岩石砾地</w:t>
            </w:r>
            <w:r>
              <w:rPr>
                <w:rFonts w:hint="default" w:ascii="Times New Roman" w:hAnsi="Times New Roman" w:eastAsia="仿宋" w:cs="Times New Roman"/>
                <w:color w:val="auto"/>
                <w:sz w:val="24"/>
                <w:szCs w:val="24"/>
              </w:rPr>
              <w:t>，在矿山生产过程中将不可避免会占用和破坏一定量的土地，对占用土地土壤造成不利影响。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开采过程中各种机械设备、运输车辆排放废气，机械漏油随降雨下渗进入土壤，造成局部土壤污染；各种机械设备、车辆对地面的碾压，人员踩踏造成土壤板结，降低土壤生产能力；开采、装载、运输过程中产生扬尘，将沉降在区域土壤表面，会改变土壤理化性质，影响植物生长。</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（4）对野生动物的影响分析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根据现状调查，矿区范围内没有国家珍贵、保护物种，且多为常见的野生动物鼠、野兔等小型啮齿类野生动物，因此对动物资源的不利影响是轻微的。</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矿区无珍稀类或重点保护野生动物，不需要采取特殊的保护措施，但建设和开采过程中要加强对职工生态环境保护意识的教育，严禁对野生动物滥捕滥杀，同时严禁破坏野生动物的栖息环境。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（5）对自然景观的影响分析</w:t>
            </w:r>
          </w:p>
          <w:p>
            <w:pPr>
              <w:pStyle w:val="63"/>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项目建设过程中，由于矿石的采掘，造成原有植被的破坏，裸露地貌的出现，对当地的景观美学造成较大程度的影响，使得景观破碎性与异质性增加，在原有大植被景观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和</w:t>
            </w:r>
            <w:r>
              <w:rPr>
                <w:rFonts w:hint="default" w:ascii="Times New Roman" w:hAnsi="Times New Roman" w:eastAsia="仿宋" w:cs="Times New Roman"/>
                <w:color w:val="auto"/>
                <w:lang w:val="en-US" w:eastAsia="zh-CN"/>
              </w:rPr>
              <w:t>排土场</w:t>
            </w:r>
            <w:r>
              <w:rPr>
                <w:rFonts w:hint="default" w:ascii="Times New Roman" w:hAnsi="Times New Roman" w:eastAsia="仿宋" w:cs="Times New Roman"/>
                <w:color w:val="auto"/>
              </w:rPr>
              <w:t>进行及时绿化，减少开采造成的视觉冲击。</w:t>
            </w:r>
          </w:p>
          <w:p>
            <w:pPr>
              <w:pStyle w:val="63"/>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同时由于</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场及周边范围内没有保护文物，通过调整开采朝向及采取生态修复措施后，项目对区域自然景观影响可以接受。随着砖瓦用</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服务期满后，对场地的平整、复垦、水土流失的防治等，会形成新的景观，保持现有评价区域内生态系统平衡，促进该地区景观生态系统向良性方向发展。</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（6）自然生态体系稳定性影响分析</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本项目对局部自然生态体系稳定性产生一定影响，但对整个评价区域自然生态体系稳定性不会产生显著影响，仅使局部区域生物量减少、动物</w:t>
            </w:r>
            <w:r>
              <w:rPr>
                <w:rFonts w:hint="default" w:ascii="Times New Roman" w:hAnsi="Times New Roman" w:eastAsia="仿宋" w:cs="Times New Roman"/>
                <w:color w:val="auto"/>
                <w:sz w:val="24"/>
                <w:szCs w:val="24"/>
                <w:lang w:eastAsia="zh-CN"/>
              </w:rPr>
              <w:t>迁徙</w:t>
            </w:r>
            <w:r>
              <w:rPr>
                <w:rFonts w:hint="default" w:ascii="Times New Roman" w:hAnsi="Times New Roman" w:eastAsia="仿宋" w:cs="Times New Roman"/>
                <w:color w:val="auto"/>
                <w:sz w:val="24"/>
                <w:szCs w:val="24"/>
              </w:rPr>
              <w:t>、水土流失增加，局部自然生态环境遭到一定破坏，但因影响面积较小，对整个评价区域自然生态体系稳定性和对外界环境干扰阻抗和恢复功能的影响不大，对整个评价区域自然生态体系恢复稳定性不会产生显著影响。因此，本项目对整个评价区域自然生态体系中生态环境自身异质化程度影响不大，不会对整个评价区域自然生态体系稳定性造成影响。</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（7）水土流失影响分析</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随着大面积的露天开采，开采形成大量的松散岩土，降水条件下将造成大量的水土流失。采取系列预防措施，避免露天采场受降水任意冲刷。生产系统未进行措施防护前，也将产生一部分水土流失。另外，采矿以及运输所产生的扬尘也是造成这一时段水土流失的来源。</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根据该项目的建设特点，土壤侵蚀因素主要包括以下几点：</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植被受到扰动和破坏</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在场地平整、修筑场外地面运输系统等过程中，破坏了地表原有的荒漠草原植被，形成了片状、条带状的裸露面，植被对土壤的覆盖保护作用和根系固土作用丧失殆尽。</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土体表层松散性加大</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壤是侵蚀过程中被侵蚀的对象。评价区为荒漠化土地，在天然植被和幕砾的保护下，具有一定的抗侵蚀能力。由于工程建设，大量的松散表土发生运移并重新堆积，使土壤水分大量散失，土体结构破坏，表土松散，大大降低了原地表土壤的抗蚀力。</w:t>
            </w:r>
          </w:p>
          <w:p>
            <w:pPr>
              <w:pStyle w:val="71"/>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地形、地貌的变化</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排土场</w:t>
            </w:r>
            <w:r>
              <w:rPr>
                <w:rFonts w:hint="default" w:ascii="Times New Roman" w:hAnsi="Times New Roman" w:eastAsia="仿宋" w:cs="Times New Roman"/>
                <w:color w:val="auto"/>
                <w:sz w:val="24"/>
                <w:szCs w:val="24"/>
              </w:rPr>
              <w:t>随着堆料、堆土增多，逐渐形成了占地面积较大和高度较高的人工堆垫地貌，大风季节增加了发生风力侵蚀的可能。</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项目建设可能产生的土壤侵蚀形式见表4-</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eastAsia" w:ascii="Times New Roman" w:hAnsi="Times New Roman" w:eastAsia="仿宋" w:cs="Times New Roman"/>
                <w:b/>
                <w:color w:val="auto"/>
                <w:kern w:val="0"/>
                <w:sz w:val="21"/>
                <w:szCs w:val="21"/>
                <w:lang w:val="en-US" w:eastAsia="zh-CN"/>
              </w:rPr>
              <w:t>6</w:t>
            </w:r>
            <w:r>
              <w:rPr>
                <w:rFonts w:hint="default" w:ascii="Times New Roman" w:hAnsi="Times New Roman" w:eastAsia="仿宋" w:cs="Times New Roman"/>
                <w:b/>
                <w:color w:val="auto"/>
                <w:kern w:val="0"/>
                <w:sz w:val="21"/>
                <w:szCs w:val="21"/>
              </w:rPr>
              <w:t>建设项目可能产生的土壤侵蚀</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5"/>
              <w:gridCol w:w="1423"/>
              <w:gridCol w:w="3501"/>
              <w:gridCol w:w="2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607"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时段</w:t>
                  </w:r>
                </w:p>
              </w:tc>
              <w:tc>
                <w:tcPr>
                  <w:tcW w:w="851"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发生区域</w:t>
                  </w:r>
                </w:p>
              </w:tc>
              <w:tc>
                <w:tcPr>
                  <w:tcW w:w="2094"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工程建设特点</w:t>
                  </w:r>
                </w:p>
              </w:tc>
              <w:tc>
                <w:tcPr>
                  <w:tcW w:w="1446"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侵蚀特点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restar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开采期</w:t>
                  </w:r>
                </w:p>
              </w:tc>
              <w:tc>
                <w:tcPr>
                  <w:tcW w:w="851"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2094"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土体、堆积和扰动</w:t>
                  </w:r>
                </w:p>
              </w:tc>
              <w:tc>
                <w:tcPr>
                  <w:tcW w:w="1446"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面蚀、沟蚀、重力侵蚀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lang w:eastAsia="zh-CN"/>
                    </w:rPr>
                  </w:pPr>
                  <w:r>
                    <w:rPr>
                      <w:rFonts w:hint="eastAsia" w:eastAsia="仿宋" w:cs="Times New Roman"/>
                      <w:color w:val="auto"/>
                      <w:kern w:val="2"/>
                      <w:sz w:val="21"/>
                      <w:szCs w:val="21"/>
                      <w:lang w:val="en-US" w:eastAsia="zh-CN"/>
                    </w:rPr>
                    <w:t>排土场</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人工活动造成的路面碾压及扬尘</w:t>
                  </w:r>
                </w:p>
              </w:tc>
              <w:tc>
                <w:tcPr>
                  <w:tcW w:w="1446"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运矿道路</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运输时造成的路面碾压及扬尘</w:t>
                  </w:r>
                </w:p>
              </w:tc>
              <w:tc>
                <w:tcPr>
                  <w:tcW w:w="1446"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leftChars="0" w:right="0" w:rightChars="0" w:firstLine="0" w:firstLineChars="0"/>
                    <w:jc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办公生活区</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运输时造成的路面碾压及扬尘</w:t>
                  </w:r>
                </w:p>
              </w:tc>
              <w:tc>
                <w:tcPr>
                  <w:tcW w:w="1446" w:type="pct"/>
                  <w:vAlign w:val="center"/>
                </w:tcPr>
                <w:p>
                  <w:pPr>
                    <w:spacing w:line="240" w:lineRule="auto"/>
                    <w:ind w:left="0" w:leftChars="0" w:right="0" w:rightChars="0" w:firstLine="420" w:firstLineChars="20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leftChars="0" w:right="0" w:rightChars="0" w:firstLine="0" w:firstLineChars="0"/>
                    <w:jc w:val="both"/>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工业广场</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人工活动造成的路面碾压及扬尘</w:t>
                  </w:r>
                </w:p>
              </w:tc>
              <w:tc>
                <w:tcPr>
                  <w:tcW w:w="1446" w:type="pct"/>
                  <w:vAlign w:val="center"/>
                </w:tcPr>
                <w:p>
                  <w:pPr>
                    <w:spacing w:line="240" w:lineRule="auto"/>
                    <w:ind w:left="0" w:leftChars="0" w:right="0" w:rightChars="0" w:firstLine="420" w:firstLineChars="20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风蚀</w:t>
                  </w:r>
                </w:p>
              </w:tc>
            </w:tr>
          </w:tbl>
          <w:p>
            <w:pPr>
              <w:keepNext w:val="0"/>
              <w:keepLines w:val="0"/>
              <w:pageBreakBefore w:val="0"/>
              <w:widowControl w:val="0"/>
              <w:kinsoku/>
              <w:wordWrap/>
              <w:overflowPunct/>
              <w:topLinePunct w:val="0"/>
              <w:autoSpaceDE/>
              <w:autoSpaceDN/>
              <w:bidi w:val="0"/>
              <w:adjustRightInd w:val="0"/>
              <w:snapToGrid w:val="0"/>
              <w:ind w:left="0" w:right="0"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矿区的开发建设活动将不可避免地破坏现有自然植被的土地资源，矿区的开挖破坏、堆料场的征占、运矿道路的建设将新增水土流失，导致水土流失危害程度显著增强，矿区生态环境恶化。</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（8）退役期环境影响分析</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运营期满后，会按照国家有关规定进行闭矿。</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在闭矿期的时段内，与运营期相比，对自然环境诸要素的影响将趋于减缓，主要体现在：</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①采掘行业特有的地表变形问题，将随着开采活动的停止而逐渐趋于稳定，不会再有新的沉陷区出现；</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②闭矿期内开采、加工和利用的设备也将停止运行，产污环节消失，将使该区域污染状况逐步好转；</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③工业场地关闭并全部复垦及绿化，从而使工业场地及其附近区域的生态环境得到较大改善；</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④对开采区的土地进行削坡及固坡，从而改善开采区的水土流失，此外在缓坡地带进行土地复垦及绿化，从而使开采区及周边区域的生态环境得到较大改善。</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lang w:val="zh-CN"/>
              </w:rPr>
              <w:fldChar w:fldCharType="begin"/>
            </w:r>
            <w:r>
              <w:rPr>
                <w:rFonts w:hint="default" w:ascii="Times New Roman" w:hAnsi="Times New Roman" w:eastAsia="仿宋" w:cs="Times New Roman"/>
                <w:color w:val="auto"/>
                <w:lang w:val="zh-CN"/>
              </w:rPr>
              <w:instrText xml:space="preserve"> = 5 \* GB3 </w:instrText>
            </w:r>
            <w:r>
              <w:rPr>
                <w:rFonts w:hint="default" w:ascii="Times New Roman" w:hAnsi="Times New Roman" w:eastAsia="仿宋" w:cs="Times New Roman"/>
                <w:color w:val="auto"/>
                <w:lang w:val="zh-CN"/>
              </w:rPr>
              <w:fldChar w:fldCharType="separate"/>
            </w:r>
            <w:r>
              <w:rPr>
                <w:rFonts w:hint="default" w:ascii="Times New Roman" w:hAnsi="Times New Roman" w:eastAsia="仿宋" w:cs="Times New Roman"/>
                <w:color w:val="auto"/>
                <w:lang w:val="zh-CN"/>
              </w:rPr>
              <w:t>⑤</w:t>
            </w:r>
            <w:r>
              <w:rPr>
                <w:rFonts w:hint="default" w:ascii="Times New Roman" w:hAnsi="Times New Roman" w:eastAsia="仿宋" w:cs="Times New Roman"/>
                <w:color w:val="auto"/>
                <w:lang w:val="zh-CN"/>
              </w:rPr>
              <w:fldChar w:fldCharType="end"/>
            </w:r>
            <w:r>
              <w:rPr>
                <w:rFonts w:hint="default" w:ascii="Times New Roman" w:hAnsi="Times New Roman" w:eastAsia="仿宋" w:cs="Times New Roman"/>
                <w:color w:val="auto"/>
                <w:lang w:val="zh-CN"/>
              </w:rPr>
              <w:t>本项目恢复治理完成后，生态环境及动物生存环境改善，可能会吸引部分动物</w:t>
            </w:r>
            <w:r>
              <w:rPr>
                <w:rFonts w:hint="default" w:ascii="Times New Roman" w:hAnsi="Times New Roman" w:eastAsia="仿宋" w:cs="Times New Roman"/>
                <w:color w:val="auto"/>
                <w:sz w:val="24"/>
                <w:szCs w:val="24"/>
                <w:lang w:val="zh-CN"/>
              </w:rPr>
              <w:t>进入该区域，增加区域的生物多样性。</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zh-CN"/>
              </w:rPr>
              <w:t>项目封场生态恢复后，地表覆盖率显著增加，植被群落物种增加，异质性增大，视觉效果大幅改善，色彩鲜明，景观效果改善，与周边环境协调性增加。</w:t>
            </w:r>
          </w:p>
          <w:p>
            <w:pPr>
              <w:overflowPunct w:val="0"/>
              <w:adjustRightInd w:val="0"/>
              <w:snapToGrid w:val="0"/>
              <w:ind w:firstLine="422"/>
              <w:rPr>
                <w:rFonts w:hint="default" w:ascii="Times New Roman" w:hAnsi="Times New Roman" w:eastAsia="仿宋" w:cs="Times New Roman"/>
                <w:snapToGrid w:val="0"/>
                <w:color w:val="auto"/>
                <w:kern w:val="0"/>
                <w:sz w:val="24"/>
                <w:szCs w:val="24"/>
                <w:lang w:val="en-US" w:eastAsia="zh-CN" w:bidi="ar-SA"/>
              </w:rPr>
            </w:pPr>
            <w:r>
              <w:rPr>
                <w:rFonts w:hint="eastAsia" w:ascii="Times New Roman" w:hAnsi="Times New Roman" w:eastAsia="仿宋" w:cs="Times New Roman"/>
                <w:snapToGrid w:val="0"/>
                <w:color w:val="auto"/>
                <w:kern w:val="0"/>
                <w:sz w:val="24"/>
                <w:szCs w:val="24"/>
                <w:lang w:val="zh-CN" w:eastAsia="zh-CN" w:bidi="ar-SA"/>
              </w:rPr>
              <w:t>（</w:t>
            </w:r>
            <w:r>
              <w:rPr>
                <w:rFonts w:hint="eastAsia" w:ascii="Times New Roman" w:hAnsi="Times New Roman" w:eastAsia="仿宋" w:cs="Times New Roman"/>
                <w:snapToGrid w:val="0"/>
                <w:color w:val="auto"/>
                <w:kern w:val="0"/>
                <w:sz w:val="24"/>
                <w:szCs w:val="24"/>
                <w:lang w:val="en-US" w:eastAsia="zh-CN" w:bidi="ar-SA"/>
              </w:rPr>
              <w:t>9</w:t>
            </w:r>
            <w:r>
              <w:rPr>
                <w:rFonts w:hint="eastAsia" w:ascii="Times New Roman" w:hAnsi="Times New Roman" w:eastAsia="仿宋" w:cs="Times New Roman"/>
                <w:snapToGrid w:val="0"/>
                <w:color w:val="auto"/>
                <w:kern w:val="0"/>
                <w:sz w:val="24"/>
                <w:szCs w:val="24"/>
                <w:lang w:val="zh-CN" w:eastAsia="zh-CN" w:bidi="ar-SA"/>
              </w:rPr>
              <w:t>）</w:t>
            </w:r>
            <w:r>
              <w:rPr>
                <w:rFonts w:hint="eastAsia" w:ascii="Times New Roman" w:hAnsi="Times New Roman" w:eastAsia="仿宋" w:cs="Times New Roman"/>
                <w:snapToGrid w:val="0"/>
                <w:color w:val="auto"/>
                <w:kern w:val="0"/>
                <w:sz w:val="24"/>
                <w:szCs w:val="24"/>
                <w:lang w:val="en-US" w:eastAsia="zh-CN" w:bidi="ar-SA"/>
              </w:rPr>
              <w:t>建筑砂石开采对坎儿井的影响</w:t>
            </w:r>
          </w:p>
          <w:p>
            <w:pPr>
              <w:overflowPunct w:val="0"/>
              <w:adjustRightInd w:val="0"/>
              <w:snapToGrid w:val="0"/>
              <w:ind w:firstLine="422"/>
              <w:rPr>
                <w:rFonts w:hint="eastAsia" w:ascii="Times New Roman" w:hAnsi="Times New Roman" w:eastAsia="仿宋" w:cs="Times New Roman"/>
                <w:snapToGrid w:val="0"/>
                <w:color w:val="auto"/>
                <w:kern w:val="0"/>
                <w:sz w:val="24"/>
                <w:szCs w:val="24"/>
                <w:lang w:val="en-US" w:eastAsia="zh-CN" w:bidi="ar-SA"/>
              </w:rPr>
            </w:pPr>
            <w:r>
              <w:rPr>
                <w:rFonts w:hint="eastAsia" w:ascii="Times New Roman" w:hAnsi="Times New Roman" w:eastAsia="仿宋" w:cs="Times New Roman"/>
                <w:snapToGrid w:val="0"/>
                <w:color w:val="auto"/>
                <w:kern w:val="0"/>
                <w:sz w:val="24"/>
                <w:szCs w:val="24"/>
                <w:lang w:val="en-US" w:eastAsia="zh-CN" w:bidi="ar-SA"/>
              </w:rPr>
              <w:t xml:space="preserve">开采期对坎儿井影响具体表现在以下几个方面： </w:t>
            </w:r>
          </w:p>
          <w:p>
            <w:pPr>
              <w:overflowPunct w:val="0"/>
              <w:adjustRightInd w:val="0"/>
              <w:snapToGrid w:val="0"/>
              <w:ind w:firstLine="422"/>
              <w:rPr>
                <w:rFonts w:hint="eastAsia" w:ascii="Times New Roman" w:hAnsi="Times New Roman" w:eastAsia="仿宋" w:cs="Times New Roman"/>
                <w:snapToGrid w:val="0"/>
                <w:color w:val="auto"/>
                <w:kern w:val="0"/>
                <w:sz w:val="24"/>
                <w:szCs w:val="24"/>
                <w:lang w:val="en-US" w:eastAsia="zh-CN" w:bidi="ar-SA"/>
              </w:rPr>
            </w:pPr>
            <w:r>
              <w:rPr>
                <w:rFonts w:hint="eastAsia" w:ascii="Times New Roman" w:hAnsi="Times New Roman" w:eastAsia="仿宋" w:cs="Times New Roman"/>
                <w:snapToGrid w:val="0"/>
                <w:color w:val="auto"/>
                <w:kern w:val="0"/>
                <w:sz w:val="24"/>
                <w:szCs w:val="24"/>
                <w:lang w:val="en-US" w:eastAsia="zh-CN" w:bidi="ar-SA"/>
              </w:rPr>
              <w:t xml:space="preserve">①运输车辆在坎儿井周围碾压，导致井身承压能力降低而坍塌。 </w:t>
            </w:r>
          </w:p>
          <w:p>
            <w:pPr>
              <w:overflowPunct w:val="0"/>
              <w:adjustRightInd w:val="0"/>
              <w:snapToGrid w:val="0"/>
              <w:ind w:firstLine="422"/>
              <w:rPr>
                <w:rFonts w:hint="eastAsia" w:ascii="Times New Roman" w:hAnsi="Times New Roman" w:eastAsia="仿宋" w:cs="Times New Roman"/>
                <w:snapToGrid w:val="0"/>
                <w:color w:val="auto"/>
                <w:kern w:val="0"/>
                <w:sz w:val="24"/>
                <w:szCs w:val="24"/>
                <w:lang w:val="en-US" w:eastAsia="zh-CN" w:bidi="ar-SA"/>
              </w:rPr>
            </w:pPr>
            <w:r>
              <w:rPr>
                <w:rFonts w:hint="eastAsia" w:ascii="Times New Roman" w:hAnsi="Times New Roman" w:eastAsia="仿宋" w:cs="Times New Roman"/>
                <w:snapToGrid w:val="0"/>
                <w:color w:val="auto"/>
                <w:kern w:val="0"/>
                <w:sz w:val="24"/>
                <w:szCs w:val="24"/>
                <w:lang w:val="en-US" w:eastAsia="zh-CN" w:bidi="ar-SA"/>
              </w:rPr>
              <w:t xml:space="preserve">②在井口附近取土将导致大量的泥土落入坎儿井中，并有可能造成坎儿井的淤塞，严重的将有可能造成坎儿井的坍塌。 </w:t>
            </w:r>
          </w:p>
          <w:p>
            <w:pPr>
              <w:overflowPunct w:val="0"/>
              <w:adjustRightInd w:val="0"/>
              <w:snapToGrid w:val="0"/>
              <w:ind w:firstLine="422"/>
              <w:rPr>
                <w:rFonts w:hint="eastAsia" w:ascii="Times New Roman" w:hAnsi="Times New Roman" w:eastAsia="仿宋" w:cs="Times New Roman"/>
                <w:snapToGrid w:val="0"/>
                <w:color w:val="auto"/>
                <w:kern w:val="0"/>
                <w:sz w:val="24"/>
                <w:szCs w:val="24"/>
                <w:lang w:val="en-US" w:eastAsia="zh-CN" w:bidi="ar-SA"/>
              </w:rPr>
            </w:pPr>
            <w:r>
              <w:rPr>
                <w:rFonts w:hint="eastAsia" w:ascii="Times New Roman" w:hAnsi="Times New Roman" w:eastAsia="仿宋" w:cs="Times New Roman"/>
                <w:snapToGrid w:val="0"/>
                <w:color w:val="auto"/>
                <w:kern w:val="0"/>
                <w:sz w:val="24"/>
                <w:szCs w:val="24"/>
                <w:lang w:val="en-US" w:eastAsia="zh-CN" w:bidi="ar-SA"/>
              </w:rPr>
              <w:t>③工作人员在开采过程中向坎儿井竖井中乱扔杂物。</w:t>
            </w:r>
          </w:p>
          <w:p>
            <w:pPr>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因此，矿区闭矿期后，项目评价区的生态环境将得到明显</w:t>
            </w:r>
            <w:r>
              <w:rPr>
                <w:rFonts w:hint="default" w:ascii="Times New Roman" w:hAnsi="Times New Roman" w:eastAsia="仿宋" w:cs="Times New Roman"/>
                <w:color w:val="auto"/>
                <w:sz w:val="24"/>
                <w:szCs w:val="24"/>
                <w:lang w:eastAsia="zh-CN"/>
              </w:rPr>
              <w:t>地</w:t>
            </w:r>
            <w:r>
              <w:rPr>
                <w:rFonts w:hint="default" w:ascii="Times New Roman" w:hAnsi="Times New Roman" w:eastAsia="仿宋" w:cs="Times New Roman"/>
                <w:color w:val="auto"/>
                <w:sz w:val="24"/>
                <w:szCs w:val="24"/>
              </w:rPr>
              <w:t>改善。</w:t>
            </w:r>
          </w:p>
          <w:p>
            <w:pPr>
              <w:keepNext w:val="0"/>
              <w:keepLines w:val="0"/>
              <w:pageBreakBefore w:val="0"/>
              <w:widowControl w:val="0"/>
              <w:kinsoku/>
              <w:wordWrap/>
              <w:overflowPunct w:val="0"/>
              <w:topLinePunct w:val="0"/>
              <w:autoSpaceDE/>
              <w:autoSpaceDN/>
              <w:bidi w:val="0"/>
              <w:adjustRightInd w:val="0"/>
              <w:snapToGrid w:val="0"/>
              <w:ind w:left="0" w:right="0"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2、大气环境影响分析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2.1废气污染源分析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本项目运营期废气主要分为无组织粉尘</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主要为开采粉尘、装卸车粉尘、筛分粉尘、运输扬尘及</w:t>
            </w:r>
            <w:r>
              <w:rPr>
                <w:rFonts w:hint="eastAsia" w:eastAsia="仿宋" w:cs="Times New Roman"/>
                <w:color w:val="auto"/>
                <w:sz w:val="24"/>
                <w:szCs w:val="24"/>
                <w:lang w:val="en-US" w:eastAsia="zh-CN"/>
              </w:rPr>
              <w:t>排土场</w:t>
            </w:r>
            <w:r>
              <w:rPr>
                <w:rFonts w:hint="default" w:ascii="Times New Roman" w:hAnsi="Times New Roman" w:eastAsia="仿宋" w:cs="Times New Roman"/>
                <w:color w:val="auto"/>
                <w:sz w:val="24"/>
                <w:szCs w:val="24"/>
              </w:rPr>
              <w:t>粉尘。</w:t>
            </w:r>
          </w:p>
          <w:p>
            <w:pPr>
              <w:pStyle w:val="63"/>
              <w:ind w:left="0" w:right="0" w:firstLine="42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（1）开采粉尘</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露天开采扬尘参照《第二次全国污染源普查工业源系数手册》中《1019粘土及其他土砂石开采行业系数手册》中给出的产污系数为0.082kg/t。</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本项目开采量为</w:t>
            </w:r>
            <w:r>
              <w:rPr>
                <w:rFonts w:hint="eastAsia" w:eastAsia="仿宋" w:cs="Times New Roman"/>
                <w:color w:val="auto"/>
                <w:sz w:val="24"/>
                <w:szCs w:val="24"/>
                <w:lang w:val="en-US" w:eastAsia="zh-CN"/>
              </w:rPr>
              <w:t>60</w:t>
            </w:r>
            <w:r>
              <w:rPr>
                <w:rFonts w:hint="default" w:ascii="Times New Roman" w:hAnsi="Times New Roman" w:eastAsia="仿宋" w:cs="Times New Roman"/>
                <w:color w:val="auto"/>
                <w:sz w:val="24"/>
                <w:szCs w:val="24"/>
              </w:rPr>
              <w:t>万t/a，经计算，本项目开采起尘量约为</w:t>
            </w:r>
            <w:r>
              <w:rPr>
                <w:rFonts w:hint="eastAsia" w:eastAsia="仿宋" w:cs="Times New Roman"/>
                <w:color w:val="auto"/>
                <w:sz w:val="24"/>
                <w:szCs w:val="24"/>
                <w:lang w:val="en-US" w:eastAsia="zh-CN"/>
              </w:rPr>
              <w:t>49.2</w:t>
            </w:r>
            <w:r>
              <w:rPr>
                <w:rFonts w:hint="default" w:ascii="Times New Roman" w:hAnsi="Times New Roman" w:eastAsia="仿宋" w:cs="Times New Roman"/>
                <w:color w:val="auto"/>
                <w:sz w:val="24"/>
                <w:szCs w:val="24"/>
              </w:rPr>
              <w:t>t/a。开采作业时，企业主要采取湿式作业的方式来降低粉尘的产生量，可实现抑尘率达80%，则开采时扬尘的产生量为</w:t>
            </w:r>
            <w:r>
              <w:rPr>
                <w:rFonts w:hint="eastAsia" w:eastAsia="仿宋" w:cs="Times New Roman"/>
                <w:color w:val="auto"/>
                <w:sz w:val="24"/>
                <w:szCs w:val="24"/>
                <w:lang w:val="en-US" w:eastAsia="zh-CN"/>
              </w:rPr>
              <w:t>9.84</w:t>
            </w:r>
            <w:r>
              <w:rPr>
                <w:rFonts w:hint="default" w:ascii="Times New Roman" w:hAnsi="Times New Roman" w:eastAsia="仿宋" w:cs="Times New Roman"/>
                <w:color w:val="auto"/>
                <w:sz w:val="24"/>
                <w:szCs w:val="24"/>
              </w:rPr>
              <w:t>t/a。</w:t>
            </w:r>
          </w:p>
          <w:p>
            <w:pPr>
              <w:pStyle w:val="63"/>
              <w:ind w:firstLine="420"/>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（2）装卸车粉尘</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产品装卸过程中会产生一定量的装卸扬尘。装卸扬尘量采用清华大学煤炭装卸扬尘公式估算：</w:t>
            </w:r>
          </w:p>
          <w:p>
            <w:pPr>
              <w:adjustRightInd w:val="0"/>
              <w:snapToGrid w:val="0"/>
              <w:ind w:firstLine="42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drawing>
                <wp:inline distT="0" distB="0" distL="0" distR="0">
                  <wp:extent cx="2159000" cy="292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9000" cy="292100"/>
                          </a:xfrm>
                          <a:prstGeom prst="rect">
                            <a:avLst/>
                          </a:prstGeom>
                          <a:noFill/>
                          <a:ln>
                            <a:noFill/>
                          </a:ln>
                        </pic:spPr>
                      </pic:pic>
                    </a:graphicData>
                  </a:graphic>
                </wp:inline>
              </w:drawing>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式中：Q——装卸扬尘，g/次；</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U——风速，取1.7m/s；</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W——矿石物料湿度，取8.0%；</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M——车辆吨位，</w:t>
            </w:r>
            <w:r>
              <w:rPr>
                <w:rFonts w:hint="eastAsia" w:eastAsia="仿宋" w:cs="Times New Roman"/>
                <w:color w:val="auto"/>
                <w:kern w:val="0"/>
                <w:sz w:val="24"/>
                <w:szCs w:val="24"/>
                <w:highlight w:val="none"/>
                <w:lang w:val="en-US" w:eastAsia="zh-CN"/>
              </w:rPr>
              <w:t>3</w:t>
            </w:r>
            <w:r>
              <w:rPr>
                <w:rFonts w:hint="default" w:ascii="Times New Roman" w:hAnsi="Times New Roman" w:eastAsia="仿宋" w:cs="Times New Roman"/>
                <w:color w:val="auto"/>
                <w:kern w:val="0"/>
                <w:sz w:val="24"/>
                <w:szCs w:val="24"/>
                <w:highlight w:val="none"/>
              </w:rPr>
              <w:t>0t；</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H——装卸高度，2.5m。</w:t>
            </w:r>
          </w:p>
          <w:p>
            <w:pPr>
              <w:pStyle w:val="63"/>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经计算，每车次装卸产品时产生的扬尘量为</w:t>
            </w:r>
            <w:r>
              <w:rPr>
                <w:rFonts w:hint="default" w:ascii="Times New Roman" w:hAnsi="Times New Roman" w:eastAsia="仿宋" w:cs="Times New Roman"/>
                <w:color w:val="auto"/>
                <w:sz w:val="24"/>
                <w:szCs w:val="24"/>
                <w:highlight w:val="none"/>
                <w:lang w:val="en-US" w:eastAsia="zh-CN"/>
              </w:rPr>
              <w:t>141.14</w:t>
            </w:r>
            <w:r>
              <w:rPr>
                <w:rFonts w:hint="default" w:ascii="Times New Roman" w:hAnsi="Times New Roman" w:eastAsia="仿宋" w:cs="Times New Roman"/>
                <w:color w:val="auto"/>
                <w:sz w:val="24"/>
                <w:szCs w:val="24"/>
                <w:highlight w:val="none"/>
              </w:rPr>
              <w:t>g，每年需要装卸矿石产品</w:t>
            </w:r>
            <w:r>
              <w:rPr>
                <w:rFonts w:hint="eastAsia" w:eastAsia="仿宋" w:cs="Times New Roman"/>
                <w:color w:val="auto"/>
                <w:sz w:val="24"/>
                <w:szCs w:val="24"/>
                <w:highlight w:val="none"/>
                <w:lang w:val="en-US" w:eastAsia="zh-CN"/>
              </w:rPr>
              <w:t>60</w:t>
            </w:r>
            <w:r>
              <w:rPr>
                <w:rFonts w:hint="default" w:ascii="Times New Roman" w:hAnsi="Times New Roman" w:eastAsia="仿宋" w:cs="Times New Roman"/>
                <w:color w:val="auto"/>
                <w:sz w:val="24"/>
                <w:szCs w:val="24"/>
                <w:highlight w:val="none"/>
              </w:rPr>
              <w:t>万t，用载重</w:t>
            </w: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0t/车计，装卸扬尘约为</w:t>
            </w:r>
            <w:r>
              <w:rPr>
                <w:rFonts w:hint="eastAsia" w:eastAsia="仿宋" w:cs="Times New Roman"/>
                <w:color w:val="auto"/>
                <w:sz w:val="24"/>
                <w:szCs w:val="24"/>
                <w:highlight w:val="none"/>
                <w:lang w:val="en-US" w:eastAsia="zh-CN"/>
              </w:rPr>
              <w:t>2.82</w:t>
            </w:r>
            <w:r>
              <w:rPr>
                <w:rFonts w:hint="default" w:ascii="Times New Roman" w:hAnsi="Times New Roman" w:eastAsia="仿宋" w:cs="Times New Roman"/>
                <w:color w:val="auto"/>
                <w:sz w:val="24"/>
                <w:szCs w:val="24"/>
                <w:highlight w:val="none"/>
              </w:rPr>
              <w:t>t/a；通过采取雾炮机喷淋降尘后，可降低粉尘80%以上，则矿石产品装卸扬尘排放量约为</w:t>
            </w:r>
            <w:r>
              <w:rPr>
                <w:rFonts w:hint="eastAsia" w:eastAsia="仿宋" w:cs="Times New Roman"/>
                <w:color w:val="auto"/>
                <w:sz w:val="24"/>
                <w:szCs w:val="24"/>
                <w:highlight w:val="none"/>
                <w:lang w:val="en-US" w:eastAsia="zh-CN"/>
              </w:rPr>
              <w:t>0.56</w:t>
            </w:r>
            <w:r>
              <w:rPr>
                <w:rFonts w:hint="default" w:ascii="Times New Roman" w:hAnsi="Times New Roman" w:eastAsia="仿宋" w:cs="Times New Roman"/>
                <w:color w:val="auto"/>
                <w:sz w:val="24"/>
                <w:szCs w:val="24"/>
                <w:highlight w:val="none"/>
                <w:lang w:val="en-US" w:eastAsia="zh-CN"/>
              </w:rPr>
              <w:t>t</w:t>
            </w:r>
            <w:r>
              <w:rPr>
                <w:rFonts w:hint="default" w:ascii="Times New Roman" w:hAnsi="Times New Roman" w:eastAsia="仿宋" w:cs="Times New Roman"/>
                <w:color w:val="auto"/>
                <w:sz w:val="24"/>
                <w:szCs w:val="24"/>
                <w:highlight w:val="none"/>
              </w:rPr>
              <w: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（3）筛分粉尘</w:t>
            </w:r>
          </w:p>
          <w:p>
            <w:pPr>
              <w:keepNext w:val="0"/>
              <w:keepLines w:val="0"/>
              <w:widowControl/>
              <w:suppressLineNumbers w:val="0"/>
              <w:jc w:val="left"/>
              <w:rPr>
                <w:rFonts w:hint="default" w:ascii="Times New Roman" w:hAnsi="Times New Roman" w:eastAsia="仿宋" w:cs="Times New Roman"/>
                <w:color w:val="auto"/>
              </w:rPr>
            </w:pPr>
            <w:r>
              <w:rPr>
                <w:rFonts w:hint="default" w:ascii="Times New Roman" w:hAnsi="Times New Roman" w:eastAsia="仿宋" w:cs="Times New Roman"/>
                <w:snapToGrid w:val="0"/>
                <w:color w:val="auto"/>
                <w:kern w:val="0"/>
                <w:sz w:val="24"/>
                <w:szCs w:val="24"/>
                <w:highlight w:val="none"/>
                <w:lang w:val="en-US" w:eastAsia="zh-CN" w:bidi="ar-SA"/>
              </w:rPr>
              <w:t>矿石经过筛分机筛分得到产品，项目通过传送带加盖，基本不会有粉尘逸散到周围环境；本项目在筛分机下料点产尘量较大，本评价参照《逸散性工业粉尘控制技术》中粒料加工逸尘排放因子，砂石（给料、破碎和筛选）的起尘量为0.10kg/t，本项目年开采</w:t>
            </w:r>
            <w:r>
              <w:rPr>
                <w:rFonts w:hint="default" w:ascii="Times New Roman" w:hAnsi="Times New Roman" w:eastAsia="仿宋" w:cs="Times New Roman"/>
                <w:color w:val="auto"/>
                <w:sz w:val="24"/>
                <w:szCs w:val="24"/>
                <w:highlight w:val="none"/>
                <w:lang w:val="en-US" w:eastAsia="zh-CN"/>
              </w:rPr>
              <w:t>砂石料4</w:t>
            </w:r>
            <w:r>
              <w:rPr>
                <w:rFonts w:hint="eastAsia" w:eastAsia="仿宋" w:cs="Times New Roman"/>
                <w:color w:val="auto"/>
                <w:sz w:val="24"/>
                <w:szCs w:val="24"/>
                <w:highlight w:val="none"/>
                <w:lang w:val="en-US" w:eastAsia="zh-CN"/>
              </w:rPr>
              <w:t>0</w:t>
            </w:r>
            <w:r>
              <w:rPr>
                <w:rFonts w:hint="default" w:ascii="Times New Roman" w:hAnsi="Times New Roman" w:eastAsia="仿宋" w:cs="Times New Roman"/>
                <w:color w:val="auto"/>
                <w:sz w:val="24"/>
                <w:szCs w:val="24"/>
                <w:highlight w:val="none"/>
                <w:lang w:val="en-US" w:eastAsia="zh-CN"/>
              </w:rPr>
              <w:t>万立方米</w:t>
            </w:r>
            <w:r>
              <w:rPr>
                <w:rFonts w:hint="eastAsia" w:eastAsia="仿宋" w:cs="Times New Roman"/>
                <w:color w:val="auto"/>
                <w:sz w:val="24"/>
                <w:szCs w:val="24"/>
                <w:highlight w:val="none"/>
                <w:lang w:val="en-US" w:eastAsia="zh-CN"/>
              </w:rPr>
              <w:t>（60万吨/年）</w:t>
            </w:r>
            <w:r>
              <w:rPr>
                <w:rFonts w:hint="default" w:ascii="Times New Roman" w:hAnsi="Times New Roman" w:eastAsia="仿宋" w:cs="Times New Roman"/>
                <w:color w:val="auto"/>
                <w:sz w:val="24"/>
                <w:szCs w:val="24"/>
                <w:highlight w:val="none"/>
                <w:lang w:val="en-US" w:eastAsia="zh-CN"/>
              </w:rPr>
              <w:t>，则筛分工段产生粉尘约为</w:t>
            </w:r>
            <w:r>
              <w:rPr>
                <w:rFonts w:hint="eastAsia" w:eastAsia="仿宋" w:cs="Times New Roman"/>
                <w:color w:val="auto"/>
                <w:sz w:val="24"/>
                <w:szCs w:val="24"/>
                <w:highlight w:val="none"/>
                <w:lang w:val="en-US" w:eastAsia="zh-CN"/>
              </w:rPr>
              <w:t>60</w:t>
            </w:r>
            <w:r>
              <w:rPr>
                <w:rFonts w:hint="default" w:ascii="Times New Roman" w:hAnsi="Times New Roman" w:eastAsia="仿宋" w:cs="Times New Roman"/>
                <w:color w:val="auto"/>
                <w:sz w:val="24"/>
                <w:szCs w:val="24"/>
                <w:highlight w:val="none"/>
                <w:lang w:val="en-US" w:eastAsia="zh-CN"/>
              </w:rPr>
              <w:t>t/a。项目采取在筛分机设置喷淋设施加大石料表面含水率，同时实行半封闭处理，除尘效率可达到80%，经喷淋洒水降尘后，粉尘预计排放量为</w:t>
            </w:r>
            <w:r>
              <w:rPr>
                <w:rFonts w:hint="eastAsia" w:eastAsia="仿宋" w:cs="Times New Roman"/>
                <w:color w:val="auto"/>
                <w:sz w:val="24"/>
                <w:szCs w:val="24"/>
                <w:highlight w:val="none"/>
                <w:lang w:val="en-US" w:eastAsia="zh-CN"/>
              </w:rPr>
              <w:t>12</w:t>
            </w:r>
            <w:r>
              <w:rPr>
                <w:rFonts w:hint="default" w:ascii="Times New Roman" w:hAnsi="Times New Roman" w:eastAsia="仿宋" w:cs="Times New Roman"/>
                <w:color w:val="auto"/>
                <w:sz w:val="24"/>
                <w:szCs w:val="24"/>
                <w:highlight w:val="none"/>
                <w:lang w:val="en-US" w:eastAsia="zh-CN"/>
              </w:rPr>
              <w:t>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（4）运输扬尘</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道路运输扬尘主要为自卸卡车将原料转运至生产区产生的粉尘，计算公式如下：</w:t>
            </w:r>
          </w:p>
          <w:p>
            <w:pPr>
              <w:pStyle w:val="63"/>
              <w:ind w:firstLine="420"/>
              <w:rPr>
                <w:rFonts w:hint="default" w:ascii="Times New Roman" w:hAnsi="Times New Roman" w:eastAsia="仿宋" w:cs="Times New Roman"/>
                <w:color w:val="auto"/>
                <w:highlight w:val="none"/>
              </w:rPr>
            </w:pPr>
            <m:oMathPara>
              <m:oMathParaPr>
                <m:jc m:val="center"/>
              </m:oMathParaPr>
              <m:oMath>
                <m:sSub>
                  <m:sSubPr>
                    <m:ctrlPr>
                      <w:rPr>
                        <w:rFonts w:hint="default" w:ascii="Cambria Math" w:hAnsi="Cambria Math" w:eastAsia="仿宋" w:cs="Times New Roman"/>
                        <w:color w:val="auto"/>
                        <w:highlight w:val="none"/>
                      </w:rPr>
                    </m:ctrlPr>
                  </m:sSubPr>
                  <m:e>
                    <m:r>
                      <m:rPr/>
                      <w:rPr>
                        <w:rFonts w:hint="default" w:ascii="Cambria Math" w:hAnsi="Cambria Math" w:eastAsia="仿宋" w:cs="Times New Roman"/>
                        <w:color w:val="auto"/>
                        <w:highlight w:val="none"/>
                      </w:rPr>
                      <m:t>Q</m:t>
                    </m:r>
                    <m:ctrlPr>
                      <w:rPr>
                        <w:rFonts w:hint="default" w:ascii="Cambria Math" w:hAnsi="Cambria Math" w:eastAsia="仿宋" w:cs="Times New Roman"/>
                        <w:color w:val="auto"/>
                        <w:highlight w:val="none"/>
                      </w:rPr>
                    </m:ctrlPr>
                  </m:e>
                  <m:sub>
                    <m:r>
                      <m:rPr>
                        <m:sty m:val="p"/>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sub>
                </m:sSub>
                <m:r>
                  <m:rPr>
                    <m:sty m:val="p"/>
                  </m:rPr>
                  <w:rPr>
                    <w:rFonts w:hint="default" w:ascii="Cambria Math" w:hAnsi="Cambria Math" w:eastAsia="仿宋" w:cs="Times New Roman"/>
                    <w:color w:val="auto"/>
                    <w:highlight w:val="none"/>
                  </w:rPr>
                  <m:t>=0.123</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V</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M</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6.8</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0.85</m:t>
                    </m:r>
                    <m:ctrlPr>
                      <w:rPr>
                        <w:rFonts w:hint="default" w:ascii="Cambria Math" w:hAnsi="Cambria Math" w:eastAsia="仿宋" w:cs="Times New Roman"/>
                        <w:color w:val="auto"/>
                        <w:highlight w:val="none"/>
                      </w:rPr>
                    </m:ctrlPr>
                  </m:sup>
                </m:sSup>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0.5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0.72</m:t>
                    </m:r>
                    <m:ctrlPr>
                      <w:rPr>
                        <w:rFonts w:hint="default" w:ascii="Cambria Math" w:hAnsi="Cambria Math" w:eastAsia="仿宋" w:cs="Times New Roman"/>
                        <w:color w:val="auto"/>
                        <w:highlight w:val="none"/>
                      </w:rPr>
                    </m:ctrlPr>
                  </m:sup>
                </m:sSup>
              </m:oMath>
            </m:oMathPara>
          </w:p>
          <w:p>
            <w:pPr>
              <w:adjustRightInd w:val="0"/>
              <w:snapToGrid w:val="0"/>
              <w:ind w:firstLine="420"/>
              <w:rPr>
                <w:rFonts w:hint="default" w:ascii="Times New Roman" w:hAnsi="Times New Roman" w:eastAsia="仿宋" w:cs="Times New Roman"/>
                <w:color w:val="auto"/>
                <w:szCs w:val="21"/>
                <w:highlight w:val="none"/>
              </w:rPr>
            </w:pPr>
            <m:oMathPara>
              <m:oMathParaPr>
                <m:jc m:val="center"/>
              </m:oMathParaPr>
              <m:oMath>
                <m:sSubSup>
                  <m:sSubSupPr>
                    <m:ctrlPr>
                      <w:rPr>
                        <w:rFonts w:hint="default" w:ascii="Cambria Math" w:hAnsi="Cambria Math" w:eastAsia="仿宋" w:cs="Times New Roman"/>
                        <w:color w:val="auto"/>
                        <w:szCs w:val="21"/>
                        <w:highlight w:val="none"/>
                      </w:rPr>
                    </m:ctrlPr>
                  </m:sSubSup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up>
                    <m:r>
                      <m:rPr>
                        <m:sty m:val="p"/>
                      </m:rPr>
                      <w:rPr>
                        <w:rFonts w:hint="default" w:ascii="Cambria Math" w:hAnsi="Cambria Math" w:eastAsia="仿宋" w:cs="Times New Roman"/>
                        <w:color w:val="auto"/>
                        <w:szCs w:val="21"/>
                        <w:highlight w:val="none"/>
                      </w:rPr>
                      <m:t>'</m:t>
                    </m:r>
                    <m:ctrlPr>
                      <w:rPr>
                        <w:rFonts w:hint="default" w:ascii="Cambria Math" w:hAnsi="Cambria Math" w:eastAsia="仿宋" w:cs="Times New Roman"/>
                        <w:color w:val="auto"/>
                        <w:szCs w:val="21"/>
                        <w:highlight w:val="none"/>
                      </w:rPr>
                    </m:ctrlPr>
                  </m:sup>
                </m:sSubSup>
                <m:r>
                  <m:rPr>
                    <m:sty m:val="p"/>
                  </m:rPr>
                  <w:rPr>
                    <w:rFonts w:hint="default" w:ascii="Cambria Math" w:hAnsi="Cambria Math" w:eastAsia="仿宋" w:cs="Times New Roman"/>
                    <w:color w:val="auto"/>
                    <w:szCs w:val="21"/>
                    <w:highlight w:val="none"/>
                  </w:rPr>
                  <m:t>=</m:t>
                </m:r>
                <m:sSub>
                  <m:sSubPr>
                    <m:ctrlPr>
                      <w:rPr>
                        <w:rFonts w:hint="default" w:ascii="Cambria Math" w:hAnsi="Cambria Math" w:eastAsia="仿宋" w:cs="Times New Roman"/>
                        <w:color w:val="auto"/>
                        <w:szCs w:val="21"/>
                        <w:highlight w:val="none"/>
                      </w:rPr>
                    </m:ctrlPr>
                  </m:sSub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Sub>
                <m:r>
                  <m:rPr>
                    <m:sty m:val="p"/>
                  </m:rPr>
                  <w:rPr>
                    <w:rFonts w:hint="default" w:ascii="Cambria Math" w:hAnsi="Cambria Math" w:eastAsia="仿宋" w:cs="Times New Roman"/>
                    <w:color w:val="auto"/>
                    <w:szCs w:val="21"/>
                    <w:highlight w:val="none"/>
                  </w:rPr>
                  <m:t>·</m:t>
                </m:r>
                <m:r>
                  <m:rPr/>
                  <w:rPr>
                    <w:rFonts w:hint="default" w:ascii="Cambria Math" w:hAnsi="Cambria Math" w:eastAsia="仿宋" w:cs="Times New Roman"/>
                    <w:color w:val="auto"/>
                    <w:szCs w:val="21"/>
                    <w:highlight w:val="none"/>
                  </w:rPr>
                  <m:t>L</m:t>
                </m:r>
                <m:r>
                  <m:rPr>
                    <m:sty m:val="p"/>
                  </m:rPr>
                  <w:rPr>
                    <w:rFonts w:hint="default" w:ascii="Cambria Math" w:hAnsi="Cambria Math" w:eastAsia="仿宋" w:cs="Times New Roman"/>
                    <w:color w:val="auto"/>
                    <w:szCs w:val="21"/>
                    <w:highlight w:val="none"/>
                  </w:rPr>
                  <m:t>·</m:t>
                </m:r>
                <m:f>
                  <m:fPr>
                    <m:ctrlPr>
                      <w:rPr>
                        <w:rFonts w:hint="default" w:ascii="Cambria Math" w:hAnsi="Cambria Math" w:eastAsia="仿宋" w:cs="Times New Roman"/>
                        <w:color w:val="auto"/>
                        <w:szCs w:val="21"/>
                        <w:highlight w:val="none"/>
                      </w:rPr>
                    </m:ctrlPr>
                  </m:fPr>
                  <m:num>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num>
                  <m:den>
                    <m:r>
                      <m:rPr/>
                      <w:rPr>
                        <w:rFonts w:hint="default" w:ascii="Cambria Math" w:hAnsi="Cambria Math" w:eastAsia="仿宋" w:cs="Times New Roman"/>
                        <w:color w:val="auto"/>
                        <w:szCs w:val="21"/>
                        <w:highlight w:val="none"/>
                      </w:rPr>
                      <m:t>M</m:t>
                    </m:r>
                    <m:ctrlPr>
                      <w:rPr>
                        <w:rFonts w:hint="default" w:ascii="Cambria Math" w:hAnsi="Cambria Math" w:eastAsia="仿宋" w:cs="Times New Roman"/>
                        <w:color w:val="auto"/>
                        <w:szCs w:val="21"/>
                        <w:highlight w:val="none"/>
                      </w:rPr>
                    </m:ctrlPr>
                  </m:den>
                </m:f>
              </m:oMath>
            </m:oMathPara>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式中：Qp-道路扬尘量，kg/km；</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Q′p-总扬尘量，kg/a；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V-车辆行驶速度，20km/h；</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M-车辆载重，t/辆；</w:t>
            </w:r>
            <w:r>
              <w:rPr>
                <w:rFonts w:hint="eastAsia" w:eastAsia="仿宋" w:cs="Times New Roman"/>
                <w:color w:val="auto"/>
                <w:highlight w:val="none"/>
                <w:lang w:val="en-US" w:eastAsia="zh-CN"/>
              </w:rPr>
              <w:t>3</w:t>
            </w:r>
            <w:r>
              <w:rPr>
                <w:rFonts w:hint="default" w:ascii="Times New Roman" w:hAnsi="Times New Roman" w:eastAsia="仿宋" w:cs="Times New Roman"/>
                <w:color w:val="auto"/>
                <w:highlight w:val="none"/>
              </w:rPr>
              <w:t>0t/辆；</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P-路面状况，以每m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路面灰尘覆盖率表示，0.2kg/m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L-运输距离，km；</w:t>
            </w:r>
          </w:p>
          <w:p>
            <w:pPr>
              <w:pStyle w:val="63"/>
              <w:ind w:firstLine="420"/>
              <w:rPr>
                <w:rFonts w:hint="default" w:ascii="Times New Roman" w:hAnsi="Times New Roman" w:eastAsia="仿宋" w:cs="Times New Roman"/>
                <w:color w:val="auto"/>
                <w:highlight w:val="yellow"/>
              </w:rPr>
            </w:pPr>
            <w:r>
              <w:rPr>
                <w:rFonts w:hint="default" w:ascii="Times New Roman" w:hAnsi="Times New Roman" w:eastAsia="仿宋" w:cs="Times New Roman"/>
                <w:color w:val="auto"/>
                <w:highlight w:val="none"/>
              </w:rPr>
              <w:t>Q-运输量，本项目原矿石运输量取</w:t>
            </w:r>
            <w:r>
              <w:rPr>
                <w:rFonts w:hint="eastAsia" w:eastAsia="仿宋" w:cs="Times New Roman"/>
                <w:color w:val="auto"/>
                <w:highlight w:val="none"/>
                <w:lang w:val="en-US" w:eastAsia="zh-CN"/>
              </w:rPr>
              <w:t>60</w:t>
            </w:r>
            <w:r>
              <w:rPr>
                <w:rFonts w:hint="default" w:ascii="Times New Roman" w:hAnsi="Times New Roman" w:eastAsia="仿宋" w:cs="Times New Roman"/>
                <w:color w:val="auto"/>
                <w:highlight w:val="none"/>
              </w:rPr>
              <w:t>万t/a。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经计算，本项目道路扬尘量为0.35</w:t>
            </w:r>
            <w:r>
              <w:rPr>
                <w:rFonts w:hint="default" w:ascii="Times New Roman" w:hAnsi="Times New Roman" w:eastAsia="仿宋" w:cs="Times New Roman"/>
                <w:color w:val="auto"/>
                <w:highlight w:val="none"/>
                <w:lang w:val="en-US" w:eastAsia="zh-CN"/>
              </w:rPr>
              <w:t>1</w:t>
            </w:r>
            <w:r>
              <w:rPr>
                <w:rFonts w:hint="default" w:ascii="Times New Roman" w:hAnsi="Times New Roman" w:eastAsia="仿宋" w:cs="Times New Roman"/>
                <w:color w:val="auto"/>
                <w:highlight w:val="none"/>
              </w:rPr>
              <w:t>kg/km，本项目开采区自卸汽车将原矿、表土运输至</w:t>
            </w:r>
            <w:r>
              <w:rPr>
                <w:rFonts w:hint="eastAsia" w:eastAsia="仿宋" w:cs="Times New Roman"/>
                <w:color w:val="auto"/>
                <w:highlight w:val="none"/>
                <w:lang w:val="en-US" w:eastAsia="zh-CN"/>
              </w:rPr>
              <w:t>排土场</w:t>
            </w:r>
            <w:r>
              <w:rPr>
                <w:rFonts w:hint="default" w:ascii="Times New Roman" w:hAnsi="Times New Roman" w:eastAsia="仿宋" w:cs="Times New Roman"/>
                <w:color w:val="auto"/>
                <w:highlight w:val="none"/>
              </w:rPr>
              <w:t>道路长约</w:t>
            </w:r>
            <w:r>
              <w:rPr>
                <w:rFonts w:hint="eastAsia" w:eastAsia="仿宋" w:cs="Times New Roman"/>
                <w:color w:val="auto"/>
                <w:highlight w:val="none"/>
                <w:lang w:val="en-US" w:eastAsia="zh-CN"/>
              </w:rPr>
              <w:t>32</w:t>
            </w:r>
            <w:r>
              <w:rPr>
                <w:rFonts w:hint="default" w:ascii="Times New Roman" w:hAnsi="Times New Roman" w:eastAsia="仿宋" w:cs="Times New Roman"/>
                <w:color w:val="auto"/>
                <w:highlight w:val="none"/>
              </w:rPr>
              <w:t>0m，运输过程中粉尘产生量为</w:t>
            </w:r>
            <w:r>
              <w:rPr>
                <w:rFonts w:hint="eastAsia" w:eastAsia="仿宋" w:cs="Times New Roman"/>
                <w:color w:val="auto"/>
                <w:highlight w:val="none"/>
                <w:lang w:val="en-US" w:eastAsia="zh-CN"/>
              </w:rPr>
              <w:t>2.25</w:t>
            </w:r>
            <w:r>
              <w:rPr>
                <w:rFonts w:hint="default" w:ascii="Times New Roman" w:hAnsi="Times New Roman" w:eastAsia="仿宋" w:cs="Times New Roman"/>
                <w:color w:val="auto"/>
                <w:highlight w:val="none"/>
              </w:rPr>
              <w:t>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为了减少道路扬尘对大气环境的污染，首先要对矿区运输道路铺设砂石层，在矿区内设置限速标志；运输过程须加盖篷布；矿石运输道路洒水（配置喷雾洒水车1台，每天定期洒水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次），以降低扬尘污染。可减少约80%的粉尘量，则汽车运输过程中排放的粉尘量约为</w:t>
            </w:r>
            <w:r>
              <w:rPr>
                <w:rFonts w:hint="eastAsia" w:eastAsia="仿宋" w:cs="Times New Roman"/>
                <w:color w:val="auto"/>
                <w:highlight w:val="none"/>
                <w:lang w:val="en-US" w:eastAsia="zh-CN"/>
              </w:rPr>
              <w:t>0.45</w:t>
            </w:r>
            <w:r>
              <w:rPr>
                <w:rFonts w:hint="default" w:ascii="Times New Roman" w:hAnsi="Times New Roman" w:eastAsia="仿宋" w:cs="Times New Roman"/>
                <w:color w:val="auto"/>
                <w:highlight w:val="none"/>
              </w:rPr>
              <w:t>t/a。</w:t>
            </w:r>
          </w:p>
          <w:p>
            <w:pPr>
              <w:pStyle w:val="63"/>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r>
              <w:rPr>
                <w:rFonts w:hint="eastAsia" w:eastAsia="仿宋" w:cs="Times New Roman"/>
                <w:color w:val="auto"/>
                <w:sz w:val="24"/>
                <w:szCs w:val="24"/>
                <w:highlight w:val="none"/>
                <w:lang w:eastAsia="zh-CN"/>
              </w:rPr>
              <w:t>排土场</w:t>
            </w:r>
            <w:r>
              <w:rPr>
                <w:rFonts w:hint="default" w:ascii="Times New Roman" w:hAnsi="Times New Roman" w:eastAsia="仿宋" w:cs="Times New Roman"/>
                <w:color w:val="auto"/>
                <w:sz w:val="24"/>
                <w:szCs w:val="24"/>
                <w:highlight w:val="none"/>
              </w:rPr>
              <w:t>粉尘</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国内外学者和工程技术人员对在风蚀作用下颗粒物的输送和扩散做过许多研究，并在实践总结了一些推算的经验公式。影响扬尘的因素主要有风速、堆场几何形状、堆密度、水含量。</w:t>
            </w:r>
            <w:r>
              <w:rPr>
                <w:rFonts w:hint="default" w:ascii="Times New Roman" w:hAnsi="Times New Roman" w:eastAsia="仿宋" w:cs="Times New Roman"/>
                <w:color w:val="auto"/>
                <w:kern w:val="0"/>
                <w:sz w:val="24"/>
                <w:szCs w:val="24"/>
                <w:highlight w:val="none"/>
                <w:lang w:eastAsia="zh-CN"/>
              </w:rPr>
              <w:t>堆场</w:t>
            </w:r>
            <w:r>
              <w:rPr>
                <w:rFonts w:hint="default" w:ascii="Times New Roman" w:hAnsi="Times New Roman" w:eastAsia="仿宋" w:cs="Times New Roman"/>
                <w:color w:val="auto"/>
                <w:kern w:val="0"/>
                <w:sz w:val="24"/>
                <w:szCs w:val="24"/>
                <w:highlight w:val="none"/>
              </w:rPr>
              <w:t>扬尘量计算模式采用西安冶金建筑学院的起尘量推荐公式计算，公式如下。</w:t>
            </w:r>
          </w:p>
          <w:p>
            <w:pPr>
              <w:pStyle w:val="4"/>
              <w:rPr>
                <w:rFonts w:hint="default" w:ascii="Times New Roman" w:hAnsi="Times New Roman" w:eastAsia="仿宋" w:cs="Times New Roman"/>
                <w:color w:val="auto"/>
                <w:highlight w:val="none"/>
              </w:rPr>
            </w:pPr>
          </w:p>
          <w:p>
            <w:pPr>
              <w:adjustRightInd w:val="0"/>
              <w:snapToGrid w:val="0"/>
              <w:ind w:firstLine="42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drawing>
                <wp:inline distT="0" distB="0" distL="0" distR="0">
                  <wp:extent cx="1981200" cy="2489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1200" cy="248920"/>
                          </a:xfrm>
                          <a:prstGeom prst="rect">
                            <a:avLst/>
                          </a:prstGeom>
                          <a:noFill/>
                          <a:ln>
                            <a:noFill/>
                          </a:ln>
                        </pic:spPr>
                      </pic:pic>
                    </a:graphicData>
                  </a:graphic>
                </wp:inline>
              </w:drawing>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其中：Q——堆场起尘量，（mg/s）；</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U——风速，山区内的平均风速为1.7m/s；</w:t>
            </w:r>
          </w:p>
          <w:p>
            <w:pPr>
              <w:adjustRightInd w:val="0"/>
              <w:snapToGrid w:val="0"/>
              <w:ind w:firstLine="420"/>
              <w:rPr>
                <w:rFonts w:hint="default" w:ascii="Times New Roman" w:hAnsi="Times New Roman" w:eastAsia="仿宋" w:cs="Times New Roman"/>
                <w:color w:val="auto"/>
                <w:kern w:val="0"/>
                <w:sz w:val="24"/>
                <w:szCs w:val="24"/>
                <w:highlight w:val="yellow"/>
              </w:rPr>
            </w:pPr>
            <w:r>
              <w:rPr>
                <w:rFonts w:hint="default" w:ascii="Times New Roman" w:hAnsi="Times New Roman" w:eastAsia="仿宋" w:cs="Times New Roman"/>
                <w:color w:val="auto"/>
                <w:kern w:val="0"/>
                <w:sz w:val="24"/>
                <w:szCs w:val="24"/>
                <w:highlight w:val="none"/>
              </w:rPr>
              <w:t>AP——堆场面积，本项目</w:t>
            </w:r>
            <w:r>
              <w:rPr>
                <w:rFonts w:hint="eastAsia" w:eastAsia="仿宋" w:cs="Times New Roman"/>
                <w:color w:val="auto"/>
                <w:kern w:val="0"/>
                <w:sz w:val="24"/>
                <w:szCs w:val="24"/>
                <w:highlight w:val="none"/>
                <w:lang w:eastAsia="zh-CN"/>
              </w:rPr>
              <w:t>排土场</w:t>
            </w:r>
            <w:r>
              <w:rPr>
                <w:rFonts w:hint="default" w:ascii="Times New Roman" w:hAnsi="Times New Roman" w:eastAsia="仿宋" w:cs="Times New Roman"/>
                <w:color w:val="auto"/>
                <w:kern w:val="0"/>
                <w:sz w:val="24"/>
                <w:szCs w:val="24"/>
                <w:highlight w:val="none"/>
                <w:lang w:val="en-US" w:eastAsia="zh-CN"/>
              </w:rPr>
              <w:t>合计</w:t>
            </w:r>
            <w:r>
              <w:rPr>
                <w:rFonts w:hint="default" w:ascii="Times New Roman" w:hAnsi="Times New Roman" w:eastAsia="仿宋" w:cs="Times New Roman"/>
                <w:color w:val="auto"/>
                <w:kern w:val="0"/>
                <w:sz w:val="24"/>
                <w:szCs w:val="24"/>
                <w:highlight w:val="none"/>
              </w:rPr>
              <w:t>面积为</w:t>
            </w:r>
            <w:r>
              <w:rPr>
                <w:rFonts w:hint="default" w:ascii="Times New Roman" w:hAnsi="Times New Roman" w:eastAsia="仿宋" w:cs="Times New Roman"/>
                <w:color w:val="auto"/>
                <w:kern w:val="0"/>
                <w:sz w:val="24"/>
                <w:szCs w:val="24"/>
                <w:highlight w:val="none"/>
                <w:lang w:val="en-US" w:eastAsia="zh-CN"/>
              </w:rPr>
              <w:t>3000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w:t>
            </w:r>
          </w:p>
          <w:p>
            <w:pPr>
              <w:pStyle w:val="63"/>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经计算可知，</w:t>
            </w:r>
            <w:r>
              <w:rPr>
                <w:rFonts w:hint="default" w:ascii="Times New Roman" w:hAnsi="Times New Roman" w:eastAsia="仿宋" w:cs="Times New Roman"/>
                <w:color w:val="auto"/>
                <w:sz w:val="24"/>
                <w:szCs w:val="24"/>
                <w:highlight w:val="none"/>
                <w:lang w:val="en-US" w:eastAsia="zh-CN"/>
              </w:rPr>
              <w:t>堆场</w:t>
            </w:r>
            <w:r>
              <w:rPr>
                <w:rFonts w:hint="default" w:ascii="Times New Roman" w:hAnsi="Times New Roman" w:eastAsia="仿宋" w:cs="Times New Roman"/>
                <w:color w:val="auto"/>
                <w:sz w:val="24"/>
                <w:szCs w:val="24"/>
                <w:highlight w:val="none"/>
              </w:rPr>
              <w:t>起尘量为</w:t>
            </w:r>
            <w:r>
              <w:rPr>
                <w:rFonts w:hint="default" w:ascii="Times New Roman" w:hAnsi="Times New Roman" w:eastAsia="仿宋" w:cs="Times New Roman"/>
                <w:color w:val="auto"/>
                <w:sz w:val="24"/>
                <w:szCs w:val="24"/>
                <w:highlight w:val="none"/>
                <w:lang w:val="en-US" w:eastAsia="zh-CN"/>
              </w:rPr>
              <w:t>1</w:t>
            </w:r>
            <w:r>
              <w:rPr>
                <w:rFonts w:hint="eastAsia" w:eastAsia="仿宋" w:cs="Times New Roman"/>
                <w:color w:val="auto"/>
                <w:sz w:val="24"/>
                <w:szCs w:val="24"/>
                <w:highlight w:val="none"/>
                <w:lang w:val="en-US" w:eastAsia="zh-CN"/>
              </w:rPr>
              <w:t>7.31</w:t>
            </w:r>
            <w:r>
              <w:rPr>
                <w:rFonts w:hint="default" w:ascii="Times New Roman" w:hAnsi="Times New Roman" w:eastAsia="仿宋" w:cs="Times New Roman"/>
                <w:color w:val="auto"/>
                <w:sz w:val="24"/>
                <w:szCs w:val="24"/>
                <w:highlight w:val="none"/>
              </w:rPr>
              <w:t>mg/s（即</w:t>
            </w:r>
            <w:r>
              <w:rPr>
                <w:rFonts w:hint="eastAsia" w:eastAsia="仿宋" w:cs="Times New Roman"/>
                <w:color w:val="auto"/>
                <w:sz w:val="24"/>
                <w:szCs w:val="24"/>
                <w:highlight w:val="none"/>
                <w:lang w:val="en-US" w:eastAsia="zh-CN"/>
              </w:rPr>
              <w:t>0.017</w:t>
            </w:r>
            <w:r>
              <w:rPr>
                <w:rFonts w:hint="default" w:ascii="Times New Roman" w:hAnsi="Times New Roman" w:eastAsia="仿宋" w:cs="Times New Roman"/>
                <w:color w:val="auto"/>
                <w:sz w:val="24"/>
                <w:szCs w:val="24"/>
                <w:highlight w:val="none"/>
              </w:rPr>
              <w:t>t/a）。项目</w:t>
            </w:r>
            <w:r>
              <w:rPr>
                <w:rFonts w:hint="eastAsia" w:eastAsia="仿宋" w:cs="Times New Roman"/>
                <w:color w:val="auto"/>
                <w:sz w:val="24"/>
                <w:szCs w:val="24"/>
                <w:highlight w:val="none"/>
                <w:lang w:eastAsia="zh-CN"/>
              </w:rPr>
              <w:t>排土场</w:t>
            </w:r>
            <w:r>
              <w:rPr>
                <w:rFonts w:hint="default" w:ascii="Times New Roman" w:hAnsi="Times New Roman" w:eastAsia="仿宋" w:cs="Times New Roman"/>
                <w:color w:val="auto"/>
                <w:sz w:val="24"/>
                <w:szCs w:val="24"/>
                <w:highlight w:val="none"/>
              </w:rPr>
              <w:t>采取</w:t>
            </w:r>
            <w:r>
              <w:rPr>
                <w:rFonts w:hint="eastAsia" w:eastAsia="仿宋" w:cs="Times New Roman"/>
                <w:color w:val="auto"/>
                <w:sz w:val="24"/>
                <w:szCs w:val="24"/>
                <w:highlight w:val="none"/>
                <w:lang w:val="en-US" w:eastAsia="zh-CN"/>
              </w:rPr>
              <w:t>防尘网苫盖</w:t>
            </w:r>
            <w:r>
              <w:rPr>
                <w:rFonts w:hint="default" w:ascii="Times New Roman" w:hAnsi="Times New Roman" w:eastAsia="仿宋" w:cs="Times New Roman"/>
                <w:color w:val="auto"/>
                <w:sz w:val="24"/>
                <w:szCs w:val="24"/>
                <w:highlight w:val="none"/>
              </w:rPr>
              <w:t>+洒水降尘等措施，可抑尘约80%，同时要求厂区加强管理，采取措施后粉尘排放量为</w:t>
            </w:r>
            <w:r>
              <w:rPr>
                <w:rFonts w:hint="eastAsia" w:eastAsia="仿宋" w:cs="Times New Roman"/>
                <w:color w:val="auto"/>
                <w:sz w:val="24"/>
                <w:szCs w:val="24"/>
                <w:highlight w:val="none"/>
                <w:lang w:val="en-US" w:eastAsia="zh-CN"/>
              </w:rPr>
              <w:t>0.003</w:t>
            </w:r>
            <w:r>
              <w:rPr>
                <w:rFonts w:hint="default" w:ascii="Times New Roman" w:hAnsi="Times New Roman" w:eastAsia="仿宋" w:cs="Times New Roman"/>
                <w:color w:val="auto"/>
                <w:sz w:val="24"/>
                <w:szCs w:val="24"/>
                <w:highlight w:val="none"/>
              </w:rPr>
              <w:t>t/a。</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）设备和车辆运行时排放废气</w:t>
            </w:r>
          </w:p>
          <w:p>
            <w:pPr>
              <w:adjustRightInd w:val="0"/>
              <w:snapToGrid w:val="0"/>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机械废气包括：各种燃油机械的废气排放，运输车辆产生的尾气等。燃油</w:t>
            </w:r>
          </w:p>
          <w:p>
            <w:pPr>
              <w:adjustRightInd w:val="0"/>
              <w:snapToGrid w:val="0"/>
              <w:spacing w:line="360" w:lineRule="auto"/>
              <w:ind w:left="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和汽车尾气中的污染物主要有CO、NOx及碳氢化合物（HC）等。据交通部公路研究所的测算，以载重卡车为例，测得每辆卡车的尾气中含CO37.23g/km·辆，CnHm15.98g/km·辆，NOx16.83g/km·辆。这些施工机械所排放的废气以无组织面源的形式排放，会对施工区域的大气环境造成轻微影响。</w:t>
            </w:r>
          </w:p>
          <w:p>
            <w:pPr>
              <w:adjustRightInd w:val="0"/>
              <w:snapToGrid w:val="0"/>
              <w:spacing w:line="360" w:lineRule="auto"/>
              <w:ind w:firstLine="0" w:firstLineChars="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表</w:t>
            </w:r>
            <w:r>
              <w:rPr>
                <w:rFonts w:hint="eastAsia" w:eastAsia="仿宋" w:cs="Times New Roman"/>
                <w:b/>
                <w:bCs/>
                <w:color w:val="auto"/>
                <w:sz w:val="21"/>
                <w:szCs w:val="21"/>
                <w:highlight w:val="none"/>
                <w:lang w:val="en-US" w:eastAsia="zh-CN"/>
              </w:rPr>
              <w:t>4-7</w:t>
            </w:r>
            <w:r>
              <w:rPr>
                <w:rFonts w:hint="default" w:ascii="Times New Roman" w:hAnsi="Times New Roman" w:eastAsia="仿宋" w:cs="Times New Roman"/>
                <w:b/>
                <w:bCs/>
                <w:color w:val="auto"/>
                <w:sz w:val="21"/>
                <w:szCs w:val="21"/>
                <w:highlight w:val="none"/>
                <w:lang w:val="en-US" w:eastAsia="zh-CN"/>
              </w:rPr>
              <w:t xml:space="preserve"> 本工程粉尘排放统计</w:t>
            </w:r>
          </w:p>
          <w:tbl>
            <w:tblPr>
              <w:tblStyle w:val="87"/>
              <w:tblW w:w="4992"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1078"/>
              <w:gridCol w:w="1106"/>
              <w:gridCol w:w="1526"/>
              <w:gridCol w:w="2189"/>
              <w:gridCol w:w="243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7"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序号</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产污节点</w:t>
                  </w:r>
                </w:p>
              </w:tc>
              <w:tc>
                <w:tcPr>
                  <w:tcW w:w="2229"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污染物</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排放量 t/a</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7"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1</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开采工序</w:t>
                  </w:r>
                </w:p>
              </w:tc>
              <w:tc>
                <w:tcPr>
                  <w:tcW w:w="915" w:type="pct"/>
                  <w:vMerge w:val="restart"/>
                  <w:tcBorders>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粉尘</w:t>
                  </w: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9.84</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7"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2</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装卸工序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0.56</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7"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3</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筛选工序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12</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7"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4</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运输</w:t>
                  </w:r>
                  <w:r>
                    <w:rPr>
                      <w:rFonts w:hint="default" w:ascii="Times New Roman" w:hAnsi="Times New Roman" w:eastAsia="仿宋" w:cs="Times New Roman"/>
                      <w:snapToGrid/>
                      <w:color w:val="auto"/>
                      <w:kern w:val="0"/>
                      <w:sz w:val="21"/>
                      <w:szCs w:val="21"/>
                      <w:highlight w:val="none"/>
                      <w:lang w:eastAsia="zh-CN"/>
                    </w:rPr>
                    <w:t>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0.45</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7"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5</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堆放</w:t>
                  </w:r>
                  <w:r>
                    <w:rPr>
                      <w:rFonts w:hint="default" w:ascii="Times New Roman" w:hAnsi="Times New Roman" w:eastAsia="仿宋" w:cs="Times New Roman"/>
                      <w:snapToGrid/>
                      <w:color w:val="auto"/>
                      <w:kern w:val="0"/>
                      <w:sz w:val="21"/>
                      <w:szCs w:val="21"/>
                      <w:highlight w:val="none"/>
                      <w:lang w:eastAsia="zh-CN"/>
                    </w:rPr>
                    <w:t>工序</w:t>
                  </w:r>
                </w:p>
              </w:tc>
              <w:tc>
                <w:tcPr>
                  <w:tcW w:w="915" w:type="pct"/>
                  <w:vMerge w:val="continue"/>
                  <w:tcBorders>
                    <w:top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0.003</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2227" w:type="pct"/>
                  <w:gridSpan w:val="3"/>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总量</w:t>
                  </w:r>
                </w:p>
              </w:tc>
              <w:tc>
                <w:tcPr>
                  <w:tcW w:w="2772"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22.853</w:t>
                  </w:r>
                  <w:r>
                    <w:rPr>
                      <w:rFonts w:hint="default" w:ascii="Times New Roman" w:hAnsi="Times New Roman" w:eastAsia="仿宋" w:cs="Times New Roman"/>
                      <w:snapToGrid/>
                      <w:color w:val="auto"/>
                      <w:kern w:val="0"/>
                      <w:sz w:val="21"/>
                      <w:szCs w:val="21"/>
                      <w:highlight w:val="none"/>
                      <w:lang w:eastAsia="zh-CN"/>
                    </w:rPr>
                    <w:t>t/a</w:t>
                  </w:r>
                </w:p>
              </w:tc>
            </w:tr>
          </w:tbl>
          <w:p>
            <w:pPr>
              <w:pStyle w:val="3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7</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食堂</w:t>
            </w:r>
            <w:r>
              <w:rPr>
                <w:rFonts w:hint="default" w:ascii="Times New Roman" w:hAnsi="Times New Roman" w:eastAsia="仿宋" w:cs="Times New Roman"/>
                <w:color w:val="auto"/>
                <w:sz w:val="24"/>
                <w:szCs w:val="24"/>
                <w:highlight w:val="none"/>
              </w:rPr>
              <w:t>油烟</w:t>
            </w:r>
          </w:p>
          <w:p>
            <w:pPr>
              <w:keepNext w:val="0"/>
              <w:keepLines w:val="0"/>
              <w:pageBreakBefore w:val="0"/>
              <w:widowControl w:val="0"/>
              <w:kinsoku/>
              <w:wordWrap/>
              <w:overflowPunct/>
              <w:topLinePunct w:val="0"/>
              <w:autoSpaceDE/>
              <w:autoSpaceDN/>
              <w:bidi w:val="0"/>
              <w:adjustRightInd/>
              <w:snapToGrid/>
              <w:spacing w:line="360" w:lineRule="auto"/>
              <w:ind w:firstLine="422"/>
              <w:jc w:val="both"/>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highlight w:val="none"/>
              </w:rPr>
              <w:t>项目劳动定员</w:t>
            </w:r>
            <w:r>
              <w:rPr>
                <w:rFonts w:hint="default" w:ascii="Times New Roman" w:hAnsi="Times New Roman" w:eastAsia="仿宋" w:cs="Times New Roman"/>
                <w:color w:val="auto"/>
                <w:sz w:val="24"/>
                <w:szCs w:val="24"/>
                <w:highlight w:val="none"/>
                <w:lang w:val="en-US" w:eastAsia="zh-CN"/>
              </w:rPr>
              <w:t>26</w:t>
            </w:r>
            <w:r>
              <w:rPr>
                <w:rFonts w:hint="default" w:ascii="Times New Roman" w:hAnsi="Times New Roman" w:eastAsia="仿宋" w:cs="Times New Roman"/>
                <w:color w:val="auto"/>
                <w:sz w:val="24"/>
                <w:szCs w:val="24"/>
                <w:highlight w:val="none"/>
              </w:rPr>
              <w:t>人，单位根据班次提供中午餐食，人均食用油用量约为10g/人·d。一般油烟挥发量为总耗油量的2-4%，本次评价取3%计算。项目年运行</w:t>
            </w:r>
            <w:r>
              <w:rPr>
                <w:rFonts w:hint="default" w:ascii="Times New Roman" w:hAnsi="Times New Roman" w:eastAsia="仿宋" w:cs="Times New Roman"/>
                <w:color w:val="auto"/>
                <w:sz w:val="24"/>
                <w:szCs w:val="24"/>
                <w:highlight w:val="none"/>
                <w:lang w:val="en-US" w:eastAsia="zh-CN"/>
              </w:rPr>
              <w:t>270</w:t>
            </w:r>
            <w:r>
              <w:rPr>
                <w:rFonts w:hint="default" w:ascii="Times New Roman" w:hAnsi="Times New Roman" w:eastAsia="仿宋" w:cs="Times New Roman"/>
                <w:color w:val="auto"/>
                <w:sz w:val="24"/>
                <w:szCs w:val="24"/>
                <w:highlight w:val="none"/>
              </w:rPr>
              <w:t>天，油烟产生量为</w:t>
            </w:r>
            <w:r>
              <w:rPr>
                <w:rFonts w:hint="default" w:ascii="Times New Roman" w:hAnsi="Times New Roman" w:eastAsia="仿宋" w:cs="Times New Roman"/>
                <w:color w:val="auto"/>
                <w:sz w:val="24"/>
                <w:szCs w:val="24"/>
                <w:highlight w:val="none"/>
                <w:lang w:val="en-US" w:eastAsia="zh-CN"/>
              </w:rPr>
              <w:t>2.11</w:t>
            </w:r>
            <w:r>
              <w:rPr>
                <w:rFonts w:hint="default" w:ascii="Times New Roman" w:hAnsi="Times New Roman" w:eastAsia="仿宋" w:cs="Times New Roman"/>
                <w:color w:val="auto"/>
                <w:sz w:val="24"/>
                <w:szCs w:val="24"/>
                <w:highlight w:val="none"/>
              </w:rPr>
              <w:t>kg/a。项目食堂每天平均使用时间约为2个小时，烹饪过程中产生的油烟废气量按照1500m³/h计算，则油烟废气量合计</w:t>
            </w:r>
            <w:r>
              <w:rPr>
                <w:rFonts w:hint="default" w:ascii="Times New Roman" w:hAnsi="Times New Roman" w:eastAsia="仿宋" w:cs="Times New Roman"/>
                <w:color w:val="auto"/>
                <w:sz w:val="24"/>
                <w:szCs w:val="24"/>
                <w:highlight w:val="none"/>
                <w:lang w:val="en-US" w:eastAsia="zh-CN"/>
              </w:rPr>
              <w:t>81</w:t>
            </w:r>
            <w:r>
              <w:rPr>
                <w:rFonts w:hint="default" w:ascii="Times New Roman" w:hAnsi="Times New Roman" w:eastAsia="仿宋" w:cs="Times New Roman"/>
                <w:color w:val="auto"/>
                <w:sz w:val="24"/>
                <w:szCs w:val="24"/>
                <w:highlight w:val="none"/>
              </w:rPr>
              <w:t>万m³/a。油烟的产生浓度为</w:t>
            </w:r>
            <w:r>
              <w:rPr>
                <w:rFonts w:hint="default" w:ascii="Times New Roman" w:hAnsi="Times New Roman" w:eastAsia="仿宋" w:cs="Times New Roman"/>
                <w:color w:val="auto"/>
                <w:sz w:val="24"/>
                <w:szCs w:val="24"/>
                <w:highlight w:val="none"/>
                <w:lang w:val="en-US" w:eastAsia="zh-CN"/>
              </w:rPr>
              <w:t>2.6</w:t>
            </w:r>
            <w:r>
              <w:rPr>
                <w:rFonts w:hint="default" w:ascii="Times New Roman" w:hAnsi="Times New Roman" w:eastAsia="仿宋" w:cs="Times New Roman"/>
                <w:color w:val="auto"/>
                <w:sz w:val="24"/>
                <w:szCs w:val="24"/>
                <w:highlight w:val="none"/>
              </w:rPr>
              <w:t>mg/m³。油烟废气经过油烟净化处理后通过烟道引至屋顶高空排放，油烟净化器的去除效率按照60%计算，则经处理后的油烟排放浓度为</w:t>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eastAsia="zh-CN"/>
              </w:rPr>
              <w:t>04</w:t>
            </w:r>
            <w:r>
              <w:rPr>
                <w:rFonts w:hint="default" w:ascii="Times New Roman" w:hAnsi="Times New Roman" w:eastAsia="仿宋" w:cs="Times New Roman"/>
                <w:color w:val="auto"/>
                <w:sz w:val="24"/>
                <w:szCs w:val="24"/>
                <w:highlight w:val="none"/>
              </w:rPr>
              <w:t>mg/m³，油烟排放量为</w:t>
            </w:r>
            <w:r>
              <w:rPr>
                <w:rFonts w:hint="default" w:ascii="Times New Roman" w:hAnsi="Times New Roman" w:eastAsia="仿宋" w:cs="Times New Roman"/>
                <w:color w:val="auto"/>
                <w:sz w:val="24"/>
                <w:szCs w:val="24"/>
                <w:highlight w:val="none"/>
                <w:lang w:eastAsia="zh-CN"/>
              </w:rPr>
              <w:t>0.84</w:t>
            </w:r>
            <w:r>
              <w:rPr>
                <w:rFonts w:hint="default" w:ascii="Times New Roman" w:hAnsi="Times New Roman" w:eastAsia="仿宋" w:cs="Times New Roman"/>
                <w:color w:val="auto"/>
                <w:sz w:val="24"/>
                <w:szCs w:val="24"/>
                <w:highlight w:val="none"/>
              </w:rPr>
              <w:t>kg/a。油烟排放浓度满足《饮食业油烟排放标准（试行）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（GB18483-2001）油烟最高允许排放浓度≤2mg/m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标准。</w:t>
            </w:r>
          </w:p>
          <w:p>
            <w:pPr>
              <w:pStyle w:val="63"/>
              <w:numPr>
                <w:ilvl w:val="0"/>
                <w:numId w:val="0"/>
              </w:numPr>
              <w:ind w:leftChars="200" w:right="113" w:rightChars="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val="en-US" w:eastAsia="zh-CN"/>
              </w:rPr>
              <w:t>（</w:t>
            </w:r>
            <w:r>
              <w:rPr>
                <w:rFonts w:hint="eastAsia" w:eastAsia="仿宋" w:cs="Times New Roman"/>
                <w:bCs/>
                <w:color w:val="auto"/>
                <w:sz w:val="24"/>
                <w:szCs w:val="24"/>
                <w:highlight w:val="none"/>
                <w:lang w:val="en-US" w:eastAsia="zh-CN"/>
              </w:rPr>
              <w:t>8</w:t>
            </w:r>
            <w:r>
              <w:rPr>
                <w:rFonts w:hint="default" w:ascii="Times New Roman" w:hAnsi="Times New Roman" w:eastAsia="仿宋" w:cs="Times New Roman"/>
                <w:bCs/>
                <w:color w:val="auto"/>
                <w:sz w:val="24"/>
                <w:szCs w:val="24"/>
                <w:highlight w:val="none"/>
                <w:lang w:val="en-US" w:eastAsia="zh-CN"/>
              </w:rPr>
              <w:t>）柴油废气</w:t>
            </w:r>
          </w:p>
          <w:p>
            <w:pPr>
              <w:pStyle w:val="63"/>
              <w:keepNext w:val="0"/>
              <w:keepLines w:val="0"/>
              <w:pageBreakBefore w:val="0"/>
              <w:widowControl w:val="0"/>
              <w:kinsoku/>
              <w:wordWrap/>
              <w:overflowPunct/>
              <w:topLinePunct w:val="0"/>
              <w:autoSpaceDE/>
              <w:autoSpaceDN/>
              <w:bidi w:val="0"/>
              <w:adjustRightInd w:val="0"/>
              <w:snapToGrid w:val="0"/>
              <w:ind w:left="0" w:leftChars="0" w:right="0" w:firstLine="480" w:firstLineChars="20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根据《非道路移动污染源排放清单编制技术指南》，柴油机污染物排放系</w:t>
            </w:r>
          </w:p>
          <w:p>
            <w:pPr>
              <w:pStyle w:val="63"/>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数为每消耗</w:t>
            </w:r>
            <w:r>
              <w:rPr>
                <w:rFonts w:hint="default" w:ascii="Times New Roman" w:hAnsi="Times New Roman" w:eastAsia="仿宋" w:cs="Times New Roman"/>
                <w:bCs/>
                <w:color w:val="auto"/>
                <w:sz w:val="24"/>
                <w:szCs w:val="24"/>
                <w:highlight w:val="none"/>
                <w:lang w:val="en-US" w:eastAsia="zh-CN"/>
              </w:rPr>
              <w:t>1</w:t>
            </w:r>
            <w:r>
              <w:rPr>
                <w:rFonts w:hint="default" w:ascii="Times New Roman" w:hAnsi="Times New Roman" w:eastAsia="仿宋" w:cs="Times New Roman"/>
                <w:bCs/>
                <w:color w:val="auto"/>
                <w:sz w:val="24"/>
                <w:szCs w:val="24"/>
                <w:highlight w:val="none"/>
                <w:lang w:eastAsia="zh-CN"/>
              </w:rPr>
              <w:t>kg柴油产生CO：10.722g，NO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eastAsia="zh-CN"/>
              </w:rPr>
              <w:t>：32.792g，烃类：3.385g；根据</w:t>
            </w:r>
          </w:p>
          <w:p>
            <w:pPr>
              <w:pStyle w:val="63"/>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《车用柴油》（GB19147-2016）表</w:t>
            </w:r>
            <w:r>
              <w:rPr>
                <w:rFonts w:hint="default" w:ascii="Times New Roman" w:hAnsi="Times New Roman" w:eastAsia="仿宋" w:cs="Times New Roman"/>
                <w:bCs/>
                <w:color w:val="auto"/>
                <w:sz w:val="24"/>
                <w:szCs w:val="24"/>
                <w:highlight w:val="none"/>
                <w:lang w:val="en-US" w:eastAsia="zh-CN"/>
              </w:rPr>
              <w:t>3</w:t>
            </w:r>
            <w:r>
              <w:rPr>
                <w:rFonts w:hint="default" w:ascii="Times New Roman" w:hAnsi="Times New Roman" w:eastAsia="仿宋" w:cs="Times New Roman"/>
                <w:bCs/>
                <w:color w:val="auto"/>
                <w:sz w:val="24"/>
                <w:szCs w:val="24"/>
                <w:highlight w:val="none"/>
                <w:lang w:eastAsia="zh-CN"/>
              </w:rPr>
              <w:t>要求，车用柴油（VI）中硫的含量≤10mg/kg。</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eastAsia="zh-CN"/>
              </w:rPr>
              <w:t>在此按柴油中硫含量为10mg/kg估算，燃烧1t柴油产生的SO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eastAsia="zh-CN"/>
              </w:rPr>
              <w:t>为0.02kg，</w:t>
            </w:r>
            <w:r>
              <w:rPr>
                <w:rFonts w:hint="default" w:ascii="Times New Roman" w:hAnsi="Times New Roman" w:eastAsia="仿宋" w:cs="Times New Roman"/>
                <w:bCs/>
                <w:color w:val="auto"/>
                <w:sz w:val="24"/>
                <w:szCs w:val="24"/>
                <w:highlight w:val="none"/>
                <w:lang w:val="en-US" w:eastAsia="zh-CN"/>
              </w:rPr>
              <w:t>根据建设单位提供资料，本项目柴油用量为19195kg，则</w:t>
            </w:r>
            <w:r>
              <w:rPr>
                <w:rFonts w:hint="default" w:ascii="Times New Roman" w:hAnsi="Times New Roman" w:eastAsia="仿宋" w:cs="Times New Roman"/>
                <w:bCs/>
                <w:color w:val="auto"/>
                <w:sz w:val="24"/>
                <w:szCs w:val="24"/>
                <w:highlight w:val="none"/>
                <w:lang w:eastAsia="zh-CN"/>
              </w:rPr>
              <w:t>SO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val="en-US" w:eastAsia="zh-CN"/>
              </w:rPr>
              <w:t>产生量</w:t>
            </w:r>
            <w:r>
              <w:rPr>
                <w:rFonts w:hint="default" w:ascii="Times New Roman" w:hAnsi="Times New Roman" w:eastAsia="仿宋" w:cs="Times New Roman"/>
                <w:bCs/>
                <w:color w:val="auto"/>
                <w:sz w:val="24"/>
                <w:szCs w:val="24"/>
                <w:highlight w:val="none"/>
                <w:lang w:eastAsia="zh-CN"/>
              </w:rPr>
              <w:t>为</w:t>
            </w:r>
            <w:r>
              <w:rPr>
                <w:rFonts w:hint="default" w:ascii="Times New Roman" w:hAnsi="Times New Roman" w:eastAsia="仿宋" w:cs="Times New Roman"/>
                <w:bCs/>
                <w:color w:val="auto"/>
                <w:sz w:val="24"/>
                <w:szCs w:val="24"/>
                <w:highlight w:val="none"/>
                <w:lang w:val="en-US" w:eastAsia="zh-CN"/>
              </w:rPr>
              <w:t>0.00039t</w:t>
            </w:r>
            <w:r>
              <w:rPr>
                <w:rFonts w:hint="default" w:ascii="Times New Roman" w:hAnsi="Times New Roman" w:eastAsia="仿宋" w:cs="Times New Roman"/>
                <w:bCs/>
                <w:color w:val="auto"/>
                <w:sz w:val="24"/>
                <w:szCs w:val="24"/>
                <w:highlight w:val="none"/>
                <w:lang w:eastAsia="zh-CN"/>
              </w:rPr>
              <w:t>，CO</w:t>
            </w:r>
            <w:r>
              <w:rPr>
                <w:rFonts w:hint="default" w:ascii="Times New Roman" w:hAnsi="Times New Roman" w:eastAsia="仿宋" w:cs="Times New Roman"/>
                <w:bCs/>
                <w:color w:val="auto"/>
                <w:sz w:val="24"/>
                <w:szCs w:val="24"/>
                <w:highlight w:val="none"/>
                <w:lang w:val="en-US" w:eastAsia="zh-CN"/>
              </w:rPr>
              <w:t>产生量</w:t>
            </w:r>
            <w:r>
              <w:rPr>
                <w:rFonts w:hint="default" w:ascii="Times New Roman" w:hAnsi="Times New Roman" w:eastAsia="仿宋" w:cs="Times New Roman"/>
                <w:bCs/>
                <w:color w:val="auto"/>
                <w:sz w:val="24"/>
                <w:szCs w:val="24"/>
                <w:highlight w:val="none"/>
                <w:lang w:eastAsia="zh-CN"/>
              </w:rPr>
              <w:t>：</w:t>
            </w:r>
            <w:r>
              <w:rPr>
                <w:rFonts w:hint="default" w:ascii="Times New Roman" w:hAnsi="Times New Roman" w:eastAsia="仿宋" w:cs="Times New Roman"/>
                <w:bCs/>
                <w:color w:val="auto"/>
                <w:sz w:val="24"/>
                <w:szCs w:val="24"/>
                <w:highlight w:val="none"/>
                <w:lang w:val="en-US" w:eastAsia="zh-CN"/>
              </w:rPr>
              <w:t>2.058t</w:t>
            </w:r>
            <w:r>
              <w:rPr>
                <w:rFonts w:hint="default" w:ascii="Times New Roman" w:hAnsi="Times New Roman" w:eastAsia="仿宋" w:cs="Times New Roman"/>
                <w:bCs/>
                <w:color w:val="auto"/>
                <w:sz w:val="24"/>
                <w:szCs w:val="24"/>
                <w:highlight w:val="none"/>
                <w:lang w:eastAsia="zh-CN"/>
              </w:rPr>
              <w:t>，NO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val="en-US" w:eastAsia="zh-CN"/>
              </w:rPr>
              <w:t>产生量为0.629t，环评提出通过优化发动机设计、采用先进的燃烧技术、使用低硫燃油、配置废气处理装置等措施降低柴油废气。</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bCs w:val="0"/>
                <w:color w:val="auto"/>
                <w:sz w:val="24"/>
                <w:szCs w:val="24"/>
                <w:highlight w:val="none"/>
                <w:lang w:val="en-US" w:eastAsia="zh-CN"/>
              </w:rPr>
            </w:pPr>
            <w:r>
              <w:rPr>
                <w:rFonts w:hint="default" w:ascii="Times New Roman" w:hAnsi="Times New Roman" w:eastAsia="仿宋" w:cs="Times New Roman"/>
                <w:b/>
                <w:bCs w:val="0"/>
                <w:color w:val="auto"/>
                <w:sz w:val="24"/>
                <w:szCs w:val="24"/>
                <w:highlight w:val="none"/>
                <w:lang w:val="en-US" w:eastAsia="zh-CN"/>
              </w:rPr>
              <w:t>2.2废气处理措施及其可行性分析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b/>
                <w:color w:val="auto"/>
                <w:sz w:val="24"/>
                <w:szCs w:val="24"/>
                <w:highlight w:val="yellow"/>
              </w:rPr>
            </w:pPr>
            <w:r>
              <w:rPr>
                <w:rFonts w:hint="default" w:ascii="Times New Roman" w:hAnsi="Times New Roman" w:eastAsia="仿宋" w:cs="Times New Roman"/>
                <w:b w:val="0"/>
                <w:bCs/>
                <w:color w:val="auto"/>
                <w:sz w:val="24"/>
                <w:szCs w:val="24"/>
                <w:highlight w:val="none"/>
                <w:lang w:val="en-US" w:eastAsia="zh-CN"/>
              </w:rPr>
              <w:t>本项目采取采装作业面洒水增湿，采装作业利用雾炮喷淋设施进行降尘；矿区运输道路每日洒水2次，运输车辆篷布遮盖，限速等措施后能够</w:t>
            </w:r>
            <w:r>
              <w:rPr>
                <w:rFonts w:hint="default" w:ascii="Times New Roman" w:hAnsi="Times New Roman" w:eastAsia="仿宋" w:cs="Times New Roman"/>
                <w:b w:val="0"/>
                <w:bCs/>
                <w:color w:val="auto"/>
                <w:sz w:val="24"/>
                <w:szCs w:val="24"/>
                <w:highlight w:val="none"/>
              </w:rPr>
              <w:t>有效减少无组织废气排放，未被收集的粉尘经自然沉降后，厂内颗粒物浓度可满足《大气污染物综合排放标准》（GB16297- 1996）无组织排放限值要求</w:t>
            </w:r>
            <w:r>
              <w:rPr>
                <w:rFonts w:hint="default" w:ascii="Times New Roman" w:hAnsi="Times New Roman" w:eastAsia="仿宋" w:cs="Times New Roman"/>
                <w:b w:val="0"/>
                <w:bCs/>
                <w:color w:val="auto"/>
                <w:sz w:val="24"/>
                <w:szCs w:val="24"/>
                <w:highlight w:val="none"/>
                <w:lang w:eastAsia="zh-CN"/>
              </w:rPr>
              <w:t>，</w:t>
            </w:r>
            <w:r>
              <w:rPr>
                <w:rFonts w:hint="default" w:ascii="Times New Roman" w:hAnsi="Times New Roman" w:eastAsia="仿宋" w:cs="Times New Roman"/>
                <w:color w:val="auto"/>
                <w:sz w:val="24"/>
                <w:szCs w:val="24"/>
                <w:highlight w:val="none"/>
              </w:rPr>
              <w:t>油烟废气经过油烟净化处理后通过烟道引至屋顶高空排放</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满足</w:t>
            </w:r>
            <w:r>
              <w:rPr>
                <w:rFonts w:hint="default" w:ascii="Times New Roman" w:hAnsi="Times New Roman" w:eastAsia="仿宋" w:cs="Times New Roman"/>
                <w:color w:val="auto"/>
                <w:sz w:val="24"/>
                <w:szCs w:val="24"/>
                <w:highlight w:val="none"/>
              </w:rPr>
              <w:t>《饮食业油烟排放标准（试行）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（GB18483-2001）油烟最高允许排放浓度≤2mg/m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标准，</w:t>
            </w:r>
            <w:r>
              <w:rPr>
                <w:rFonts w:hint="default" w:ascii="Times New Roman" w:hAnsi="Times New Roman" w:eastAsia="仿宋" w:cs="Times New Roman"/>
                <w:b w:val="0"/>
                <w:bCs/>
                <w:color w:val="auto"/>
                <w:sz w:val="24"/>
                <w:szCs w:val="24"/>
                <w:highlight w:val="none"/>
              </w:rPr>
              <w:t>本项目各生产环节废气治理</w:t>
            </w:r>
            <w:r>
              <w:rPr>
                <w:rFonts w:hint="default" w:ascii="Times New Roman" w:hAnsi="Times New Roman" w:eastAsia="仿宋" w:cs="Times New Roman"/>
                <w:b w:val="0"/>
                <w:bCs/>
                <w:color w:val="auto"/>
                <w:sz w:val="24"/>
                <w:szCs w:val="24"/>
                <w:highlight w:val="none"/>
                <w:lang w:val="en-US" w:eastAsia="zh-CN"/>
              </w:rPr>
              <w:t>措施</w:t>
            </w:r>
            <w:r>
              <w:rPr>
                <w:rFonts w:hint="default" w:ascii="Times New Roman" w:hAnsi="Times New Roman" w:eastAsia="仿宋" w:cs="Times New Roman"/>
                <w:b w:val="0"/>
                <w:bCs/>
                <w:color w:val="auto"/>
                <w:sz w:val="24"/>
                <w:szCs w:val="24"/>
                <w:highlight w:val="none"/>
              </w:rPr>
              <w:t>是可行的</w:t>
            </w:r>
            <w:r>
              <w:rPr>
                <w:rFonts w:hint="default" w:ascii="Times New Roman" w:hAnsi="Times New Roman" w:eastAsia="仿宋" w:cs="Times New Roman"/>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3、水环境影响分析</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firstLine="474" w:firstLineChars="200"/>
              <w:textAlignment w:val="auto"/>
              <w:rPr>
                <w:rFonts w:hint="default" w:ascii="Times New Roman" w:hAnsi="Times New Roman" w:eastAsia="仿宋" w:cs="Times New Roman"/>
                <w:b/>
                <w:bCs/>
                <w:color w:val="auto"/>
                <w:spacing w:val="-2"/>
              </w:rPr>
            </w:pPr>
            <w:r>
              <w:rPr>
                <w:rFonts w:hint="default" w:ascii="Times New Roman" w:hAnsi="Times New Roman" w:eastAsia="仿宋" w:cs="Times New Roman"/>
                <w:b/>
                <w:bCs/>
                <w:color w:val="auto"/>
                <w:spacing w:val="-2"/>
              </w:rPr>
              <w:t>3.1水环境影响分析</w:t>
            </w:r>
          </w:p>
          <w:p>
            <w:pPr>
              <w:pStyle w:val="8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（1）地表水评价等级确定</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rPr>
              <w:t>根据废水来源分析，本项目生产废水主要为降尘用水，经蒸发后，不外排；</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3"/>
              </w:rPr>
              <w:t>，不排入地表水体；因此确定为废水间接排放。根据《环境</w:t>
            </w:r>
            <w:r>
              <w:rPr>
                <w:rFonts w:hint="default" w:ascii="Times New Roman" w:hAnsi="Times New Roman" w:eastAsia="仿宋" w:cs="Times New Roman"/>
                <w:color w:val="auto"/>
                <w:spacing w:val="2"/>
              </w:rPr>
              <w:t>影响评价</w:t>
            </w:r>
            <w:r>
              <w:rPr>
                <w:rFonts w:hint="default" w:ascii="Times New Roman" w:hAnsi="Times New Roman" w:eastAsia="仿宋" w:cs="Times New Roman"/>
                <w:color w:val="auto"/>
                <w:spacing w:val="-1"/>
              </w:rPr>
              <w:t>技术导则地表水环</w:t>
            </w:r>
            <w:r>
              <w:rPr>
                <w:rFonts w:hint="default" w:ascii="Times New Roman" w:hAnsi="Times New Roman" w:eastAsia="仿宋" w:cs="Times New Roman"/>
                <w:color w:val="auto"/>
                <w:kern w:val="2"/>
                <w:sz w:val="24"/>
                <w:szCs w:val="24"/>
                <w:lang w:val="en-US" w:eastAsia="zh-CN" w:bidi="ar-SA"/>
              </w:rPr>
              <w:t>境》中规定，按三级B评价。</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（2）地表水环境影响分析</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1）生产废水</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本项目生产用水主要为开采、生产、堆场、道路等降尘洒水，经矿石吸收、部分自然蒸发，不排放。</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szCs w:val="24"/>
                <w:highlight w:val="none"/>
                <w:lang w:val="en-US" w:eastAsia="zh-CN"/>
              </w:rPr>
              <w:t>砂石料</w:t>
            </w:r>
            <w:r>
              <w:rPr>
                <w:rFonts w:hint="default" w:ascii="Times New Roman" w:hAnsi="Times New Roman" w:eastAsia="仿宋" w:cs="Times New Roman"/>
                <w:color w:val="auto"/>
                <w:sz w:val="24"/>
                <w:szCs w:val="24"/>
                <w:highlight w:val="none"/>
                <w:lang w:val="en-US" w:eastAsia="zh-CN"/>
              </w:rPr>
              <w:t>水洗废水经</w:t>
            </w:r>
            <w:r>
              <w:rPr>
                <w:rFonts w:hint="eastAsia" w:eastAsia="仿宋" w:cs="Times New Roman"/>
                <w:color w:val="auto"/>
                <w:sz w:val="24"/>
                <w:szCs w:val="24"/>
                <w:highlight w:val="none"/>
                <w:lang w:val="en-US" w:eastAsia="zh-CN"/>
              </w:rPr>
              <w:t>防渗沉淀池</w:t>
            </w:r>
            <w:r>
              <w:rPr>
                <w:rFonts w:hint="default" w:ascii="Times New Roman" w:hAnsi="Times New Roman" w:eastAsia="仿宋" w:cs="Times New Roman"/>
                <w:color w:val="auto"/>
                <w:sz w:val="24"/>
                <w:szCs w:val="24"/>
                <w:highlight w:val="none"/>
                <w:lang w:val="en-US" w:eastAsia="zh-CN"/>
              </w:rPr>
              <w:t>可循环利用</w:t>
            </w:r>
            <w:r>
              <w:rPr>
                <w:rFonts w:hint="eastAsia" w:ascii="Times New Roman" w:hAnsi="Times New Roman" w:eastAsia="仿宋" w:cs="Times New Roman"/>
                <w:color w:val="auto"/>
                <w:sz w:val="24"/>
                <w:szCs w:val="24"/>
                <w:highlight w:val="none"/>
                <w:lang w:val="en-US" w:eastAsia="zh-CN"/>
              </w:rPr>
              <w:t>，建设过程中池底及四周应采用混凝土结构，防止水土流失。</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2）生活污水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本项目运营期间产生废水为生活污水，无生产废水产生。本项目生活污水量为1.66m</w:t>
            </w:r>
            <w:r>
              <w:rPr>
                <w:rFonts w:hint="default" w:ascii="Times New Roman" w:hAnsi="Times New Roman" w:eastAsia="仿宋" w:cs="Times New Roman"/>
                <w:color w:val="auto"/>
                <w:kern w:val="2"/>
                <w:sz w:val="24"/>
                <w:szCs w:val="24"/>
                <w:vertAlign w:val="superscript"/>
                <w:lang w:val="en-US" w:eastAsia="zh-CN" w:bidi="ar-SA"/>
              </w:rPr>
              <w:t>3</w:t>
            </w:r>
            <w:r>
              <w:rPr>
                <w:rFonts w:hint="default" w:ascii="Times New Roman" w:hAnsi="Times New Roman" w:eastAsia="仿宋" w:cs="Times New Roman"/>
                <w:color w:val="auto"/>
                <w:kern w:val="2"/>
                <w:sz w:val="24"/>
                <w:szCs w:val="24"/>
                <w:lang w:val="en-US" w:eastAsia="zh-CN" w:bidi="ar-SA"/>
              </w:rPr>
              <w:t>/d（449.28m</w:t>
            </w:r>
            <w:r>
              <w:rPr>
                <w:rFonts w:hint="default" w:ascii="Times New Roman" w:hAnsi="Times New Roman" w:eastAsia="仿宋" w:cs="Times New Roman"/>
                <w:color w:val="auto"/>
                <w:kern w:val="2"/>
                <w:sz w:val="24"/>
                <w:szCs w:val="24"/>
                <w:vertAlign w:val="superscript"/>
                <w:lang w:val="en-US" w:eastAsia="zh-CN" w:bidi="ar-SA"/>
              </w:rPr>
              <w:t>3</w:t>
            </w:r>
            <w:r>
              <w:rPr>
                <w:rFonts w:hint="default" w:ascii="Times New Roman" w:hAnsi="Times New Roman" w:eastAsia="仿宋" w:cs="Times New Roman"/>
                <w:color w:val="auto"/>
                <w:kern w:val="2"/>
                <w:sz w:val="24"/>
                <w:szCs w:val="24"/>
                <w:lang w:val="en-US" w:eastAsia="zh-CN" w:bidi="ar-SA"/>
              </w:rPr>
              <w:t>/a），</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kern w:val="2"/>
                <w:sz w:val="24"/>
                <w:szCs w:val="24"/>
                <w:lang w:val="en-US" w:eastAsia="zh-CN" w:bidi="ar-SA"/>
              </w:rPr>
              <w:t>，对区域水环境基本无影响。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综上，本项目投产运行实现废水零排放，生活污水妥善处理，对区域地表水环境基本无影响。</w:t>
            </w:r>
          </w:p>
          <w:p>
            <w:pPr>
              <w:pStyle w:val="86"/>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 w:cs="Times New Roman"/>
                <w:b/>
                <w:bCs w:val="0"/>
                <w:color w:val="auto"/>
                <w:kern w:val="2"/>
                <w:sz w:val="24"/>
                <w:szCs w:val="24"/>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 w:cs="Times New Roman"/>
                <w:b/>
                <w:bCs w:val="0"/>
                <w:color w:val="auto"/>
                <w:kern w:val="2"/>
                <w:sz w:val="24"/>
                <w:szCs w:val="24"/>
                <w:lang w:val="en-US" w:eastAsia="zh-CN" w:bidi="ar-SA"/>
              </w:rPr>
            </w:pPr>
            <w:r>
              <w:rPr>
                <w:rFonts w:hint="default" w:ascii="Times New Roman" w:hAnsi="Times New Roman" w:eastAsia="仿宋" w:cs="Times New Roman"/>
                <w:b/>
                <w:bCs w:val="0"/>
                <w:color w:val="auto"/>
                <w:kern w:val="2"/>
                <w:sz w:val="24"/>
                <w:szCs w:val="24"/>
                <w:lang w:val="en-US" w:eastAsia="zh-CN" w:bidi="ar-SA"/>
              </w:rPr>
              <w:t>3.2地下水环境影响分析</w:t>
            </w:r>
          </w:p>
          <w:p>
            <w:pPr>
              <w:pStyle w:val="86"/>
              <w:spacing w:before="183" w:line="359" w:lineRule="auto"/>
              <w:ind w:left="0" w:leftChars="0" w:right="103"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根据《环境影响评价技术导则地下水环境》（HJ610-2016）一般性原则和附录A，确定本项目属于J非金属矿采选及制品制造中的第54项，属于Ⅳ类项目，可不开展地下水环境影响评价。</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本项目对区域地下水环境产生的影响主要表现为化粪池污水事故排放渗入地下和废矿物油泄漏渗入地下，如果缺少必要的地下水防护措施或者防护措施不到位，项目在长期的运营过程中，生活污水中的污染物势必会渗透至土壤，穿过包气带，渗入含水层污染地下水。为防止浅层地下水污染，化粪池应采取防渗措施存放废矿物油，防止污水及废矿物油渗漏污染地下水。</w:t>
            </w:r>
          </w:p>
          <w:p>
            <w:pPr>
              <w:pStyle w:val="21"/>
              <w:spacing w:line="360" w:lineRule="auto"/>
              <w:ind w:firstLine="480" w:firstLineChars="200"/>
              <w:jc w:val="both"/>
              <w:rPr>
                <w:rFonts w:hint="eastAsia"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根据本项目矿体普查报告内容</w:t>
            </w:r>
            <w:r>
              <w:rPr>
                <w:rFonts w:hint="eastAsia" w:eastAsia="仿宋" w:cs="Times New Roman"/>
                <w:bCs/>
                <w:color w:val="auto"/>
                <w:kern w:val="2"/>
                <w:sz w:val="24"/>
                <w:szCs w:val="24"/>
                <w:lang w:val="en-US" w:eastAsia="zh-CN" w:bidi="ar-SA"/>
              </w:rPr>
              <w:t>，该矿开采水平高于地下水位，不会对矿体开采造成影响。但由于每年6～8月份偶有暴雨，形成的洪流汇入沟谷排泄，但很快被地表吸收，消失在戈壁滩。</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根据地下水的赋存条件、水理性质，矿床地下水为第四系松散岩类空隙潜水。主要赋存于区内第四系洪积层中，含水层岩性主要为砂砾石、粉砂为主，单位涌水量20-200立方米/天</w:t>
            </w:r>
            <w:r>
              <w:rPr>
                <w:rFonts w:hint="eastAsia" w:eastAsia="仿宋" w:cs="Times New Roman"/>
                <w:bCs/>
                <w:color w:val="auto"/>
                <w:kern w:val="2"/>
                <w:sz w:val="24"/>
                <w:szCs w:val="24"/>
                <w:lang w:val="en-US" w:eastAsia="zh-CN" w:bidi="ar-SA"/>
              </w:rPr>
              <w:t>.</w:t>
            </w:r>
            <w:r>
              <w:rPr>
                <w:rFonts w:hint="default" w:ascii="Times New Roman" w:hAnsi="Times New Roman" w:eastAsia="仿宋" w:cs="Times New Roman"/>
                <w:bCs/>
                <w:color w:val="auto"/>
                <w:kern w:val="2"/>
                <w:sz w:val="24"/>
                <w:szCs w:val="24"/>
                <w:lang w:val="en-US" w:eastAsia="zh-CN" w:bidi="ar-SA"/>
              </w:rPr>
              <w:t>米；</w:t>
            </w:r>
            <w:r>
              <w:rPr>
                <w:rFonts w:hint="eastAsia" w:eastAsia="仿宋" w:cs="Times New Roman"/>
                <w:bCs/>
                <w:color w:val="auto"/>
                <w:kern w:val="2"/>
                <w:sz w:val="24"/>
                <w:szCs w:val="24"/>
                <w:lang w:val="en-US" w:eastAsia="zh-CN" w:bidi="ar-SA"/>
              </w:rPr>
              <w:t>矿区</w:t>
            </w:r>
            <w:r>
              <w:rPr>
                <w:rFonts w:hint="default" w:ascii="Times New Roman" w:hAnsi="Times New Roman" w:eastAsia="仿宋" w:cs="Times New Roman"/>
                <w:bCs/>
                <w:color w:val="auto"/>
                <w:kern w:val="2"/>
                <w:sz w:val="24"/>
                <w:szCs w:val="24"/>
                <w:lang w:val="en-US" w:eastAsia="zh-CN" w:bidi="ar-SA"/>
              </w:rPr>
              <w:t>涌水</w:t>
            </w:r>
            <w:r>
              <w:rPr>
                <w:rFonts w:hint="eastAsia" w:eastAsia="仿宋" w:cs="Times New Roman"/>
                <w:bCs/>
                <w:color w:val="auto"/>
                <w:kern w:val="2"/>
                <w:sz w:val="24"/>
                <w:szCs w:val="24"/>
                <w:lang w:val="en-US" w:eastAsia="zh-CN" w:bidi="ar-SA"/>
              </w:rPr>
              <w:t>经</w:t>
            </w:r>
            <w:r>
              <w:rPr>
                <w:rFonts w:hint="default" w:ascii="Times New Roman" w:hAnsi="Times New Roman" w:eastAsia="仿宋" w:cs="Times New Roman"/>
                <w:bCs/>
                <w:color w:val="auto"/>
                <w:kern w:val="2"/>
                <w:sz w:val="24"/>
                <w:szCs w:val="24"/>
                <w:lang w:val="en-US" w:eastAsia="zh-CN" w:bidi="ar-SA"/>
              </w:rPr>
              <w:t>沉淀池处理后部分用于</w:t>
            </w:r>
            <w:r>
              <w:rPr>
                <w:rFonts w:hint="eastAsia" w:eastAsia="仿宋" w:cs="Times New Roman"/>
                <w:bCs/>
                <w:color w:val="auto"/>
                <w:kern w:val="2"/>
                <w:sz w:val="24"/>
                <w:szCs w:val="24"/>
                <w:lang w:val="en-US" w:eastAsia="zh-CN" w:bidi="ar-SA"/>
              </w:rPr>
              <w:t>矿区</w:t>
            </w:r>
            <w:r>
              <w:rPr>
                <w:rFonts w:hint="default" w:ascii="Times New Roman" w:hAnsi="Times New Roman" w:eastAsia="仿宋" w:cs="Times New Roman"/>
                <w:bCs/>
                <w:color w:val="auto"/>
                <w:kern w:val="2"/>
                <w:sz w:val="24"/>
                <w:szCs w:val="24"/>
                <w:lang w:val="en-US" w:eastAsia="zh-CN" w:bidi="ar-SA"/>
              </w:rPr>
              <w:t>生产，剩余部分外排导流沟</w:t>
            </w:r>
            <w:r>
              <w:rPr>
                <w:rFonts w:hint="eastAsia" w:eastAsia="仿宋" w:cs="Times New Roman"/>
                <w:bCs/>
                <w:color w:val="auto"/>
                <w:kern w:val="2"/>
                <w:sz w:val="24"/>
                <w:szCs w:val="24"/>
                <w:lang w:val="en-US" w:eastAsia="zh-CN" w:bidi="ar-SA"/>
              </w:rPr>
              <w:t>。</w:t>
            </w:r>
          </w:p>
          <w:p>
            <w:pPr>
              <w:pStyle w:val="21"/>
              <w:spacing w:line="360" w:lineRule="auto"/>
              <w:ind w:firstLine="480" w:firstLineChars="200"/>
              <w:jc w:val="both"/>
              <w:rPr>
                <w:rFonts w:hint="default" w:ascii="Times New Roman" w:hAnsi="Times New Roman" w:eastAsia="仿宋" w:cs="Times New Roman"/>
                <w:color w:val="auto"/>
                <w:sz w:val="24"/>
                <w:highlight w:val="yellow"/>
                <w:lang w:eastAsia="zh-CN"/>
              </w:rPr>
            </w:pPr>
            <w:r>
              <w:rPr>
                <w:rFonts w:hint="default" w:ascii="Times New Roman" w:hAnsi="Times New Roman" w:eastAsia="仿宋" w:cs="Times New Roman"/>
                <w:bCs/>
                <w:color w:val="auto"/>
                <w:kern w:val="2"/>
                <w:sz w:val="24"/>
                <w:szCs w:val="24"/>
                <w:lang w:val="en-US" w:eastAsia="zh-CN" w:bidi="ar-SA"/>
              </w:rPr>
              <w:t>综上，本项目投产运行不对区域地下水造成不利影响。</w:t>
            </w:r>
          </w:p>
          <w:p>
            <w:pPr>
              <w:keepNext w:val="0"/>
              <w:keepLines w:val="0"/>
              <w:pageBreakBefore w:val="0"/>
              <w:widowControl w:val="0"/>
              <w:kinsoku/>
              <w:wordWrap/>
              <w:overflowPunct/>
              <w:topLinePunct w:val="0"/>
              <w:autoSpaceDE w:val="0"/>
              <w:autoSpaceDN w:val="0"/>
              <w:bidi w:val="0"/>
              <w:adjustRightInd/>
              <w:snapToGrid/>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4、声环境影响分析</w:t>
            </w:r>
          </w:p>
          <w:p>
            <w:pPr>
              <w:pStyle w:val="5"/>
              <w:keepNext w:val="0"/>
              <w:keepLines w:val="0"/>
              <w:pageBreakBefore w:val="0"/>
              <w:widowControl w:val="0"/>
              <w:kinsoku/>
              <w:wordWrap/>
              <w:overflowPunct/>
              <w:topLinePunct w:val="0"/>
              <w:bidi w:val="0"/>
              <w:adjustRightInd/>
              <w:snapToGrid/>
              <w:spacing w:beforeLines="0" w:afterLines="0"/>
              <w:ind w:firstLine="42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（1）噪声源强分析</w:t>
            </w:r>
          </w:p>
          <w:p>
            <w:pPr>
              <w:keepNext w:val="0"/>
              <w:keepLines w:val="0"/>
              <w:pageBreakBefore w:val="0"/>
              <w:widowControl w:val="0"/>
              <w:kinsoku/>
              <w:wordWrap/>
              <w:overflowPunct/>
              <w:topLinePunct w:val="0"/>
              <w:autoSpaceDE w:val="0"/>
              <w:autoSpaceDN w:val="0"/>
              <w:bidi w:val="0"/>
              <w:adjustRightInd/>
              <w:snapToGrid/>
              <w:ind w:firstLine="420"/>
              <w:jc w:val="left"/>
              <w:textAlignment w:val="auto"/>
              <w:rPr>
                <w:rFonts w:hint="default" w:ascii="Times New Roman" w:hAnsi="Times New Roman" w:eastAsia="仿宋" w:cs="Times New Roman"/>
                <w:color w:val="auto"/>
                <w:kern w:val="0"/>
                <w:sz w:val="24"/>
                <w:szCs w:val="24"/>
                <w:lang w:bidi="zh-CN"/>
              </w:rPr>
            </w:pPr>
            <w:r>
              <w:rPr>
                <w:rFonts w:hint="default" w:ascii="Times New Roman" w:hAnsi="Times New Roman" w:eastAsia="仿宋" w:cs="Times New Roman"/>
                <w:color w:val="auto"/>
                <w:sz w:val="24"/>
                <w:szCs w:val="24"/>
              </w:rPr>
              <w:t>根据本项目工程分析，本项目运营期噪声源为开采作业噪声和运输车辆噪声，</w:t>
            </w:r>
            <w:r>
              <w:rPr>
                <w:rFonts w:hint="default" w:ascii="Times New Roman" w:hAnsi="Times New Roman" w:eastAsia="仿宋" w:cs="Times New Roman"/>
                <w:color w:val="auto"/>
                <w:kern w:val="0"/>
                <w:sz w:val="24"/>
                <w:szCs w:val="24"/>
                <w:lang w:bidi="zh-CN"/>
              </w:rPr>
              <w:t>如挖掘机、洒水车、推土机、运输车辆等设备作业产生的噪声，噪声值在82～90dB（A）之间，均为流动不稳定声源，具体见表4</w:t>
            </w:r>
            <w:r>
              <w:rPr>
                <w:rFonts w:hint="eastAsia" w:eastAsia="仿宋" w:cs="Times New Roman"/>
                <w:color w:val="auto"/>
                <w:kern w:val="0"/>
                <w:sz w:val="24"/>
                <w:szCs w:val="24"/>
                <w:lang w:val="en-US" w:bidi="zh-CN"/>
              </w:rPr>
              <w:t>-8</w:t>
            </w:r>
            <w:r>
              <w:rPr>
                <w:rFonts w:hint="default" w:ascii="Times New Roman" w:hAnsi="Times New Roman" w:eastAsia="仿宋" w:cs="Times New Roman"/>
                <w:color w:val="auto"/>
                <w:kern w:val="0"/>
                <w:sz w:val="24"/>
                <w:szCs w:val="24"/>
                <w:lang w:bidi="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表4-</w:t>
            </w:r>
            <w:r>
              <w:rPr>
                <w:rFonts w:hint="eastAsia" w:eastAsia="仿宋" w:cs="Times New Roman"/>
                <w:b/>
                <w:color w:val="auto"/>
                <w:kern w:val="0"/>
                <w:sz w:val="21"/>
                <w:szCs w:val="21"/>
                <w:highlight w:val="none"/>
                <w:lang w:val="en-US" w:eastAsia="zh-CN"/>
              </w:rPr>
              <w:t>8</w:t>
            </w:r>
            <w:r>
              <w:rPr>
                <w:rFonts w:hint="default" w:ascii="Times New Roman" w:hAnsi="Times New Roman" w:eastAsia="仿宋" w:cs="Times New Roman"/>
                <w:b/>
                <w:color w:val="auto"/>
                <w:kern w:val="0"/>
                <w:sz w:val="21"/>
                <w:szCs w:val="21"/>
                <w:highlight w:val="none"/>
              </w:rPr>
              <w:t>运营期噪声值统计表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9"/>
              <w:gridCol w:w="1675"/>
              <w:gridCol w:w="871"/>
              <w:gridCol w:w="1386"/>
              <w:gridCol w:w="36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1002"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声源</w:t>
                  </w:r>
                </w:p>
              </w:tc>
              <w:tc>
                <w:tcPr>
                  <w:tcW w:w="521"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噪声值dB（A）</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噪声减缓措施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1</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挖掘机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2</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2</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en-US" w:bidi="zh-CN"/>
                    </w:rPr>
                    <w:t>装载机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val="en-US" w:bidi="zh-CN"/>
                    </w:rPr>
                    <w:t>2</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3</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运输车辆</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zh-CN" w:bidi="zh-CN"/>
                    </w:rPr>
                  </w:pPr>
                  <w:r>
                    <w:rPr>
                      <w:rFonts w:hint="eastAsia" w:eastAsia="仿宋" w:cs="Times New Roman"/>
                      <w:color w:val="auto"/>
                      <w:kern w:val="0"/>
                      <w:sz w:val="21"/>
                      <w:szCs w:val="21"/>
                      <w:highlight w:val="none"/>
                      <w:lang w:val="en-US" w:bidi="zh-CN"/>
                    </w:rPr>
                    <w:t>2</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sz w:val="21"/>
                      <w:szCs w:val="21"/>
                      <w:highlight w:val="none"/>
                    </w:rPr>
                    <w:t>4</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bidi="zh-CN"/>
                    </w:rPr>
                  </w:pPr>
                  <w:r>
                    <w:rPr>
                      <w:rFonts w:hint="eastAsia" w:ascii="Times New Roman" w:eastAsia="仿宋" w:cs="Times New Roman"/>
                      <w:b w:val="0"/>
                      <w:color w:val="auto"/>
                      <w:sz w:val="21"/>
                      <w:szCs w:val="21"/>
                      <w:highlight w:val="none"/>
                      <w:lang w:val="en-US" w:bidi="zh-CN"/>
                    </w:rPr>
                    <w:t>筛分机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en-US" w:bidi="zh-CN"/>
                    </w:rPr>
                  </w:pPr>
                  <w:r>
                    <w:rPr>
                      <w:rFonts w:hint="eastAsia" w:eastAsia="仿宋" w:cs="Times New Roman"/>
                      <w:color w:val="auto"/>
                      <w:kern w:val="0"/>
                      <w:sz w:val="21"/>
                      <w:szCs w:val="21"/>
                      <w:highlight w:val="none"/>
                      <w:lang w:val="en-US"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85</w:t>
                  </w:r>
                </w:p>
              </w:tc>
              <w:tc>
                <w:tcPr>
                  <w:tcW w:w="2155" w:type="pct"/>
                  <w:vAlign w:val="center"/>
                </w:tcPr>
                <w:p>
                  <w:pPr>
                    <w:adjustRightInd/>
                    <w:snapToGrid/>
                    <w:spacing w:line="240" w:lineRule="auto"/>
                    <w:ind w:firstLine="420" w:firstLineChars="200"/>
                    <w:jc w:val="center"/>
                    <w:rPr>
                      <w:rFonts w:hint="eastAsia"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sz w:val="21"/>
                      <w:szCs w:val="21"/>
                      <w:highlight w:val="none"/>
                    </w:rPr>
                    <w:t>5</w:t>
                  </w:r>
                </w:p>
              </w:tc>
              <w:tc>
                <w:tcPr>
                  <w:tcW w:w="1002" w:type="pct"/>
                  <w:vAlign w:val="center"/>
                </w:tcPr>
                <w:p>
                  <w:pPr>
                    <w:pStyle w:val="43"/>
                    <w:spacing w:beforeLines="0" w:afterLines="0" w:line="240" w:lineRule="auto"/>
                    <w:ind w:firstLine="0" w:firstLineChars="0"/>
                    <w:rPr>
                      <w:rFonts w:hint="eastAsia" w:ascii="Times New Roman" w:eastAsia="仿宋" w:cs="Times New Roman"/>
                      <w:b w:val="0"/>
                      <w:color w:val="auto"/>
                      <w:sz w:val="21"/>
                      <w:szCs w:val="21"/>
                      <w:highlight w:val="none"/>
                      <w:lang w:val="en-US" w:bidi="zh-CN"/>
                    </w:rPr>
                  </w:pPr>
                  <w:r>
                    <w:rPr>
                      <w:rFonts w:hint="default" w:ascii="Times New Roman" w:hAnsi="Times New Roman" w:eastAsia="仿宋" w:cs="Times New Roman"/>
                      <w:b w:val="0"/>
                      <w:bCs w:val="0"/>
                      <w:i w:val="0"/>
                      <w:iCs w:val="0"/>
                      <w:color w:val="auto"/>
                      <w:kern w:val="0"/>
                      <w:sz w:val="21"/>
                      <w:szCs w:val="21"/>
                      <w:highlight w:val="none"/>
                      <w:u w:val="none"/>
                      <w:lang w:val="en-US" w:eastAsia="zh-CN" w:bidi="ar"/>
                    </w:rPr>
                    <w:t>洗砂机</w:t>
                  </w:r>
                </w:p>
              </w:tc>
              <w:tc>
                <w:tcPr>
                  <w:tcW w:w="521" w:type="pct"/>
                  <w:vAlign w:val="center"/>
                </w:tcPr>
                <w:p>
                  <w:pPr>
                    <w:autoSpaceDE w:val="0"/>
                    <w:autoSpaceDN w:val="0"/>
                    <w:spacing w:line="240" w:lineRule="auto"/>
                    <w:ind w:firstLine="0" w:firstLineChars="0"/>
                    <w:jc w:val="center"/>
                    <w:rPr>
                      <w:rFonts w:hint="default" w:eastAsia="仿宋" w:cs="Times New Roman"/>
                      <w:color w:val="auto"/>
                      <w:kern w:val="0"/>
                      <w:sz w:val="21"/>
                      <w:szCs w:val="21"/>
                      <w:highlight w:val="none"/>
                      <w:lang w:val="en-US" w:bidi="zh-CN"/>
                    </w:rPr>
                  </w:pPr>
                  <w:r>
                    <w:rPr>
                      <w:rFonts w:hint="eastAsia" w:eastAsia="仿宋" w:cs="Times New Roman"/>
                      <w:color w:val="auto"/>
                      <w:kern w:val="0"/>
                      <w:sz w:val="21"/>
                      <w:szCs w:val="21"/>
                      <w:highlight w:val="none"/>
                      <w:lang w:val="en-US"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85</w:t>
                  </w:r>
                </w:p>
              </w:tc>
              <w:tc>
                <w:tcPr>
                  <w:tcW w:w="2155" w:type="pct"/>
                  <w:vAlign w:val="center"/>
                </w:tcPr>
                <w:p>
                  <w:pPr>
                    <w:adjustRightInd/>
                    <w:snapToGrid/>
                    <w:spacing w:line="240" w:lineRule="auto"/>
                    <w:ind w:firstLine="420" w:firstLineChars="2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eastAsia" w:ascii="Times New Roman" w:hAnsi="Times New Roman" w:eastAsia="仿宋" w:cs="Times New Roman"/>
                      <w:b w:val="0"/>
                      <w:color w:val="auto"/>
                      <w:sz w:val="21"/>
                      <w:szCs w:val="21"/>
                      <w:highlight w:val="none"/>
                      <w:lang w:val="en-US" w:eastAsia="zh-CN"/>
                    </w:rPr>
                  </w:pPr>
                  <w:r>
                    <w:rPr>
                      <w:rFonts w:hint="eastAsia" w:ascii="Times New Roman" w:eastAsia="仿宋" w:cs="Times New Roman"/>
                      <w:b w:val="0"/>
                      <w:color w:val="auto"/>
                      <w:sz w:val="21"/>
                      <w:szCs w:val="21"/>
                      <w:highlight w:val="none"/>
                      <w:lang w:val="en-US" w:eastAsia="zh-CN"/>
                    </w:rPr>
                    <w:t>6</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洒水车</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限制车速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eastAsia" w:ascii="Times New Roman" w:hAnsi="Times New Roman" w:eastAsia="仿宋" w:cs="Times New Roman"/>
                      <w:b w:val="0"/>
                      <w:color w:val="auto"/>
                      <w:sz w:val="21"/>
                      <w:szCs w:val="21"/>
                      <w:highlight w:val="none"/>
                      <w:lang w:val="en-US" w:eastAsia="zh-CN"/>
                    </w:rPr>
                  </w:pPr>
                  <w:r>
                    <w:rPr>
                      <w:rFonts w:hint="eastAsia" w:ascii="Times New Roman" w:eastAsia="仿宋" w:cs="Times New Roman"/>
                      <w:b w:val="0"/>
                      <w:color w:val="auto"/>
                      <w:sz w:val="21"/>
                      <w:szCs w:val="21"/>
                      <w:highlight w:val="none"/>
                      <w:lang w:val="en-US" w:eastAsia="zh-CN"/>
                    </w:rPr>
                    <w:t>7</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雾炮机</w:t>
                  </w:r>
                </w:p>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（可移动）</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2</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减震</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Lines="0"/>
              <w:ind w:firstLine="420"/>
              <w:textAlignment w:val="auto"/>
              <w:rPr>
                <w:rFonts w:hint="default" w:ascii="Times New Roman" w:hAnsi="Times New Roman" w:eastAsia="仿宋" w:cs="Times New Roman"/>
                <w:b w:val="0"/>
                <w:bCs w:val="0"/>
                <w:snapToGrid w:val="0"/>
                <w:color w:val="auto"/>
                <w:sz w:val="24"/>
                <w:szCs w:val="24"/>
                <w:highlight w:val="none"/>
              </w:rPr>
            </w:pPr>
            <w:r>
              <w:rPr>
                <w:rFonts w:hint="default" w:ascii="Times New Roman" w:hAnsi="Times New Roman" w:eastAsia="仿宋" w:cs="Times New Roman"/>
                <w:b w:val="0"/>
                <w:bCs w:val="0"/>
                <w:snapToGrid w:val="0"/>
                <w:color w:val="auto"/>
                <w:sz w:val="24"/>
                <w:szCs w:val="24"/>
                <w:highlight w:val="none"/>
              </w:rPr>
              <w:t>（2）噪声污染预测</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影响噪声从声源到关心点的传播途径特性的主要因素有：距离衰减、建筑围护结构和遮挡物引起的衰减，各种介质的吸收与反射等。根据采取的治理措施和围护结构的降噪效果，采用《环境影响评价技术导则声环境》（HJ2.4-2021）推荐的工业噪声预测模式，预测本工程对周围声环境的影响。</w:t>
            </w:r>
          </w:p>
          <w:p>
            <w:pPr>
              <w:ind w:firstLine="42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采用《环境影响评价技术导则声环境》（HJ2.4-2021）预测模式</w:t>
            </w:r>
            <w:r>
              <w:rPr>
                <w:rFonts w:hint="default" w:ascii="Times New Roman" w:hAnsi="Times New Roman" w:eastAsia="仿宋" w:cs="Times New Roman"/>
                <w:color w:val="auto"/>
                <w:sz w:val="24"/>
                <w:szCs w:val="24"/>
                <w:highlight w:val="none"/>
                <w:lang w:eastAsia="zh-CN"/>
              </w:rPr>
              <w:t>：</w:t>
            </w:r>
          </w:p>
          <w:p>
            <w:pPr>
              <w:ind w:firstLine="42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p>
          <w:p>
            <w:pPr>
              <w:ind w:firstLine="42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kern w:val="0"/>
                <w:sz w:val="24"/>
                <w:szCs w:val="24"/>
                <w:highlight w:val="none"/>
              </w:rPr>
              <w:t>为距声源r处的A声级；</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kern w:val="0"/>
                <w:sz w:val="24"/>
                <w:szCs w:val="24"/>
                <w:highlight w:val="none"/>
              </w:rPr>
              <w:t>为参考位置r0的A声级；</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为指向性校正，它描述点声源的等效连续声压级与产生声功率级Lw的全向点声源在规定方向的声级的偏差程度，dB，取0；</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rPr>
              <w:t>为声波几何发散引起的A声级衰减量；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rPr>
              <w:t>为大气吸收引起的A声级衰减量；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rPr>
              <w:t>为地面效应引起的A声级衰减量；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rPr>
              <w:t>为声屏障引起的A声级衰减量；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r>
              <w:rPr>
                <w:rFonts w:hint="default" w:ascii="Times New Roman" w:hAnsi="Times New Roman" w:eastAsia="仿宋" w:cs="Times New Roman"/>
                <w:color w:val="auto"/>
                <w:kern w:val="0"/>
                <w:sz w:val="24"/>
                <w:szCs w:val="24"/>
                <w:highlight w:val="none"/>
              </w:rPr>
              <w:t>为其他多方面效应引起的A声级衰减量。</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由于工业场地平整后地势较平坦，为保守起见，并根据工程特点，本次预测仅考虑噪声随距离的衰减，未考虑地面效应、大气吸收和其他多方面效应引起的A声级衰减量，仅考虑Adiv的衰减量，来预测本工程主要噪声源对周围声环境的影响几何发散引起的A声级衰减量的计算公式如下：</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vertAlign w:val="baseline"/>
                <w:lang w:val="en-US" w:eastAsia="zh-CN"/>
              </w:rPr>
              <w:t>=</w:t>
            </w:r>
            <w:r>
              <w:rPr>
                <w:rFonts w:hint="default" w:ascii="Times New Roman" w:hAnsi="Times New Roman" w:eastAsia="仿宋" w:cs="Times New Roman"/>
                <w:color w:val="auto"/>
                <w:kern w:val="0"/>
                <w:sz w:val="24"/>
                <w:szCs w:val="24"/>
                <w:highlight w:val="none"/>
              </w:rPr>
              <w:t>20lg（</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vertAlign w:val="subscript"/>
              </w:rPr>
              <w:t>0</w:t>
            </w:r>
            <w:r>
              <w:rPr>
                <w:rFonts w:hint="default" w:ascii="Times New Roman" w:hAnsi="Times New Roman" w:eastAsia="仿宋" w:cs="Times New Roman"/>
                <w:color w:val="auto"/>
                <w:kern w:val="0"/>
                <w:sz w:val="24"/>
                <w:szCs w:val="24"/>
                <w:highlight w:val="none"/>
              </w:rPr>
              <w:t>）</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对多个声源同时存在时，其总A声级用下式计算：</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highlight w:val="none"/>
              </w:rPr>
              <w:drawing>
                <wp:inline distT="0" distB="0" distL="114300" distR="114300">
                  <wp:extent cx="1252855" cy="367665"/>
                  <wp:effectExtent l="0" t="0" r="4445" b="133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2"/>
                          <a:stretch>
                            <a:fillRect/>
                          </a:stretch>
                        </pic:blipFill>
                        <pic:spPr>
                          <a:xfrm>
                            <a:off x="0" y="0"/>
                            <a:ext cx="1252855" cy="367665"/>
                          </a:xfrm>
                          <a:prstGeom prst="rect">
                            <a:avLst/>
                          </a:prstGeom>
                          <a:noFill/>
                          <a:ln>
                            <a:noFill/>
                          </a:ln>
                        </pic:spPr>
                      </pic:pic>
                    </a:graphicData>
                  </a:graphic>
                </wp:inline>
              </w:drawing>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式中：Leqg为本工程声源在预测点的等效声级贡献值，dB（A）；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L</w:t>
            </w:r>
            <w:r>
              <w:rPr>
                <w:rFonts w:hint="default" w:ascii="Times New Roman" w:hAnsi="Times New Roman" w:eastAsia="仿宋" w:cs="Times New Roman"/>
                <w:color w:val="auto"/>
                <w:sz w:val="24"/>
                <w:szCs w:val="24"/>
                <w:highlight w:val="none"/>
                <w:vertAlign w:val="subscript"/>
              </w:rPr>
              <w:t>Ai</w:t>
            </w:r>
            <w:r>
              <w:rPr>
                <w:rFonts w:hint="default" w:ascii="Times New Roman" w:hAnsi="Times New Roman" w:eastAsia="仿宋" w:cs="Times New Roman"/>
                <w:color w:val="auto"/>
                <w:sz w:val="24"/>
                <w:szCs w:val="24"/>
                <w:highlight w:val="none"/>
              </w:rPr>
              <w:t>为i声源在预测点产生的A声级，dB（A）；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T预测计算的时间段，s；</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w:t>
            </w:r>
            <w:r>
              <w:rPr>
                <w:rFonts w:hint="default" w:ascii="Times New Roman" w:hAnsi="Times New Roman" w:eastAsia="仿宋" w:cs="Times New Roman"/>
                <w:color w:val="auto"/>
                <w:sz w:val="24"/>
                <w:szCs w:val="24"/>
                <w:highlight w:val="none"/>
                <w:vertAlign w:val="subscript"/>
              </w:rPr>
              <w:t>i</w:t>
            </w:r>
            <w:r>
              <w:rPr>
                <w:rFonts w:hint="default" w:ascii="Times New Roman" w:hAnsi="Times New Roman" w:eastAsia="仿宋" w:cs="Times New Roman"/>
                <w:color w:val="auto"/>
                <w:sz w:val="24"/>
                <w:szCs w:val="24"/>
                <w:highlight w:val="none"/>
              </w:rPr>
              <w:t>为i声源在T时段内的运行时间，s。</w:t>
            </w:r>
          </w:p>
          <w:p>
            <w:pPr>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预测结果与评价</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根据本工程厂内主要噪声源的位置和噪声级，采用上述预测方法与预测模式选择对东、北、西、南厂界进行预测。具体预测结果见表</w:t>
            </w:r>
            <w:r>
              <w:rPr>
                <w:rFonts w:hint="default" w:ascii="Times New Roman" w:hAnsi="Times New Roman" w:eastAsia="仿宋" w:cs="Times New Roman"/>
                <w:color w:val="auto"/>
                <w:sz w:val="24"/>
                <w:szCs w:val="24"/>
                <w:highlight w:val="none"/>
                <w:lang w:val="en-US" w:eastAsia="zh-CN"/>
              </w:rPr>
              <w:t>4-</w:t>
            </w:r>
            <w:r>
              <w:rPr>
                <w:rFonts w:hint="eastAsia"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val="en-US" w:eastAsia="zh-CN"/>
              </w:rPr>
              <w:t>表4-</w:t>
            </w:r>
            <w:r>
              <w:rPr>
                <w:rFonts w:hint="eastAsia" w:eastAsia="仿宋" w:cs="Times New Roman"/>
                <w:b/>
                <w:color w:val="auto"/>
                <w:kern w:val="0"/>
                <w:sz w:val="21"/>
                <w:szCs w:val="21"/>
                <w:highlight w:val="none"/>
                <w:lang w:val="en-US" w:eastAsia="zh-CN"/>
              </w:rPr>
              <w:t>9</w:t>
            </w:r>
            <w:r>
              <w:rPr>
                <w:rFonts w:hint="default" w:ascii="Times New Roman" w:hAnsi="Times New Roman" w:eastAsia="仿宋" w:cs="Times New Roman"/>
                <w:b/>
                <w:color w:val="auto"/>
                <w:kern w:val="0"/>
                <w:sz w:val="21"/>
                <w:szCs w:val="21"/>
                <w:highlight w:val="none"/>
                <w:lang w:val="en-US" w:eastAsia="zh-CN"/>
              </w:rPr>
              <w:t>厂界噪声贡献值预测结果</w:t>
            </w:r>
          </w:p>
          <w:tbl>
            <w:tblPr>
              <w:tblStyle w:val="2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1671"/>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预测点</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时段</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贡献值dB（A）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标准值dB（A）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东厂界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38.7</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37.2</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37.6</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36.3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西厂界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38.3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36.9</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39.8</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38.6</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由</w:t>
            </w:r>
            <w:r>
              <w:rPr>
                <w:rFonts w:hint="eastAsia" w:ascii="Times New Roman" w:hAnsi="Times New Roman" w:eastAsia="仿宋" w:cs="Times New Roman"/>
                <w:color w:val="auto"/>
                <w:sz w:val="24"/>
                <w:szCs w:val="24"/>
                <w:highlight w:val="none"/>
                <w:lang w:val="en-US" w:eastAsia="zh-CN"/>
              </w:rPr>
              <w:t>上表</w:t>
            </w:r>
            <w:r>
              <w:rPr>
                <w:rFonts w:hint="default" w:ascii="Times New Roman" w:hAnsi="Times New Roman" w:eastAsia="仿宋" w:cs="Times New Roman"/>
                <w:color w:val="auto"/>
                <w:sz w:val="24"/>
                <w:szCs w:val="24"/>
                <w:highlight w:val="none"/>
              </w:rPr>
              <w:t>可知，项目场界噪声可满足《工业企业厂界环境噪声排放标准》（GB12348-2008）2类标准。</w:t>
            </w:r>
          </w:p>
          <w:p>
            <w:pPr>
              <w:overflowPunct w:val="0"/>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5、固体废物环境影响分析</w:t>
            </w:r>
          </w:p>
          <w:p>
            <w:pPr>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本项目运营期间产生固体废物主要是筛选产生的废砂石</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生活垃圾及</w:t>
            </w:r>
            <w:r>
              <w:rPr>
                <w:rFonts w:hint="default" w:ascii="Times New Roman" w:hAnsi="Times New Roman" w:eastAsia="仿宋" w:cs="Times New Roman"/>
                <w:color w:val="auto"/>
                <w:sz w:val="24"/>
                <w:szCs w:val="24"/>
                <w:lang w:eastAsia="zh-CN"/>
              </w:rPr>
              <w:t>矿山设备运行维护过程会产生废机油，</w:t>
            </w:r>
            <w:r>
              <w:rPr>
                <w:rFonts w:hint="default" w:ascii="Times New Roman" w:hAnsi="Times New Roman" w:eastAsia="仿宋" w:cs="Times New Roman"/>
                <w:color w:val="auto"/>
                <w:sz w:val="24"/>
                <w:szCs w:val="24"/>
                <w:lang w:val="en-US" w:eastAsia="zh-CN"/>
              </w:rPr>
              <w:t>具体分析如下：</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5"/>
              </w:rPr>
              <w:t>（</w:t>
            </w:r>
            <w:r>
              <w:rPr>
                <w:rFonts w:hint="default" w:ascii="Times New Roman" w:hAnsi="Times New Roman" w:eastAsia="仿宋" w:cs="Times New Roman"/>
                <w:color w:val="auto"/>
                <w:spacing w:val="-5"/>
                <w:lang w:val="en-US" w:eastAsia="zh-CN"/>
              </w:rPr>
              <w:t>1</w:t>
            </w:r>
            <w:r>
              <w:rPr>
                <w:rFonts w:hint="default" w:ascii="Times New Roman" w:hAnsi="Times New Roman" w:eastAsia="仿宋" w:cs="Times New Roman"/>
                <w:color w:val="auto"/>
                <w:spacing w:val="-5"/>
              </w:rPr>
              <w:t>）废砂石</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本项目矿体直接出露，上无覆盖层</w:t>
            </w:r>
            <w:r>
              <w:rPr>
                <w:rFonts w:hint="eastAsia" w:ascii="Times New Roman" w:hAnsi="Times New Roman" w:eastAsia="仿宋" w:cs="Times New Roman"/>
                <w:color w:val="auto"/>
                <w:spacing w:val="3"/>
                <w:lang w:eastAsia="zh-CN"/>
              </w:rPr>
              <w:t>，</w:t>
            </w:r>
            <w:r>
              <w:rPr>
                <w:rFonts w:hint="eastAsia" w:ascii="Times New Roman" w:hAnsi="Times New Roman" w:eastAsia="仿宋" w:cs="Times New Roman"/>
                <w:color w:val="auto"/>
                <w:spacing w:val="3"/>
                <w:lang w:val="en-US" w:eastAsia="zh-CN"/>
              </w:rPr>
              <w:t>无需进行表土剥离。</w:t>
            </w:r>
            <w:r>
              <w:rPr>
                <w:rFonts w:hint="default" w:ascii="Times New Roman" w:hAnsi="Times New Roman" w:eastAsia="仿宋" w:cs="Times New Roman"/>
                <w:color w:val="auto"/>
                <w:spacing w:val="3"/>
              </w:rPr>
              <w:t>废料主要产生筛分过程</w:t>
            </w:r>
            <w:r>
              <w:rPr>
                <w:rFonts w:hint="default" w:ascii="Times New Roman" w:hAnsi="Times New Roman" w:eastAsia="仿宋" w:cs="Times New Roman"/>
                <w:color w:val="auto"/>
                <w:spacing w:val="3"/>
                <w:lang w:val="en-US" w:eastAsia="zh-CN"/>
              </w:rPr>
              <w:t>产生废料</w:t>
            </w:r>
            <w:r>
              <w:rPr>
                <w:rFonts w:hint="default" w:ascii="Times New Roman" w:hAnsi="Times New Roman" w:eastAsia="仿宋" w:cs="Times New Roman"/>
                <w:color w:val="auto"/>
                <w:spacing w:val="3"/>
              </w:rPr>
              <w:t>，废料成分主要为不符合成品粒度要求的石块、泥土等，是砂石筛分生产过程不合格固体、沉淀池泥沙，均为一般固体废物</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lang w:val="en-US" w:eastAsia="zh-CN"/>
              </w:rPr>
              <w:t>根据项目开发利用与生态保护修复方案可知，矿石可利用率为76%</w:t>
            </w: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则</w:t>
            </w:r>
            <w:r>
              <w:rPr>
                <w:rFonts w:hint="default" w:ascii="Times New Roman" w:hAnsi="Times New Roman" w:eastAsia="仿宋" w:cs="Times New Roman"/>
                <w:color w:val="auto"/>
                <w:spacing w:val="-5"/>
              </w:rPr>
              <w:t>废料</w:t>
            </w:r>
            <w:r>
              <w:rPr>
                <w:rFonts w:hint="default" w:ascii="Times New Roman" w:hAnsi="Times New Roman" w:eastAsia="仿宋" w:cs="Times New Roman"/>
                <w:color w:val="auto"/>
                <w:spacing w:val="-5"/>
                <w:lang w:val="en-US" w:eastAsia="zh-CN"/>
              </w:rPr>
              <w:t>约</w:t>
            </w:r>
            <w:r>
              <w:rPr>
                <w:rFonts w:hint="eastAsia" w:ascii="Times New Roman" w:hAnsi="Times New Roman" w:eastAsia="仿宋" w:cs="Times New Roman"/>
                <w:color w:val="auto"/>
                <w:spacing w:val="-5"/>
                <w:lang w:val="en-US" w:eastAsia="zh-CN"/>
              </w:rPr>
              <w:t>9.6</w:t>
            </w:r>
            <w:r>
              <w:rPr>
                <w:rFonts w:hint="default" w:ascii="Times New Roman" w:hAnsi="Times New Roman" w:eastAsia="仿宋" w:cs="Times New Roman"/>
                <w:color w:val="auto"/>
                <w:spacing w:val="-5"/>
                <w:lang w:val="en-US" w:eastAsia="zh-CN"/>
              </w:rPr>
              <w:t>万m</w:t>
            </w:r>
            <w:r>
              <w:rPr>
                <w:rFonts w:hint="default" w:ascii="Times New Roman" w:hAnsi="Times New Roman" w:eastAsia="仿宋" w:cs="Times New Roman"/>
                <w:color w:val="auto"/>
                <w:spacing w:val="-5"/>
                <w:vertAlign w:val="superscript"/>
                <w:lang w:val="en-US" w:eastAsia="zh-CN"/>
              </w:rPr>
              <w:t>3</w:t>
            </w:r>
            <w:r>
              <w:rPr>
                <w:rFonts w:hint="default" w:ascii="Times New Roman" w:hAnsi="Times New Roman" w:eastAsia="仿宋" w:cs="Times New Roman"/>
                <w:color w:val="auto"/>
                <w:spacing w:val="-5"/>
                <w:lang w:val="en-US" w:eastAsia="zh-CN"/>
              </w:rPr>
              <w:t>/a，</w:t>
            </w:r>
            <w:r>
              <w:rPr>
                <w:rFonts w:hint="default" w:ascii="Times New Roman" w:hAnsi="Times New Roman" w:eastAsia="仿宋" w:cs="Times New Roman"/>
                <w:color w:val="auto"/>
                <w:spacing w:val="3"/>
              </w:rPr>
              <w:t>堆</w:t>
            </w:r>
            <w:r>
              <w:rPr>
                <w:rFonts w:hint="default" w:ascii="Times New Roman" w:hAnsi="Times New Roman" w:eastAsia="仿宋" w:cs="Times New Roman"/>
                <w:color w:val="auto"/>
                <w:spacing w:val="-1"/>
              </w:rPr>
              <w:t>放于</w:t>
            </w:r>
            <w:r>
              <w:rPr>
                <w:rFonts w:hint="eastAsia" w:ascii="Times New Roman" w:hAnsi="Times New Roman" w:eastAsia="仿宋" w:cs="Times New Roman"/>
                <w:color w:val="auto"/>
                <w:spacing w:val="-1"/>
                <w:lang w:val="en-US" w:eastAsia="zh-CN"/>
              </w:rPr>
              <w:t>排土场</w:t>
            </w:r>
            <w:r>
              <w:rPr>
                <w:rFonts w:hint="default" w:ascii="Times New Roman" w:hAnsi="Times New Roman" w:eastAsia="仿宋" w:cs="Times New Roman"/>
                <w:color w:val="auto"/>
                <w:spacing w:val="-1"/>
              </w:rPr>
              <w:t>，后期用于回填。</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lang w:val="en-US" w:eastAsia="zh-CN"/>
              </w:rPr>
              <w:t>2</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生活垃圾</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rPr>
              <w:t>项目职工</w:t>
            </w:r>
            <w:r>
              <w:rPr>
                <w:rFonts w:hint="default" w:ascii="Times New Roman" w:hAnsi="Times New Roman" w:eastAsia="仿宋" w:cs="Times New Roman"/>
                <w:color w:val="auto"/>
                <w:spacing w:val="-3"/>
                <w:lang w:val="en-US" w:eastAsia="zh-CN"/>
              </w:rPr>
              <w:t>26</w:t>
            </w:r>
            <w:r>
              <w:rPr>
                <w:rFonts w:hint="default" w:ascii="Times New Roman" w:hAnsi="Times New Roman" w:eastAsia="仿宋" w:cs="Times New Roman"/>
                <w:color w:val="auto"/>
                <w:spacing w:val="-3"/>
              </w:rPr>
              <w:t>人，按每人每天产生0.5kg生活垃圾计算，生活</w:t>
            </w:r>
            <w:r>
              <w:rPr>
                <w:rFonts w:hint="default" w:ascii="Times New Roman" w:hAnsi="Times New Roman" w:eastAsia="仿宋" w:cs="Times New Roman"/>
                <w:color w:val="auto"/>
                <w:spacing w:val="-4"/>
              </w:rPr>
              <w:t>垃圾的产生</w:t>
            </w:r>
            <w:r>
              <w:rPr>
                <w:rFonts w:hint="default" w:ascii="Times New Roman" w:hAnsi="Times New Roman" w:eastAsia="仿宋" w:cs="Times New Roman"/>
                <w:color w:val="auto"/>
                <w:spacing w:val="-3"/>
              </w:rPr>
              <w:t>量约为</w:t>
            </w:r>
            <w:r>
              <w:rPr>
                <w:rFonts w:hint="default" w:ascii="Times New Roman" w:hAnsi="Times New Roman" w:eastAsia="仿宋" w:cs="Times New Roman"/>
                <w:color w:val="auto"/>
                <w:spacing w:val="-3"/>
                <w:lang w:val="en-US" w:eastAsia="zh-CN"/>
              </w:rPr>
              <w:t>3.51</w:t>
            </w:r>
            <w:r>
              <w:rPr>
                <w:rFonts w:hint="default" w:ascii="Times New Roman" w:hAnsi="Times New Roman" w:eastAsia="仿宋" w:cs="Times New Roman"/>
                <w:color w:val="auto"/>
                <w:spacing w:val="-3"/>
              </w:rPr>
              <w:t>t/a。所产生的生活垃圾集</w:t>
            </w:r>
            <w:r>
              <w:rPr>
                <w:rFonts w:hint="default" w:ascii="Times New Roman" w:hAnsi="Times New Roman" w:eastAsia="仿宋" w:cs="Times New Roman"/>
                <w:color w:val="auto"/>
                <w:spacing w:val="-4"/>
              </w:rPr>
              <w:t>中收集后，定期运至生活垃圾填埋场，</w:t>
            </w:r>
            <w:r>
              <w:rPr>
                <w:rFonts w:hint="default" w:ascii="Times New Roman" w:hAnsi="Times New Roman" w:eastAsia="仿宋" w:cs="Times New Roman"/>
                <w:color w:val="auto"/>
                <w:spacing w:val="-2"/>
              </w:rPr>
              <w:t>再统一清运处置。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（3）沉淀池污泥：根据项目开发利用方案可知，沉淀池污泥产生量为9.3t/a，一般固废900-099-S07，环评提出防渗沉淀池的泥沙自然风干后定期回填至采坑。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val="en-US" w:eastAsia="zh-CN"/>
              </w:rPr>
              <w:t>）废机油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本项目生产过程中使用的机械设备需定期更换润滑油以保证设备正常 运转，预计每年需更换润滑油</w:t>
            </w:r>
            <w:r>
              <w:rPr>
                <w:rFonts w:hint="default" w:ascii="Times New Roman" w:hAnsi="Times New Roman" w:eastAsia="仿宋" w:cs="Times New Roman"/>
                <w:color w:val="auto"/>
                <w:sz w:val="24"/>
                <w:szCs w:val="24"/>
                <w:highlight w:val="none"/>
                <w:lang w:val="en-US" w:eastAsia="zh-CN"/>
              </w:rPr>
              <w:t>0.</w:t>
            </w:r>
            <w:r>
              <w:rPr>
                <w:rFonts w:hint="eastAsia" w:eastAsia="仿宋" w:cs="Times New Roman"/>
                <w:color w:val="auto"/>
                <w:sz w:val="24"/>
                <w:szCs w:val="24"/>
                <w:highlight w:val="none"/>
                <w:lang w:val="en-US" w:eastAsia="zh-CN"/>
              </w:rPr>
              <w:t>48</w:t>
            </w:r>
            <w:r>
              <w:rPr>
                <w:rFonts w:hint="default" w:ascii="Times New Roman" w:hAnsi="Times New Roman" w:eastAsia="仿宋" w:cs="Times New Roman"/>
                <w:color w:val="auto"/>
                <w:sz w:val="24"/>
                <w:szCs w:val="24"/>
                <w:highlight w:val="none"/>
                <w:lang w:val="en-US" w:eastAsia="zh-CN"/>
              </w:rPr>
              <w:t>t</w:t>
            </w:r>
            <w:r>
              <w:rPr>
                <w:rFonts w:hint="default" w:ascii="Times New Roman" w:hAnsi="Times New Roman" w:eastAsia="仿宋" w:cs="Times New Roman"/>
                <w:color w:val="auto"/>
                <w:sz w:val="24"/>
                <w:szCs w:val="24"/>
                <w:highlight w:val="none"/>
              </w:rPr>
              <w:t>。根据《国家危险废物名录（2021年版）》，废矿物油为HW08类危险废物，废物代码为900-214-08。本项目产生的废矿物油收集后采用桶装方式暂存于危废暂存间，定期交由有资质的单位处置。</w:t>
            </w:r>
          </w:p>
          <w:p>
            <w:pPr>
              <w:numPr>
                <w:ilvl w:val="0"/>
                <w:numId w:val="3"/>
              </w:numPr>
              <w:adjustRightInd w:val="0"/>
              <w:snapToGrid w:val="0"/>
              <w:ind w:firstLine="460"/>
              <w:jc w:val="left"/>
              <w:rPr>
                <w:rFonts w:hint="eastAsia" w:ascii="Times New Roman" w:hAnsi="Times New Roman" w:eastAsia="仿宋" w:cs="Times New Roman"/>
                <w:bCs/>
                <w:color w:val="auto"/>
                <w:spacing w:val="10"/>
                <w:sz w:val="24"/>
                <w:szCs w:val="24"/>
                <w:highlight w:val="none"/>
                <w:lang w:val="en-US" w:eastAsia="zh-CN"/>
              </w:rPr>
            </w:pPr>
            <w:r>
              <w:rPr>
                <w:rFonts w:hint="eastAsia" w:ascii="Times New Roman" w:hAnsi="Times New Roman" w:eastAsia="仿宋" w:cs="Times New Roman"/>
                <w:bCs/>
                <w:color w:val="auto"/>
                <w:spacing w:val="10"/>
                <w:sz w:val="24"/>
                <w:szCs w:val="24"/>
                <w:highlight w:val="none"/>
                <w:lang w:val="en-US" w:eastAsia="zh-CN"/>
              </w:rPr>
              <w:t>废机油桶</w:t>
            </w:r>
          </w:p>
          <w:p>
            <w:pPr>
              <w:numPr>
                <w:ilvl w:val="0"/>
                <w:numId w:val="0"/>
              </w:numPr>
              <w:adjustRightInd w:val="0"/>
              <w:snapToGrid w:val="0"/>
              <w:ind w:firstLine="520" w:firstLineChars="20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废机油桶产生量按每个废机油桶20千克计，废机油桶规格为200千克/桶，废机油桶使用量为</w:t>
            </w:r>
            <w:r>
              <w:rPr>
                <w:rFonts w:hint="eastAsia" w:eastAsia="仿宋" w:cs="Times New Roman"/>
                <w:bCs/>
                <w:color w:val="auto"/>
                <w:spacing w:val="10"/>
                <w:sz w:val="24"/>
                <w:szCs w:val="24"/>
                <w:highlight w:val="none"/>
                <w:lang w:val="en-US" w:eastAsia="zh-CN"/>
              </w:rPr>
              <w:t>15</w:t>
            </w:r>
            <w:r>
              <w:rPr>
                <w:rFonts w:hint="default" w:ascii="Times New Roman" w:hAnsi="Times New Roman" w:eastAsia="仿宋" w:cs="Times New Roman"/>
                <w:bCs/>
                <w:color w:val="auto"/>
                <w:spacing w:val="10"/>
                <w:sz w:val="24"/>
                <w:szCs w:val="24"/>
                <w:highlight w:val="none"/>
                <w:lang w:val="en-US" w:eastAsia="zh-CN"/>
              </w:rPr>
              <w:t>个，则废机油桶产生量约为</w:t>
            </w:r>
            <w:r>
              <w:rPr>
                <w:rFonts w:hint="eastAsia" w:eastAsia="仿宋" w:cs="Times New Roman"/>
                <w:bCs/>
                <w:color w:val="auto"/>
                <w:spacing w:val="10"/>
                <w:sz w:val="24"/>
                <w:szCs w:val="24"/>
                <w:highlight w:val="none"/>
                <w:lang w:val="en-US" w:eastAsia="zh-CN"/>
              </w:rPr>
              <w:t>3</w:t>
            </w:r>
            <w:r>
              <w:rPr>
                <w:rFonts w:hint="default" w:ascii="Times New Roman" w:hAnsi="Times New Roman" w:eastAsia="仿宋" w:cs="Times New Roman"/>
                <w:bCs/>
                <w:color w:val="auto"/>
                <w:spacing w:val="10"/>
                <w:sz w:val="24"/>
                <w:szCs w:val="24"/>
                <w:highlight w:val="none"/>
                <w:lang w:val="en-US" w:eastAsia="zh-CN"/>
              </w:rPr>
              <w:t>吨/年。根据《国家危险废物名录》（2021版），废机油桶为危险废物，代码为“900-041-49含有或沾染毒性、感染性危险废物的废弃包装物、容器、过滤吸附介质”，存于厂区危废暂存间内，定期委托有资质单位进行清运处置。</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本项目固体废物产生情况见下表：</w:t>
            </w:r>
          </w:p>
          <w:p>
            <w:pPr>
              <w:pStyle w:val="36"/>
              <w:spacing w:line="360" w:lineRule="auto"/>
              <w:ind w:firstLine="0" w:firstLineChars="0"/>
              <w:jc w:val="center"/>
              <w:rPr>
                <w:rFonts w:hint="default" w:ascii="Times New Roman" w:hAnsi="Times New Roman" w:eastAsia="仿宋" w:cs="Times New Roman"/>
                <w:b/>
                <w:color w:val="auto"/>
                <w:sz w:val="21"/>
                <w:szCs w:val="21"/>
                <w:highlight w:val="none"/>
              </w:rPr>
            </w:pPr>
          </w:p>
          <w:p>
            <w:pPr>
              <w:pStyle w:val="36"/>
              <w:spacing w:line="360" w:lineRule="auto"/>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表4-1</w:t>
            </w:r>
            <w:r>
              <w:rPr>
                <w:rFonts w:hint="eastAsia" w:ascii="Times New Roman" w:hAnsi="Times New Roman" w:eastAsia="仿宋" w:cs="Times New Roman"/>
                <w:b/>
                <w:color w:val="auto"/>
                <w:sz w:val="21"/>
                <w:szCs w:val="21"/>
                <w:highlight w:val="none"/>
                <w:lang w:val="en-US" w:eastAsia="zh-CN"/>
              </w:rPr>
              <w:t>0</w:t>
            </w:r>
            <w:r>
              <w:rPr>
                <w:rFonts w:hint="default" w:ascii="Times New Roman" w:hAnsi="Times New Roman" w:eastAsia="仿宋" w:cs="Times New Roman"/>
                <w:b/>
                <w:color w:val="auto"/>
                <w:sz w:val="21"/>
                <w:szCs w:val="21"/>
                <w:highlight w:val="none"/>
              </w:rPr>
              <w:t>固体废物产生信息表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175"/>
              <w:gridCol w:w="1124"/>
              <w:gridCol w:w="2050"/>
              <w:gridCol w:w="182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序号</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固废名称</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产生量</w:t>
                  </w:r>
                </w:p>
              </w:tc>
              <w:tc>
                <w:tcPr>
                  <w:tcW w:w="248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属性鉴别方法</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废物代码</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生活垃圾</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3.51</w:t>
                  </w:r>
                  <w:r>
                    <w:rPr>
                      <w:rFonts w:hint="default" w:ascii="Times New Roman" w:hAnsi="Times New Roman" w:eastAsia="仿宋" w:cs="Times New Roman"/>
                      <w:color w:val="auto"/>
                      <w:kern w:val="0"/>
                      <w:sz w:val="21"/>
                      <w:szCs w:val="21"/>
                      <w:highlight w:val="none"/>
                    </w:rPr>
                    <w:t>t/a</w:t>
                  </w:r>
                </w:p>
              </w:tc>
              <w:tc>
                <w:tcPr>
                  <w:tcW w:w="248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900-002-S64</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废砂石</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eastAsia" w:eastAsia="仿宋" w:cs="Times New Roman"/>
                      <w:color w:val="auto"/>
                      <w:kern w:val="0"/>
                      <w:sz w:val="21"/>
                      <w:szCs w:val="21"/>
                      <w:highlight w:val="none"/>
                      <w:lang w:val="en-US" w:eastAsia="zh-CN"/>
                    </w:rPr>
                    <w:t>9.6</w:t>
                  </w:r>
                  <w:r>
                    <w:rPr>
                      <w:rFonts w:hint="default" w:ascii="Times New Roman" w:hAnsi="Times New Roman" w:eastAsia="仿宋" w:cs="Times New Roman"/>
                      <w:color w:val="auto"/>
                      <w:kern w:val="0"/>
                      <w:sz w:val="21"/>
                      <w:szCs w:val="21"/>
                      <w:highlight w:val="none"/>
                      <w:lang w:val="en-US" w:eastAsia="zh-CN"/>
                    </w:rPr>
                    <w:t>万m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lang w:val="en-US" w:eastAsia="zh-CN"/>
                    </w:rPr>
                    <w:t>/a</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2"/>
                      <w:sz w:val="21"/>
                      <w:szCs w:val="24"/>
                      <w:highlight w:val="none"/>
                      <w:lang w:val="en-US" w:eastAsia="zh-CN" w:bidi="ar-SA"/>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zh-CN" w:eastAsia="en-US" w:bidi="zh-CN"/>
                    </w:rPr>
                    <w:t>900-099-S07</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采矿回填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3</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废机油</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0.</w:t>
                  </w:r>
                  <w:r>
                    <w:rPr>
                      <w:rFonts w:hint="eastAsia" w:eastAsia="仿宋" w:cs="Times New Roman"/>
                      <w:color w:val="auto"/>
                      <w:kern w:val="0"/>
                      <w:sz w:val="21"/>
                      <w:szCs w:val="21"/>
                      <w:highlight w:val="none"/>
                      <w:lang w:val="en-US" w:eastAsia="zh-CN"/>
                    </w:rPr>
                    <w:t>48</w:t>
                  </w:r>
                  <w:r>
                    <w:rPr>
                      <w:rFonts w:hint="default" w:ascii="Times New Roman" w:hAnsi="Times New Roman" w:eastAsia="仿宋" w:cs="Times New Roman"/>
                      <w:color w:val="auto"/>
                      <w:kern w:val="0"/>
                      <w:sz w:val="21"/>
                      <w:szCs w:val="21"/>
                      <w:highlight w:val="none"/>
                    </w:rPr>
                    <w:t>t/a</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国家危险废物名录》（2021年版）</w:t>
                  </w:r>
                </w:p>
              </w:tc>
              <w:tc>
                <w:tcPr>
                  <w:tcW w:w="1393" w:type="dxa"/>
                  <w:tcBorders>
                    <w:tl2br w:val="nil"/>
                    <w:tr2bl w:val="nil"/>
                  </w:tcBorders>
                  <w:shd w:val="clear" w:color="auto" w:fill="auto"/>
                  <w:vAlign w:val="center"/>
                </w:tcPr>
                <w:p>
                  <w:pPr>
                    <w:widowControl/>
                    <w:spacing w:line="240" w:lineRule="auto"/>
                    <w:ind w:firstLine="0" w:firstLineChars="0"/>
                    <w:jc w:val="center"/>
                    <w:rPr>
                      <w:rFonts w:hint="eastAsia"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highlight w:val="none"/>
                    </w:rPr>
                    <w:t>HW08</w:t>
                  </w:r>
                  <w:r>
                    <w:rPr>
                      <w:rFonts w:hint="default" w:ascii="Times New Roman" w:hAnsi="Times New Roman" w:eastAsia="仿宋" w:cs="Times New Roman"/>
                      <w:color w:val="auto"/>
                      <w:highlight w:val="none"/>
                      <w:lang w:val="en-US" w:eastAsia="zh-CN"/>
                    </w:rPr>
                    <w:t>-900-214-08</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zh-CN" w:eastAsia="en-US" w:bidi="zh-CN"/>
                    </w:rPr>
                    <w:t>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4</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废机油桶</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ascii="Times New Roman" w:hAnsi="Times New Roman" w:eastAsia="仿宋" w:cs="Times New Roman"/>
                      <w:color w:val="auto"/>
                      <w:kern w:val="0"/>
                      <w:sz w:val="21"/>
                      <w:szCs w:val="21"/>
                      <w:highlight w:val="none"/>
                      <w:lang w:val="en-US" w:eastAsia="zh-CN"/>
                    </w:rPr>
                    <w:t>3</w:t>
                  </w:r>
                  <w:r>
                    <w:rPr>
                      <w:rFonts w:hint="default" w:ascii="Times New Roman" w:hAnsi="Times New Roman" w:eastAsia="仿宋" w:cs="Times New Roman"/>
                      <w:color w:val="auto"/>
                      <w:kern w:val="0"/>
                      <w:sz w:val="21"/>
                      <w:szCs w:val="21"/>
                      <w:highlight w:val="none"/>
                      <w:lang w:val="en-US" w:eastAsia="zh-CN"/>
                    </w:rPr>
                    <w:t>吨/年</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国家危险废物名录》（2021年版）</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highlight w:val="none"/>
                    </w:rPr>
                    <w:t>HW08</w:t>
                  </w:r>
                  <w:r>
                    <w:rPr>
                      <w:rFonts w:hint="default" w:ascii="Times New Roman" w:hAnsi="Times New Roman" w:eastAsia="仿宋" w:cs="Times New Roman"/>
                      <w:color w:val="auto"/>
                      <w:highlight w:val="none"/>
                      <w:lang w:val="en-US" w:eastAsia="zh-CN"/>
                    </w:rPr>
                    <w:t>-900-041-49</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ar-SA"/>
                    </w:rPr>
                  </w:pPr>
                  <w:r>
                    <w:rPr>
                      <w:rFonts w:hint="default" w:ascii="Times New Roman" w:hAnsi="Times New Roman" w:eastAsia="仿宋" w:cs="Times New Roman"/>
                      <w:color w:val="auto"/>
                      <w:kern w:val="0"/>
                      <w:sz w:val="21"/>
                      <w:szCs w:val="21"/>
                      <w:highlight w:val="none"/>
                      <w:lang w:val="zh-CN" w:eastAsia="en-US" w:bidi="zh-CN"/>
                    </w:rPr>
                    <w:t>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5</w:t>
                  </w:r>
                </w:p>
              </w:tc>
              <w:tc>
                <w:tcPr>
                  <w:tcW w:w="7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沉淀池污泥</w:t>
                  </w:r>
                </w:p>
              </w:tc>
              <w:tc>
                <w:tcPr>
                  <w:tcW w:w="673"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rPr>
                    <w:t>9.3t/a</w:t>
                  </w:r>
                </w:p>
              </w:tc>
              <w:tc>
                <w:tcPr>
                  <w:tcW w:w="2481"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2"/>
                      <w:sz w:val="21"/>
                      <w:szCs w:val="24"/>
                      <w:highlight w:val="none"/>
                      <w:lang w:val="en-US" w:eastAsia="zh-CN" w:bidi="ar-SA"/>
                    </w:rPr>
                  </w:pPr>
                  <w:r>
                    <w:rPr>
                      <w:rFonts w:hint="default" w:ascii="Times New Roman" w:hAnsi="Times New Roman" w:eastAsia="仿宋" w:cs="Times New Roman"/>
                      <w:color w:val="auto"/>
                      <w:kern w:val="2"/>
                      <w:sz w:val="21"/>
                      <w:szCs w:val="24"/>
                      <w:highlight w:val="none"/>
                      <w:lang w:val="en-US" w:eastAsia="zh-CN" w:bidi="ar-SA"/>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139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2"/>
                      <w:sz w:val="21"/>
                      <w:szCs w:val="24"/>
                      <w:highlight w:val="none"/>
                      <w:lang w:val="en-US" w:eastAsia="zh-CN" w:bidi="ar-SA"/>
                    </w:rPr>
                  </w:pPr>
                  <w:r>
                    <w:rPr>
                      <w:rFonts w:hint="default" w:ascii="Times New Roman" w:hAnsi="Times New Roman" w:eastAsia="仿宋" w:cs="Times New Roman"/>
                      <w:color w:val="auto"/>
                      <w:kern w:val="0"/>
                      <w:sz w:val="21"/>
                      <w:szCs w:val="21"/>
                      <w:highlight w:val="none"/>
                      <w:lang w:val="zh-CN" w:eastAsia="en-US" w:bidi="zh-CN"/>
                    </w:rPr>
                    <w:t>900-099-S07</w:t>
                  </w:r>
                </w:p>
              </w:tc>
              <w:tc>
                <w:tcPr>
                  <w:tcW w:w="100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zh-CN"/>
                    </w:rPr>
                  </w:pPr>
                  <w:r>
                    <w:rPr>
                      <w:rFonts w:hint="default" w:ascii="Times New Roman" w:hAnsi="Times New Roman" w:eastAsia="仿宋" w:cs="Times New Roman"/>
                      <w:color w:val="auto"/>
                      <w:kern w:val="0"/>
                      <w:sz w:val="21"/>
                      <w:szCs w:val="21"/>
                      <w:highlight w:val="none"/>
                      <w:lang w:val="zh-CN" w:eastAsia="en-US" w:bidi="zh-CN"/>
                    </w:rPr>
                    <w:t>防渗沉淀池的泥沙自然风干后定期回填至采坑</w:t>
                  </w:r>
                </w:p>
              </w:tc>
            </w:tr>
          </w:tbl>
          <w:p>
            <w:pPr>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szCs w:val="24"/>
              </w:rPr>
              <w:t>综上所述，本项目运营期间产生</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固体废物均得到及时妥善处置，对周边环境、景观及人群产生影响较小。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5" w:hRule="atLeast"/>
          <w:jc w:val="center"/>
        </w:trPr>
        <w:tc>
          <w:tcPr>
            <w:tcW w:w="621" w:type="dxa"/>
            <w:vAlign w:val="center"/>
          </w:tcPr>
          <w:p>
            <w:pPr>
              <w:pStyle w:val="20"/>
              <w:adjustRightInd w:val="0"/>
              <w:snapToGrid w:val="0"/>
              <w:spacing w:before="0" w:beforeAutospacing="0" w:after="0" w:afterAutospacing="0"/>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kern w:val="2"/>
                <w:sz w:val="21"/>
                <w:szCs w:val="21"/>
              </w:rPr>
              <w:t>选址选线环境合理性分析</w:t>
            </w:r>
          </w:p>
        </w:tc>
        <w:tc>
          <w:tcPr>
            <w:tcW w:w="8558" w:type="dxa"/>
          </w:tcPr>
          <w:p>
            <w:pPr>
              <w:keepNext w:val="0"/>
              <w:keepLines w:val="0"/>
              <w:pageBreakBefore w:val="0"/>
              <w:widowControl w:val="0"/>
              <w:kinsoku/>
              <w:wordWrap/>
              <w:overflowPunct w:val="0"/>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本项</w:t>
            </w:r>
            <w:r>
              <w:rPr>
                <w:rFonts w:hint="default" w:ascii="Times New Roman" w:hAnsi="Times New Roman" w:eastAsia="仿宋" w:cs="Times New Roman"/>
                <w:color w:val="auto"/>
                <w:sz w:val="24"/>
                <w:szCs w:val="24"/>
              </w:rPr>
              <w:t>目位于</w:t>
            </w:r>
            <w:r>
              <w:rPr>
                <w:rFonts w:hint="default" w:ascii="Times New Roman" w:hAnsi="Times New Roman" w:eastAsia="仿宋" w:cs="Times New Roman"/>
                <w:color w:val="auto"/>
                <w:sz w:val="24"/>
                <w:szCs w:val="24"/>
                <w:lang w:val="en-US" w:eastAsia="zh-CN"/>
              </w:rPr>
              <w:t>新疆维吾尔自治区吐鲁番地区</w:t>
            </w:r>
            <w:r>
              <w:rPr>
                <w:rFonts w:hint="eastAsia" w:eastAsia="仿宋" w:cs="Times New Roman"/>
                <w:color w:val="auto"/>
                <w:sz w:val="24"/>
                <w:szCs w:val="24"/>
                <w:lang w:eastAsia="zh-CN"/>
              </w:rPr>
              <w:t>鄯善县北西296°方位，直线距离13.4千米</w:t>
            </w:r>
            <w:r>
              <w:rPr>
                <w:rFonts w:hint="default" w:ascii="Times New Roman" w:hAnsi="Times New Roman" w:eastAsia="仿宋" w:cs="Times New Roman"/>
                <w:color w:val="auto"/>
                <w:sz w:val="24"/>
                <w:szCs w:val="24"/>
                <w:lang w:eastAsia="zh-CN"/>
              </w:rPr>
              <w:t>处</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kern w:val="0"/>
                <w:sz w:val="24"/>
                <w:szCs w:val="24"/>
              </w:rPr>
              <w:t>根据《矿山生态环境保护与恢复治理技术规范（试行）》（HJ651-2013），禁止在依法划定自然保护区、风景名胜区、森林公园、饮用水水源保护区、重要湖泊周边、文物古迹所在地、地质遗迹保护区、基本农田保护区等重要生态保护地及其他法律法规规定禁采区内采矿；禁止在铁路、重要道路、航道两侧及重要生态敏感目标直观可视范围内进行对景观破坏明显的露天开采；禁止在地质灾害危险区内开采矿产资源。</w:t>
            </w:r>
          </w:p>
          <w:p>
            <w:pPr>
              <w:autoSpaceDE w:val="0"/>
              <w:autoSpaceDN w:val="0"/>
              <w:adjustRightInd w:val="0"/>
              <w:snapToGrid w:val="0"/>
              <w:ind w:firstLine="420"/>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新疆维吾尔自治区重点行业环境准入条件（修订）》（2017年1月）指出：“铁路、高速公路、国道、省道等重要交通干线两侧200米范围以内，居民聚集区1千米以内禁止建设非金属矿采选项目”，“重要河流源头区、水环境功能区划为Ⅰ、Ⅱ类和具有饮用功能的Ⅲ类水体岸边1000米以内，其它Ⅲ类水体岸边200米以内，禁止新建或改扩建非金属矿选矿工程”。</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《新疆维吾尔自治区矿产资源总体规划（20</w:t>
            </w:r>
            <w:r>
              <w:rPr>
                <w:rFonts w:hint="default" w:ascii="Times New Roman" w:hAnsi="Times New Roman" w:eastAsia="仿宋" w:cs="Times New Roman"/>
                <w:color w:val="auto"/>
                <w:kern w:val="0"/>
                <w:sz w:val="24"/>
                <w:szCs w:val="24"/>
                <w:lang w:val="en-US" w:eastAsia="zh-CN"/>
              </w:rPr>
              <w:t>21</w:t>
            </w:r>
            <w:r>
              <w:rPr>
                <w:rFonts w:hint="default" w:ascii="Times New Roman" w:hAnsi="Times New Roman" w:eastAsia="仿宋" w:cs="Times New Roman"/>
                <w:color w:val="auto"/>
                <w:kern w:val="0"/>
                <w:sz w:val="24"/>
                <w:szCs w:val="24"/>
              </w:rPr>
              <w:t>-202</w:t>
            </w:r>
            <w:r>
              <w:rPr>
                <w:rFonts w:hint="default" w:ascii="Times New Roman" w:hAnsi="Times New Roman" w:eastAsia="仿宋" w:cs="Times New Roman"/>
                <w:color w:val="auto"/>
                <w:kern w:val="0"/>
                <w:sz w:val="24"/>
                <w:szCs w:val="24"/>
                <w:lang w:val="en-US" w:eastAsia="zh-CN"/>
              </w:rPr>
              <w:t>5</w:t>
            </w:r>
            <w:r>
              <w:rPr>
                <w:rFonts w:hint="default" w:ascii="Times New Roman" w:hAnsi="Times New Roman" w:eastAsia="仿宋" w:cs="Times New Roman"/>
                <w:color w:val="auto"/>
                <w:kern w:val="0"/>
                <w:sz w:val="24"/>
                <w:szCs w:val="24"/>
              </w:rPr>
              <w:t>年）》中指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本项目位于</w:t>
            </w:r>
            <w:r>
              <w:rPr>
                <w:rFonts w:hint="default" w:ascii="Times New Roman" w:hAnsi="Times New Roman" w:eastAsia="仿宋" w:cs="Times New Roman"/>
                <w:color w:val="auto"/>
                <w:sz w:val="24"/>
                <w:szCs w:val="24"/>
                <w:lang w:val="en-US" w:eastAsia="zh-CN"/>
              </w:rPr>
              <w:t>新疆维吾尔自治区吐鲁番地区</w:t>
            </w:r>
            <w:r>
              <w:rPr>
                <w:rFonts w:hint="eastAsia" w:eastAsia="仿宋" w:cs="Times New Roman"/>
                <w:color w:val="auto"/>
                <w:sz w:val="24"/>
                <w:szCs w:val="24"/>
                <w:lang w:eastAsia="zh-CN"/>
              </w:rPr>
              <w:t>鄯善县北西296°方位，直线距离13.4千米</w:t>
            </w:r>
            <w:r>
              <w:rPr>
                <w:rFonts w:hint="default" w:ascii="Times New Roman" w:hAnsi="Times New Roman" w:eastAsia="仿宋" w:cs="Times New Roman"/>
                <w:color w:val="auto"/>
                <w:kern w:val="0"/>
                <w:sz w:val="24"/>
                <w:szCs w:val="24"/>
              </w:rPr>
              <w:t>，远离建设规划范围，无任何矿业权纠纷，不在</w:t>
            </w:r>
            <w:r>
              <w:rPr>
                <w:rFonts w:hint="default" w:ascii="Times New Roman" w:hAnsi="Times New Roman" w:eastAsia="仿宋" w:cs="Times New Roman"/>
                <w:color w:val="auto"/>
                <w:kern w:val="0"/>
                <w:sz w:val="24"/>
                <w:szCs w:val="24"/>
                <w:lang w:val="en-US" w:eastAsia="zh-CN"/>
              </w:rPr>
              <w:t>鄯善县</w:t>
            </w:r>
            <w:r>
              <w:rPr>
                <w:rFonts w:hint="default" w:ascii="Times New Roman" w:hAnsi="Times New Roman" w:eastAsia="仿宋" w:cs="Times New Roman"/>
                <w:color w:val="auto"/>
                <w:kern w:val="0"/>
                <w:sz w:val="24"/>
                <w:szCs w:val="24"/>
              </w:rPr>
              <w:t>生态保护红线区范围内，符合当地矿产资源总体规划。</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附近主要为裸露岩砾石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w:t>
            </w:r>
            <w:r>
              <w:rPr>
                <w:rFonts w:hint="default" w:ascii="Times New Roman" w:hAnsi="Times New Roman" w:eastAsia="仿宋" w:cs="Times New Roman"/>
                <w:color w:val="auto"/>
                <w:kern w:val="0"/>
                <w:sz w:val="24"/>
                <w:szCs w:val="24"/>
                <w:highlight w:val="none"/>
              </w:rPr>
              <w:t>项目区周边3km范围内无地表水体。并</w:t>
            </w:r>
            <w:r>
              <w:rPr>
                <w:rFonts w:hint="default" w:ascii="Times New Roman" w:hAnsi="Times New Roman" w:eastAsia="仿宋" w:cs="Times New Roman"/>
                <w:color w:val="auto"/>
                <w:kern w:val="0"/>
                <w:sz w:val="24"/>
                <w:szCs w:val="24"/>
              </w:rPr>
              <w:t>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符合《矿山生态环境保护与恢复治理技术规范（试行）》（HJ651-2013）和《新疆维吾尔自治区重点行业环境准入条件（修订）》（2017年1月）要求。</w:t>
            </w:r>
          </w:p>
          <w:p>
            <w:pPr>
              <w:overflowPunct w:val="0"/>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综上所述，本项目选址合理、可行，用地合法；本项目外环境没有明显的外环境制约因素，并且与区域环境具有相容性，因此，本项目选址合理可行。</w:t>
            </w:r>
          </w:p>
          <w:p>
            <w:pPr>
              <w:adjustRightInd w:val="0"/>
              <w:snapToGrid w:val="0"/>
              <w:ind w:firstLine="0" w:firstLineChars="0"/>
              <w:rPr>
                <w:rFonts w:hint="default" w:ascii="Times New Roman" w:hAnsi="Times New Roman" w:eastAsia="仿宋" w:cs="Times New Roman"/>
                <w:bCs/>
                <w:color w:val="auto"/>
                <w:szCs w:val="21"/>
              </w:rPr>
            </w:pPr>
          </w:p>
        </w:tc>
      </w:tr>
    </w:tbl>
    <w:p>
      <w:pPr>
        <w:pStyle w:val="20"/>
        <w:jc w:val="both"/>
        <w:rPr>
          <w:rFonts w:hint="default" w:ascii="Times New Roman" w:hAnsi="Times New Roman" w:eastAsia="仿宋" w:cs="Times New Roman"/>
          <w:snapToGrid w:val="0"/>
          <w:color w:val="auto"/>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五、主要生态环境保护措施</w:t>
      </w:r>
    </w:p>
    <w:tbl>
      <w:tblPr>
        <w:tblStyle w:val="2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53" w:type="dxa"/>
            <w:tcMar>
              <w:left w:w="28" w:type="dxa"/>
              <w:right w:w="28" w:type="dxa"/>
            </w:tcMar>
            <w:vAlign w:val="center"/>
          </w:tcPr>
          <w:p>
            <w:pPr>
              <w:adjustRightInd w:val="0"/>
              <w:snapToGrid w:val="0"/>
              <w:ind w:firstLine="0" w:firstLineChars="0"/>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pacing w:val="10"/>
                <w:szCs w:val="21"/>
              </w:rPr>
              <w:t>施工期生态环境保护措施</w:t>
            </w:r>
          </w:p>
        </w:tc>
        <w:tc>
          <w:tcPr>
            <w:tcW w:w="8457"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pStyle w:val="19"/>
              <w:adjustRightInd w:val="0"/>
              <w:snapToGrid w:val="0"/>
              <w:spacing w:after="0"/>
              <w:ind w:left="0" w:leftChars="0"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生态环境影响的避免应通过采取适当的措施，尽可能在最大程度上避免潜在的不利生态影响。在施工期注意采取一定的生态环境保护措施，则有利于项目建成后的生态环境恢复和建设。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①对于施工过程中产生的废弃土石，要合理堆入堆土场。不得将废弃土石任意裸露弃置，以免遇强降雨引起严重的水土流失。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②合理制定施工计划，以便在暴雨前进行临时应急防护，减缓暴雨对开挖坡面的剧烈冲刷，防止水土流失。</w:t>
            </w:r>
          </w:p>
          <w:p>
            <w:pPr>
              <w:adjustRightInd w:val="0"/>
              <w:snapToGrid w:val="0"/>
              <w:ind w:firstLine="42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③在工程建设过程中，必须做好水土流失的预防工作，认真贯彻“谁造成水土流失，谁投资治理，谁造成新的危害，谁负责赔偿”和“治理与生产建设相结合”的原则。严格划定生产区域，加强管理，减少对土地的扰动作用，控制水土流失</w:t>
            </w:r>
            <w:r>
              <w:rPr>
                <w:rFonts w:hint="default" w:ascii="Times New Roman" w:hAnsi="Times New Roman"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④实际施工中要充分考虑本地风沙大的特点，在进行土方开挖时，应特别注意施工扬尘的防治问题，须制定必要的防治措施，以减少施工扬尘对周围环境的影响。</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⑤施工中应加强施工管理，尽量缩小施工范围，各种施工活动应严格控制在施工区域内，将临时占地面积控制在最低限度，尽可能地不破坏原有的地表植被和土壤，以免造成土壤与植被的大面积破坏，而使本来就脆弱的生态系统受到威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⑥加强施工期环境管理，强化施工人员环保意识，规范施工。教育职工爱护环境，保护施工场所周围的一草一木，不随意折木，严禁砍伐、破坏施工区以外的作物和树木。向职工发放施工手册并组织施工人员认真学习。</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⑦划定施工作业范围，不得随意扩大，按规定进行操作。严格控制和管理运输车辆及重型机械施工作业范围，尽可能减少对区域植被的破坏。严禁施工材料乱堆乱放，划定适宜的堆料场，以防对植物的破坏范围扩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⑧提高工程施工效率，缩短施工时间，减少裸地的暴露时间。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⑨对于堆土场和临时占地及新开辟的临时便道等破坏区，项目建设结束后应按照国务院《土地复垦条例》进行环境治理和植被重建工作。凡受到施工车辆、机械破坏的地方均要进行土地平整，有植被恢复条件的在适当季节进行植被恢复，以保持地表原有的稳定状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⑩</w:t>
            </w:r>
            <w:r>
              <w:rPr>
                <w:rFonts w:hint="default" w:ascii="Times New Roman" w:hAnsi="Times New Roman" w:eastAsia="仿宋" w:cs="Times New Roman"/>
                <w:color w:val="auto"/>
                <w:sz w:val="24"/>
                <w:szCs w:val="24"/>
              </w:rPr>
              <w:t>施工完毕后，要及时运走废弃施工材料和多余土石方，在施工中破坏植被的地段，施工结束后，必须及时进行植被恢复工作。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⑪本项目</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过程中严格控制</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范围和机械及人员活动范围，堆料场控制在</w:t>
            </w:r>
            <w:r>
              <w:rPr>
                <w:rFonts w:hint="default" w:ascii="Times New Roman" w:hAnsi="Times New Roman" w:eastAsia="仿宋" w:cs="Times New Roman"/>
                <w:color w:val="auto"/>
                <w:sz w:val="24"/>
                <w:szCs w:val="24"/>
                <w:lang w:val="en-US" w:eastAsia="zh-CN"/>
              </w:rPr>
              <w:t>永久占地</w:t>
            </w:r>
            <w:r>
              <w:rPr>
                <w:rFonts w:hint="default" w:ascii="Times New Roman" w:hAnsi="Times New Roman" w:eastAsia="仿宋" w:cs="Times New Roman"/>
                <w:color w:val="auto"/>
                <w:sz w:val="24"/>
                <w:szCs w:val="24"/>
              </w:rPr>
              <w:t>范围内，不新增占地，严格控制</w:t>
            </w:r>
            <w:r>
              <w:rPr>
                <w:rFonts w:hint="default" w:ascii="Times New Roman" w:hAnsi="Times New Roman" w:eastAsia="仿宋" w:cs="Times New Roman"/>
                <w:color w:val="auto"/>
                <w:sz w:val="24"/>
                <w:szCs w:val="24"/>
                <w:lang w:val="en-US" w:eastAsia="zh-CN"/>
              </w:rPr>
              <w:t>新增</w:t>
            </w:r>
            <w:r>
              <w:rPr>
                <w:rFonts w:hint="default" w:ascii="Times New Roman" w:hAnsi="Times New Roman" w:eastAsia="仿宋" w:cs="Times New Roman"/>
                <w:color w:val="auto"/>
                <w:sz w:val="24"/>
                <w:szCs w:val="24"/>
              </w:rPr>
              <w:t>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⑫本项目</w:t>
            </w:r>
            <w:r>
              <w:rPr>
                <w:rFonts w:hint="default" w:ascii="Times New Roman" w:hAnsi="Times New Roman" w:eastAsia="仿宋" w:cs="Times New Roman"/>
                <w:color w:val="auto"/>
                <w:sz w:val="24"/>
                <w:szCs w:val="24"/>
                <w:lang w:val="en-US" w:eastAsia="zh-CN"/>
              </w:rPr>
              <w:t>施工生产区</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道路等区域</w:t>
            </w:r>
            <w:r>
              <w:rPr>
                <w:rFonts w:hint="default" w:ascii="Times New Roman" w:hAnsi="Times New Roman" w:eastAsia="仿宋" w:cs="Times New Roman"/>
                <w:color w:val="auto"/>
                <w:sz w:val="24"/>
                <w:szCs w:val="24"/>
                <w:lang w:val="en-US" w:eastAsia="zh-CN"/>
              </w:rPr>
              <w:t>施工结束后</w:t>
            </w:r>
            <w:r>
              <w:rPr>
                <w:rFonts w:hint="default" w:ascii="Times New Roman" w:hAnsi="Times New Roman" w:eastAsia="仿宋" w:cs="Times New Roman"/>
                <w:color w:val="auto"/>
                <w:sz w:val="24"/>
                <w:szCs w:val="24"/>
              </w:rPr>
              <w:t>进行植被恢复，</w:t>
            </w:r>
            <w:r>
              <w:rPr>
                <w:rFonts w:hint="eastAsia" w:eastAsia="仿宋" w:cs="Times New Roman"/>
                <w:color w:val="auto"/>
                <w:sz w:val="24"/>
                <w:szCs w:val="24"/>
                <w:lang w:eastAsia="zh-CN"/>
              </w:rPr>
              <w:t>防止</w:t>
            </w:r>
            <w:r>
              <w:rPr>
                <w:rFonts w:hint="default" w:ascii="Times New Roman" w:hAnsi="Times New Roman" w:eastAsia="仿宋" w:cs="Times New Roman"/>
                <w:color w:val="auto"/>
                <w:sz w:val="24"/>
                <w:szCs w:val="24"/>
              </w:rPr>
              <w:t>风蚀加剧，造成土地沙化。</w:t>
            </w:r>
          </w:p>
          <w:p>
            <w:pPr>
              <w:keepNext w:val="0"/>
              <w:keepLines w:val="0"/>
              <w:pageBreakBefore w:val="0"/>
              <w:widowControl w:val="0"/>
              <w:numPr>
                <w:ilvl w:val="0"/>
                <w:numId w:val="4"/>
              </w:numPr>
              <w:kinsoku/>
              <w:wordWrap/>
              <w:overflowPunct/>
              <w:topLinePunct w:val="0"/>
              <w:bidi w:val="0"/>
              <w:adjustRightInd/>
              <w:snapToGrid/>
              <w:ind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废气防治措施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（1）扬尘污染防治措施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为使施工过程中产生的粉尘对周围环境空气的影响降低到最小程度，建议采取以下防治措施：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项目在开挖土方和土方回填过程中会产</w:t>
            </w:r>
            <w:r>
              <w:rPr>
                <w:rFonts w:hint="default" w:ascii="Times New Roman" w:hAnsi="Times New Roman" w:eastAsia="仿宋" w:cs="Times New Roman"/>
                <w:bCs/>
                <w:color w:val="auto"/>
                <w:spacing w:val="10"/>
                <w:sz w:val="24"/>
                <w:szCs w:val="24"/>
                <w:lang w:val="en-US" w:eastAsia="zh-CN"/>
              </w:rPr>
              <w:t>生</w:t>
            </w:r>
            <w:r>
              <w:rPr>
                <w:rFonts w:hint="default" w:ascii="Times New Roman" w:hAnsi="Times New Roman" w:eastAsia="仿宋" w:cs="Times New Roman"/>
                <w:bCs/>
                <w:color w:val="auto"/>
                <w:spacing w:val="10"/>
                <w:sz w:val="24"/>
                <w:szCs w:val="24"/>
              </w:rPr>
              <w:t>一定的扬尘，在施工过程中应注意文明施工，做到洒水作业，减少扬尘对周围环境的污染。</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施工过程中的防尘管理。驶出施工现场的机动车辆要冲洗干净底盘和车轮后方可上路行驶，严禁车辆带泥出场。运送土方、渣土和建筑垃圾的车辆必须加盖密闭运输，严禁道路遗撒；车辆进入施工场地后，车速应控制在20km/h以内，减少车辆碾压起尘量。</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加强露天堆料场的防尘管理。对于建筑材料堆料场，应采用篷布遮盖，避免作业起尘和风蚀起尘。堆场露天装卸作业时，采取洒水抑尘措施。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加强对机械、车辆的维修保养，禁止以柴油为燃料的施工机械超负荷工作，减少烟尘和颗粒物排放。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（2）机械废气</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主要来自施工机械和运输土方等原材料的汽车，其主要成分为CO、NO</w:t>
            </w:r>
            <w:r>
              <w:rPr>
                <w:rFonts w:hint="default" w:ascii="Times New Roman" w:hAnsi="Times New Roman" w:eastAsia="仿宋" w:cs="Times New Roman"/>
                <w:color w:val="auto"/>
                <w:sz w:val="24"/>
                <w:szCs w:val="24"/>
                <w:vertAlign w:val="subscript"/>
              </w:rPr>
              <w:t>X</w:t>
            </w:r>
            <w:r>
              <w:rPr>
                <w:rFonts w:hint="default" w:ascii="Times New Roman" w:hAnsi="Times New Roman" w:eastAsia="仿宋" w:cs="Times New Roman"/>
                <w:color w:val="auto"/>
                <w:sz w:val="24"/>
                <w:szCs w:val="24"/>
              </w:rPr>
              <w:t>以及未完全燃烧的HC等，其特点是排放量小，属间断性无组织排放。由于拟建项目所在地较为开阔，空气流通较好，汽车排放的废气能够较快地扩散，不会对当地的环境空气产生较大影响，但项目建设过程中仍应采取控制措施，加强施工机械的维护，使所有施工车辆、机械的尾气应达到国家规定的尾气排放标准，减小施工机械废气对环境空气的影响。</w:t>
            </w:r>
          </w:p>
          <w:p>
            <w:pPr>
              <w:pStyle w:val="36"/>
              <w:keepNext w:val="0"/>
              <w:keepLines w:val="0"/>
              <w:pageBreakBefore w:val="0"/>
              <w:widowControl w:val="0"/>
              <w:kinsoku/>
              <w:wordWrap/>
              <w:overflowPunct/>
              <w:topLinePunct w:val="0"/>
              <w:bidi w:val="0"/>
              <w:adjustRightInd/>
              <w:snapToGrid/>
              <w:ind w:firstLine="46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t>采取上述防治措施，可有效控制施工废气对周围环境的影响，随着施工期的结束，该不利影响也会随之消失。</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3、废水污染防治措施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color w:val="auto"/>
                <w:sz w:val="24"/>
                <w:szCs w:val="24"/>
                <w:highlight w:val="none"/>
              </w:rPr>
              <w:t>施工期废水主要是施工废水和生活污水，这部分废水除含有少量的</w:t>
            </w:r>
            <w:r>
              <w:rPr>
                <w:rFonts w:hint="default" w:ascii="Times New Roman" w:hAnsi="Times New Roman" w:eastAsia="仿宋" w:cs="Times New Roman"/>
                <w:color w:val="auto"/>
                <w:sz w:val="24"/>
                <w:szCs w:val="24"/>
                <w:highlight w:val="none"/>
                <w:lang w:eastAsia="zh-CN"/>
              </w:rPr>
              <w:t>泥沙</w:t>
            </w:r>
            <w:r>
              <w:rPr>
                <w:rFonts w:hint="default" w:ascii="Times New Roman" w:hAnsi="Times New Roman" w:eastAsia="仿宋" w:cs="Times New Roman"/>
                <w:color w:val="auto"/>
                <w:sz w:val="24"/>
                <w:szCs w:val="24"/>
                <w:highlight w:val="none"/>
              </w:rPr>
              <w:t>外，基本没有其他污染指标。施工废水用于施工场地洒水抑尘。</w:t>
            </w:r>
            <w:r>
              <w:rPr>
                <w:rFonts w:hint="default" w:ascii="Times New Roman" w:hAnsi="Times New Roman" w:eastAsia="仿宋" w:cs="Times New Roman"/>
                <w:color w:val="auto"/>
                <w:sz w:val="24"/>
                <w:szCs w:val="24"/>
                <w:highlight w:val="none"/>
                <w:lang w:val="zh-CN"/>
              </w:rPr>
              <w:t>施工期施工人员生活废水</w:t>
            </w:r>
            <w:r>
              <w:rPr>
                <w:rFonts w:hint="default" w:ascii="Times New Roman" w:hAnsi="Times New Roman" w:eastAsia="仿宋" w:cs="Times New Roman"/>
                <w:color w:val="auto"/>
                <w:sz w:val="24"/>
                <w:szCs w:val="24"/>
                <w:highlight w:val="none"/>
                <w:lang w:val="en-US" w:eastAsia="zh-CN"/>
              </w:rPr>
              <w:t>经化粪池暂存后定期拉运至鄯善县污水处理厂，</w:t>
            </w:r>
            <w:r>
              <w:rPr>
                <w:rFonts w:hint="default" w:ascii="Times New Roman" w:hAnsi="Times New Roman" w:eastAsia="仿宋" w:cs="Times New Roman"/>
                <w:color w:val="auto"/>
                <w:sz w:val="24"/>
                <w:szCs w:val="24"/>
                <w:highlight w:val="none"/>
              </w:rPr>
              <w:t>不会对周围环境造成影响。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4、噪声防治措施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时涉及的施工机械种类和数目较多，主要有挖掘机、推土机、装载机、卡车等建筑施工机械。项目施工期施工噪声会对周边环境造成一定影响，这种影响是暂时的，随着施工期的结束而消失。为了减轻施工期噪声对环境的影响，可采取以下控制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①合理布局施工场地：避免在同一地点安装大量动力机械设备，避免局部声级过高；</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合理安排施工时间：制定施工计划时，应尽可能避免大量高噪声设备同时施工；</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③降低施工设备噪声：在不影响施工质量的前提下，应采用低噪声、低振动的设备与施工方式，如以液压机械代替燃油机械等；固定机械设备如挖掘机、推土机等，可通过安装排气筒消音器和隔离发动机振动部件的方法降低噪声；对施工设备要经常进行维修保养，保证其正常运行，避免因设备性能减退导致噪声增强的现象发生。</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④夜间运输材料的车辆进入施工现场，严禁鸣笛，装卸材料做到轻拿轻放。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⑤施工期间应合理安排运输时间和运输路线，经过敏感区时应减速慢行，禁止鸣笛，尽量减少交通噪声影响。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5、固体废物污染防治措施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本项目施工期产生的固体废物主要是建筑废物和施工人员生活垃圾。建筑废物施工废料主要来源于开挖土方、建筑施工中的废物如沙石、石灰、混凝土、废砖等，可采取以下措施减少其对环境的影响：</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①在施工结束后，施工单位应清理场地，施工产生的建筑垃圾运至</w:t>
            </w:r>
            <w:r>
              <w:rPr>
                <w:rFonts w:hint="default" w:ascii="Times New Roman" w:hAnsi="Times New Roman" w:eastAsia="仿宋" w:cs="Times New Roman"/>
                <w:bCs/>
                <w:color w:val="auto"/>
                <w:spacing w:val="10"/>
                <w:sz w:val="24"/>
                <w:szCs w:val="24"/>
                <w:lang w:val="en-US" w:eastAsia="zh-CN"/>
              </w:rPr>
              <w:t>鄯善县</w:t>
            </w:r>
            <w:r>
              <w:rPr>
                <w:rFonts w:hint="default" w:ascii="Times New Roman" w:hAnsi="Times New Roman" w:eastAsia="仿宋" w:cs="Times New Roman"/>
                <w:bCs/>
                <w:color w:val="auto"/>
                <w:spacing w:val="10"/>
                <w:sz w:val="24"/>
                <w:szCs w:val="24"/>
              </w:rPr>
              <w:t>建筑垃圾填埋场处置；</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②施工人员的生活垃圾及时收集到垃圾箱（桶）内，定期集中收集外运至</w:t>
            </w:r>
            <w:r>
              <w:rPr>
                <w:rFonts w:hint="default" w:ascii="Times New Roman" w:hAnsi="Times New Roman" w:eastAsia="仿宋" w:cs="Times New Roman"/>
                <w:bCs/>
                <w:color w:val="auto"/>
                <w:spacing w:val="10"/>
                <w:sz w:val="24"/>
                <w:szCs w:val="24"/>
                <w:lang w:val="en-US" w:eastAsia="zh-CN"/>
              </w:rPr>
              <w:t>鄯善县生活垃圾填埋场</w:t>
            </w:r>
            <w:r>
              <w:rPr>
                <w:rFonts w:hint="default" w:ascii="Times New Roman" w:hAnsi="Times New Roman" w:eastAsia="仿宋" w:cs="Times New Roman"/>
                <w:bCs/>
                <w:color w:val="auto"/>
                <w:spacing w:val="10"/>
                <w:sz w:val="24"/>
                <w:szCs w:val="24"/>
              </w:rPr>
              <w:t>处置；</w:t>
            </w:r>
          </w:p>
          <w:p>
            <w:pPr>
              <w:pStyle w:val="37"/>
              <w:keepNext w:val="0"/>
              <w:keepLines w:val="0"/>
              <w:pageBreakBefore w:val="0"/>
              <w:widowControl w:val="0"/>
              <w:kinsoku/>
              <w:wordWrap/>
              <w:overflowPunct/>
              <w:topLinePunct w:val="0"/>
              <w:bidi w:val="0"/>
              <w:adjustRightInd/>
              <w:snapToGrid/>
              <w:spacing w:line="360" w:lineRule="auto"/>
              <w:ind w:firstLine="520" w:firstLineChars="200"/>
              <w:textAlignment w:val="auto"/>
              <w:rPr>
                <w:rFonts w:hint="default" w:ascii="Times New Roman" w:hAnsi="Times New Roman" w:eastAsia="仿宋" w:cs="Times New Roman"/>
                <w:bCs/>
                <w:color w:val="auto"/>
                <w:spacing w:val="10"/>
                <w:sz w:val="18"/>
                <w:szCs w:val="21"/>
              </w:rPr>
            </w:pPr>
            <w:r>
              <w:rPr>
                <w:rFonts w:hint="default" w:ascii="Times New Roman" w:hAnsi="Times New Roman" w:eastAsia="仿宋" w:cs="Times New Roman"/>
                <w:bCs/>
                <w:color w:val="auto"/>
                <w:spacing w:val="10"/>
                <w:sz w:val="24"/>
                <w:szCs w:val="24"/>
              </w:rPr>
              <w:t>③施工产生的土方用于场地及道路平整，做到土石方开挖平衡，不产生弃土。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tcMar>
              <w:left w:w="28" w:type="dxa"/>
              <w:right w:w="28" w:type="dxa"/>
            </w:tcMar>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运营期生态环境保护措施</w:t>
            </w:r>
          </w:p>
        </w:tc>
        <w:tc>
          <w:tcPr>
            <w:tcW w:w="8457" w:type="dxa"/>
          </w:tcPr>
          <w:p>
            <w:pPr>
              <w:adjustRightInd w:val="0"/>
              <w:snapToGrid w:val="0"/>
              <w:ind w:firstLine="462"/>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（1）生态保护措施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①建立严格保护的规章制度，建设单位必须在相关部门划定的临时占地范围内进行生产活动，不得在临时占用的土地上修建永久性建筑物。</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管理，严格限制开采机械设备和作业人员的活动范围，合理划定开采和活动范围，减少地表扰动面积；道路利用现有道路，减少新增工程量，降低地表扰动面积；服务期满项目区无用建筑设施拆除，平整地表，恢复原地貌。</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减少占地，降低植被破坏量；道路出入口竖立保护植被警示牌，提醒区内人员勿破坏植被；道路铺筑避开植被，车辆在指定道路上行驶，严禁随意行驶以防碾压植被。</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（2）水土流失防治措施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在开采区、</w:t>
            </w:r>
            <w:r>
              <w:rPr>
                <w:rFonts w:hint="default" w:ascii="Times New Roman" w:hAnsi="Times New Roman" w:eastAsia="仿宋" w:cs="Times New Roman"/>
                <w:color w:val="auto"/>
                <w:sz w:val="24"/>
                <w:szCs w:val="24"/>
                <w:lang w:eastAsia="zh-CN"/>
              </w:rPr>
              <w:t>废石</w:t>
            </w:r>
            <w:r>
              <w:rPr>
                <w:rFonts w:hint="default" w:ascii="Times New Roman" w:hAnsi="Times New Roman" w:eastAsia="仿宋" w:cs="Times New Roman"/>
                <w:color w:val="auto"/>
                <w:sz w:val="24"/>
                <w:szCs w:val="24"/>
                <w:lang w:val="en-US" w:eastAsia="zh-CN"/>
              </w:rPr>
              <w:t>堆放场</w:t>
            </w:r>
            <w:r>
              <w:rPr>
                <w:rFonts w:hint="default" w:ascii="Times New Roman" w:hAnsi="Times New Roman" w:eastAsia="仿宋" w:cs="Times New Roman"/>
                <w:color w:val="auto"/>
                <w:sz w:val="24"/>
                <w:szCs w:val="24"/>
                <w:lang w:eastAsia="zh-CN"/>
              </w:rPr>
              <w:t>及</w:t>
            </w:r>
            <w:r>
              <w:rPr>
                <w:rFonts w:hint="default" w:ascii="Times New Roman" w:hAnsi="Times New Roman" w:eastAsia="仿宋" w:cs="Times New Roman"/>
                <w:color w:val="auto"/>
                <w:sz w:val="24"/>
                <w:szCs w:val="24"/>
                <w:lang w:val="en-US" w:eastAsia="zh-CN"/>
              </w:rPr>
              <w:t>泥渣堆放场</w:t>
            </w:r>
            <w:r>
              <w:rPr>
                <w:rFonts w:hint="default" w:ascii="Times New Roman" w:hAnsi="Times New Roman" w:eastAsia="仿宋" w:cs="Times New Roman"/>
                <w:color w:val="auto"/>
                <w:sz w:val="24"/>
                <w:szCs w:val="24"/>
              </w:rPr>
              <w:t>四周设置截排水沟拦截洪水进入采场，减小洪水对露天采场的冲刷。</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采场内部设置临时排水沟，便于采场内雨水及时排出采场，也防止边坡受雨水浸泡而发生坍塌。</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在采场周边根据地形条件栽植防护林，控制采场区风速以减小风蚀，同时减缓采矿粉尘排放对空气环境的影响。</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排土场</w:t>
            </w:r>
            <w:r>
              <w:rPr>
                <w:rFonts w:hint="default" w:ascii="Times New Roman" w:hAnsi="Times New Roman" w:eastAsia="仿宋" w:cs="Times New Roman"/>
                <w:color w:val="auto"/>
                <w:sz w:val="24"/>
                <w:szCs w:val="24"/>
              </w:rPr>
              <w:t>四周采用填土草袋围护，顶部采用篷布遮盖，减少雨水的冲蚀，降低水土流失量。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及时关注天气变化，暴雨来临前对开采作业面、</w:t>
            </w:r>
            <w:r>
              <w:rPr>
                <w:rFonts w:hint="eastAsia" w:eastAsia="仿宋" w:cs="Times New Roman"/>
                <w:color w:val="auto"/>
                <w:sz w:val="24"/>
                <w:szCs w:val="24"/>
                <w:lang w:val="en-US" w:eastAsia="zh-CN"/>
              </w:rPr>
              <w:t>排土场</w:t>
            </w:r>
            <w:r>
              <w:rPr>
                <w:rFonts w:hint="default" w:ascii="Times New Roman" w:hAnsi="Times New Roman" w:eastAsia="仿宋" w:cs="Times New Roman"/>
                <w:color w:val="auto"/>
                <w:sz w:val="24"/>
                <w:szCs w:val="24"/>
              </w:rPr>
              <w:t>进行遮盖，减少水土流失量。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（3）矿山地质环境保护</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露天采矿过程中，严格按划定的矿区范围开挖，不得随意扩大开挖范围，按设计要求开挖采场边坡，禁止超过设计边坡稳定角。</w:t>
            </w:r>
          </w:p>
          <w:p>
            <w:pPr>
              <w:adjustRightInd w:val="0"/>
              <w:snapToGrid w:val="0"/>
              <w:ind w:firstLine="42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val="en-US" w:eastAsia="zh-CN"/>
              </w:rPr>
              <w:t>生态复垦方案</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①</w:t>
            </w:r>
            <w:r>
              <w:rPr>
                <w:rFonts w:hint="default" w:ascii="Times New Roman" w:hAnsi="Times New Roman" w:eastAsia="仿宋" w:cs="Times New Roman"/>
                <w:color w:val="auto"/>
                <w:sz w:val="24"/>
                <w:szCs w:val="24"/>
              </w:rPr>
              <w:t>根据采矿地质条件、发展远景及当地具体情况，制定矿山土地恢复计划。该计划要纳入矿山设计中的开采、排弃计划，其内容包括利用土地的方式、采矿恢复方法、回填岩石顺序等，且与生产建设统一规划，边开采边恢复。</w:t>
            </w:r>
          </w:p>
          <w:p>
            <w:pPr>
              <w:adjustRightInd w:val="0"/>
              <w:snapToGrid w:val="0"/>
              <w:ind w:firstLine="42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②矿山共占用及破坏土地面积</w:t>
            </w:r>
            <w:r>
              <w:rPr>
                <w:rFonts w:hint="default" w:ascii="Times New Roman" w:hAnsi="Times New Roman" w:eastAsia="仿宋" w:cs="Times New Roman"/>
                <w:color w:val="auto"/>
                <w:sz w:val="24"/>
                <w:szCs w:val="24"/>
              </w:rPr>
              <w:t>为</w:t>
            </w:r>
            <w:r>
              <w:rPr>
                <w:rFonts w:hint="eastAsia" w:eastAsia="仿宋" w:cs="Times New Roman"/>
                <w:color w:val="auto"/>
                <w:sz w:val="24"/>
                <w:szCs w:val="24"/>
                <w:lang w:val="en-US" w:eastAsia="zh-CN"/>
              </w:rPr>
              <w:t>100060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复垦土地范围包括规采矿场、废石堆放场、泥渣堆放场、生活区、矿山道路等，复垦土地面积为</w:t>
            </w:r>
            <w:r>
              <w:rPr>
                <w:rFonts w:hint="eastAsia" w:eastAsia="仿宋" w:cs="Times New Roman"/>
                <w:color w:val="auto"/>
                <w:sz w:val="24"/>
                <w:szCs w:val="24"/>
                <w:lang w:val="en-US" w:eastAsia="zh-CN"/>
              </w:rPr>
              <w:t>100060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val="en-US" w:eastAsia="zh-CN"/>
              </w:rPr>
              <w:t>。因此，本矿山闭坑后土地复垦率为100%</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rPr>
              <w:t>边坡</w:t>
            </w:r>
            <w:r>
              <w:rPr>
                <w:rFonts w:hint="default" w:ascii="Times New Roman" w:hAnsi="Times New Roman" w:eastAsia="仿宋" w:cs="Times New Roman"/>
                <w:color w:val="auto"/>
                <w:sz w:val="24"/>
                <w:szCs w:val="24"/>
                <w:lang w:val="en-US" w:eastAsia="zh-CN"/>
              </w:rPr>
              <w:t>治理率应达到100%。</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土地复垦措施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原则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按照“谁受益、谁保护、谁治理，边开采边治理恢复、终止采矿活动时必须完成治理恢复”总原则，矿山服务年限为</w:t>
            </w:r>
            <w:r>
              <w:rPr>
                <w:rFonts w:hint="eastAsia" w:eastAsia="仿宋" w:cs="Times New Roman"/>
                <w:color w:val="auto"/>
                <w:sz w:val="24"/>
                <w:szCs w:val="24"/>
                <w:lang w:val="en-US" w:eastAsia="zh-CN"/>
              </w:rPr>
              <w:t>2.69年</w:t>
            </w:r>
            <w:r>
              <w:rPr>
                <w:rFonts w:hint="default" w:ascii="Times New Roman" w:hAnsi="Times New Roman" w:eastAsia="仿宋" w:cs="Times New Roman"/>
                <w:color w:val="auto"/>
                <w:sz w:val="24"/>
                <w:szCs w:val="24"/>
              </w:rPr>
              <w:t>，根据矿区实际情况制定近期目标远期规划目标，保证矿区生态环境良性发展。具体原则为：</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A、“预防为主”的原则：针对存在的地质环境问题，制定矿区生态环境治理方案，以达到减灾的目的；</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B、“边开采边治理恢复”的原则：在开采过程中加强灾害的检测，对矿山开采造成的地质灾害隐患发现多少处理多少，保护矿区地质环境的安全;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C、全面规划与重点防治相结合的原则，针对可能发生的地质灾害分布规律，合理规划矿山生产设施布局，对重点地段实施防治工程。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D、“终止采矿时必须完成治理恢复”的原则：矿山开采结束后，要对矿山开采造成的对地质环境的破坏进行全面的治理恢复，最大限度降低矿业开发对地质环境的破坏。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目标</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采矿过程中通过对地质灾害的防治与监测，防止其对采矿设备及人员造成伤害。最终要将采矿区恢复到安全状态，采坑边坡清理、削坡至安全状态（30°）将废渣石堆放场中废渣石回填采矿坑，恢复采场的部分地表形态。清理拆除废旧房屋并清理平整其占地，尽可能恢复原有的地形地貌；恢复治理工作必须符合矿山安全、水土保持和环境保护工作的有关规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复垦责任范围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本项目开采区面积为</w:t>
            </w:r>
            <w:r>
              <w:rPr>
                <w:rFonts w:hint="eastAsia" w:eastAsia="仿宋" w:cs="Times New Roman"/>
                <w:color w:val="auto"/>
                <w:sz w:val="24"/>
                <w:szCs w:val="24"/>
                <w:lang w:val="en-US" w:eastAsia="zh-CN"/>
              </w:rPr>
              <w:t>100060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，对规划的地面建设工程主要包括生活区、工业广场、废石场、矿山道路，主要以占用土地为主，场地较为平整。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土地复垦适宜性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土地的复垦方向为恢复土地的适用功能。土地复垦适宜性评价为不适宜。对于矿山开采形成采坑区，可恢复原有地形地貌，土地复垦适宜性为难利用。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土地复垦质量要求</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根据土地复垦适宜性评价得出，采坑区无植被覆盖。根据《土地复垦质量控制标准》（TD/T1036-2013），指定下列土地复垦质量标准。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A首先应保证复垦区安全，杜绝地质灾害发生，防护工程要求满足《滑坡防治工程设计与施工技术规范》（DZ/T0220-2006）；</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B有效控制污染和水土流失，保证安全，复垦后无废石和污染物；</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C对露天开采采坑形成的坡面进行平整，禁止形成局部凸起或凹陷，有控制</w:t>
            </w:r>
            <w:r>
              <w:rPr>
                <w:rFonts w:hint="default" w:ascii="Times New Roman" w:hAnsi="Times New Roman" w:eastAsia="仿宋" w:cs="Times New Roman"/>
                <w:color w:val="auto"/>
                <w:sz w:val="24"/>
                <w:szCs w:val="24"/>
                <w:lang w:val="en-US" w:eastAsia="zh-CN"/>
              </w:rPr>
              <w:t>污染</w:t>
            </w:r>
            <w:r>
              <w:rPr>
                <w:rFonts w:hint="default" w:ascii="Times New Roman" w:hAnsi="Times New Roman" w:eastAsia="仿宋" w:cs="Times New Roman"/>
                <w:color w:val="auto"/>
                <w:sz w:val="24"/>
                <w:szCs w:val="24"/>
              </w:rPr>
              <w:t>和水土流失的措施；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D将</w:t>
            </w:r>
            <w:r>
              <w:rPr>
                <w:rFonts w:hint="eastAsia" w:eastAsia="仿宋" w:cs="Times New Roman"/>
                <w:color w:val="auto"/>
                <w:sz w:val="24"/>
                <w:szCs w:val="24"/>
                <w:lang w:val="en-US" w:eastAsia="zh-CN"/>
              </w:rPr>
              <w:t>排土场</w:t>
            </w:r>
            <w:r>
              <w:rPr>
                <w:rFonts w:hint="default" w:ascii="Times New Roman" w:hAnsi="Times New Roman" w:eastAsia="仿宋" w:cs="Times New Roman"/>
                <w:color w:val="auto"/>
                <w:sz w:val="24"/>
                <w:szCs w:val="24"/>
              </w:rPr>
              <w:t>废石拉运至采坑进行回填，确保边坡的稳定。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E因地制宜，复垦后基本恢复与周边地貌景观相协调及土地使用功能。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矿山地质灾害预防措施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矿山地质灾害主要表现在露天开采形成高陡边坡，可能遭受、引发和加剧的崩塌、滑坡。根据矿区地质灾害特点，有针对性的提出工程治理措施。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D露天采场开采前，按照开发利用方案设计的工作程序及要求，彻底清理矿山采场内外的废渣石，为下步开采设施提供场地。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根据矿山现场表层覆盖物厚度、面积，矿体赋存状况及资源量和地形形态特征，正确、合理估算压覆矿量，计算局部地段剥采比，权衡采矿经济效益与破坏土地损失及恢复治理的费用，因地制宜，确定是否弃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弃土堆积安息角应小于30°，废料场地面坡角若大于1：5时，应将地基削成阶梯状，并清除全部软弱层，避免成为矿山泥石流重大危险源，必要时设置拦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G本矿山运输公路充分利用周边原有的修护加固，如必须新建时，也要尽量避开土壤层，避免因修建压占更多土地。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H完成采场及堆料场修建周边铁丝网围栏及警示牌的设置，达到警示、避绕的目标。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7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⑦</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土地复垦方案及措施</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通过矿山开采对土地的破坏类型、破坏程度的调查预测，结合矿山所在地区的地址环境条件，矿山土地类型为裸岩石砾地。</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闭矿期对矿区进行土地复垦，其中包括生活区、工业广场、矿山道路等山地上工程进行拆除建筑，平整土地，基本恢复原始地貌状态。矿山开采过程中形成的矿坑，根据矿山地址环境现状及土地规划进行平整。土地复垦方案实施应做到以下几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A组织管理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依据“谁破坏、谁复垦”的土地复垦原则，自觉承担矿区土地复垦的责任和义务。按照“统一规划、源头控制、防复结合”要求，尽量控制或减少对土地资源不必要的破坏，做到土地复垦与生产建设统一规划，把土地复垦指标纳入生产建设计划。建设单位法人代表即为土地复垦第一责任人，并派专人负责该矿的土地复垦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B技术服务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土地复垦方案实施阶段，对各种复垦措施进行专项技术施工设计，设计人员进入现场进行指导；土地复垦时采用先进的施工手段和合理的施工工序；加强复垦技术培训工作，提高复垦的管理能力，保证土地复垦工作顺利进行，在复垦方案实施后，加强其后期的管理抚育工作，充分体现复垦后的生态效益、经济效益和社会效益。</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表土剥离：表层土壤是经过多年植物作用而形成的熟化土壤，是深层生土所不能替代的，对于植物种子萌发和幼苗生长有着重要作用。露天开采前，把矿区拟破坏的露天采矿场熟化的表土（主要为0~0.5m的表土）进行剥离，用汽车运输至堆料场单独堆放，闭矿后作为露天采场的复垦用土；</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D土地整治</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服务期满后</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：采用机械、人工等方式对采场边坡进行清理，清除松动、凸起的碎（块）石，对平台进行人工、机械平整，清除场地内较大石块，对建筑物进行拆除，对运输道路进行平整、回填等；</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E覆土</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服务期满后</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：对平整后的平台场地穴状坑及采场边坡平台进行覆土，覆土来源为矿山开采时剥离的表土，也可购买一定量的营养土用于土地复垦；</w:t>
            </w:r>
          </w:p>
          <w:p>
            <w:pPr>
              <w:adjustRightInd w:val="0"/>
              <w:snapToGrid w:val="0"/>
              <w:ind w:firstLine="420"/>
              <w:jc w:val="left"/>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F</w:t>
            </w:r>
            <w:r>
              <w:rPr>
                <w:rFonts w:hint="default" w:ascii="Times New Roman" w:hAnsi="Times New Roman" w:eastAsia="仿宋" w:cs="Times New Roman"/>
                <w:color w:val="auto"/>
                <w:sz w:val="24"/>
                <w:szCs w:val="24"/>
              </w:rPr>
              <w:t>预留复垦费用，建设单位必须留有足够的资金以备闭矿期的土地复垦工作，使</w:t>
            </w:r>
            <w:r>
              <w:rPr>
                <w:rFonts w:hint="eastAsia" w:eastAsia="仿宋" w:cs="Times New Roman"/>
                <w:color w:val="auto"/>
                <w:sz w:val="24"/>
                <w:szCs w:val="24"/>
                <w:lang w:eastAsia="zh-CN"/>
              </w:rPr>
              <w:t>受到破坏</w:t>
            </w:r>
            <w:r>
              <w:rPr>
                <w:rFonts w:hint="default" w:ascii="Times New Roman" w:hAnsi="Times New Roman" w:eastAsia="仿宋" w:cs="Times New Roman"/>
                <w:color w:val="auto"/>
                <w:sz w:val="24"/>
                <w:szCs w:val="24"/>
              </w:rPr>
              <w:t>的土地尽量恢复其本来功能，使矿区开采对区域生态的影响控制在可接受的范围内，保持区域内生态环境的平衡。</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（5）矿区开采期间的生态恢复建设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采矿场占地是非经治理再无法使用的土地，恢复废弃地的生产力是维护</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可持续发展的重要内容。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高度重视原有地表对维护本区生态稳定的重要性，加强对施工队伍的宣传、教育和管理。作好施工组织规划工作，严禁将建设施工材料乱堆乱放，划定适宜的堆料场及生活区等临时性场所，以防止破坏的范围增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硬化厂区地面，厂区门口到原料库的道路及厂区内其他区域车辆行驶路线必须硬化，并派专人负责厂区地面的清扫和洒水保湿。加强入厂车辆司机环保意识，严禁厂区机动车辆高速行驶，尽量避免二次扬尘的产生</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③合理安排运输时间，避免夜间运送，限制汽车鸣笛，车辆经过敏感点时要慢行，并且禁鸣，减少车辆噪声对道路沿线的影响。</w:t>
            </w:r>
          </w:p>
          <w:p>
            <w:pPr>
              <w:keepNext w:val="0"/>
              <w:keepLines w:val="0"/>
              <w:pageBreakBefore w:val="0"/>
              <w:widowControl w:val="0"/>
              <w:kinsoku/>
              <w:wordWrap/>
              <w:overflowPunct/>
              <w:topLinePunct w:val="0"/>
              <w:autoSpaceDE/>
              <w:autoSpaceDN/>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④在开采过程中要做到边开采边恢复，对坑洼地面进行平整，根据项目区特点尽量恢复原有状态。</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6</w:t>
            </w:r>
            <w:r>
              <w:rPr>
                <w:rFonts w:hint="eastAsia" w:ascii="Times New Roman" w:hAnsi="Times New Roman" w:eastAsia="仿宋" w:cs="Times New Roman"/>
                <w:color w:val="auto"/>
                <w:sz w:val="24"/>
                <w:szCs w:val="24"/>
                <w:lang w:eastAsia="zh-CN"/>
              </w:rPr>
              <w:t>）闭矿期生态保护措施</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开采结束即闭矿后为减缓矿区闭矿后的影响，提出如下措施：</w:t>
            </w:r>
          </w:p>
          <w:p>
            <w:pPr>
              <w:numPr>
                <w:ilvl w:val="0"/>
                <w:numId w:val="5"/>
              </w:num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项目闭场后，</w:t>
            </w:r>
            <w:r>
              <w:rPr>
                <w:rFonts w:hint="eastAsia" w:ascii="Times New Roman" w:hAnsi="Times New Roman" w:eastAsia="仿宋" w:cs="Times New Roman"/>
                <w:color w:val="auto"/>
                <w:sz w:val="24"/>
                <w:szCs w:val="24"/>
                <w:lang w:val="en-US" w:eastAsia="zh-CN"/>
              </w:rPr>
              <w:t>对露天采场采取场地平整，避免形成局部凸、凹地形，有效控制水土流失，对于边坡存在的凸出体或不稳定斜坡，及时采用机械</w:t>
            </w:r>
            <w:r>
              <w:rPr>
                <w:rFonts w:hint="eastAsia" w:eastAsia="仿宋" w:cs="Times New Roman"/>
                <w:color w:val="auto"/>
                <w:sz w:val="24"/>
                <w:szCs w:val="24"/>
                <w:lang w:val="en-US" w:eastAsia="zh-CN"/>
              </w:rPr>
              <w:t>定点清除</w:t>
            </w:r>
            <w:r>
              <w:rPr>
                <w:rFonts w:hint="eastAsia" w:ascii="Times New Roman" w:hAnsi="Times New Roman" w:eastAsia="仿宋" w:cs="Times New Roman"/>
                <w:color w:val="auto"/>
                <w:sz w:val="24"/>
                <w:szCs w:val="24"/>
                <w:lang w:val="en-US" w:eastAsia="zh-CN"/>
              </w:rPr>
              <w:t>，减少地质灾害的发生。</w:t>
            </w:r>
          </w:p>
          <w:p>
            <w:pPr>
              <w:numPr>
                <w:ilvl w:val="0"/>
                <w:numId w:val="5"/>
              </w:num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在可能诱发的坍塌、塌陷、滑坡、泥石流的区域外围设立多文字的警示标志和防护网，禁止靠近。</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临建</w:t>
            </w:r>
            <w:r>
              <w:rPr>
                <w:rFonts w:hint="eastAsia" w:ascii="Times New Roman" w:hAnsi="Times New Roman" w:eastAsia="仿宋" w:cs="Times New Roman"/>
                <w:color w:val="auto"/>
                <w:sz w:val="24"/>
                <w:szCs w:val="24"/>
                <w:lang w:eastAsia="zh-CN"/>
              </w:rPr>
              <w:t>道路</w:t>
            </w:r>
            <w:r>
              <w:rPr>
                <w:rFonts w:hint="eastAsia" w:eastAsia="仿宋" w:cs="Times New Roman"/>
                <w:color w:val="auto"/>
                <w:sz w:val="24"/>
                <w:szCs w:val="24"/>
                <w:lang w:eastAsia="zh-CN"/>
              </w:rPr>
              <w:t>进行</w:t>
            </w:r>
            <w:r>
              <w:rPr>
                <w:rFonts w:hint="eastAsia" w:ascii="Times New Roman" w:hAnsi="Times New Roman" w:eastAsia="仿宋" w:cs="Times New Roman"/>
                <w:color w:val="auto"/>
                <w:sz w:val="24"/>
                <w:szCs w:val="24"/>
                <w:lang w:val="en-US" w:eastAsia="zh-CN"/>
              </w:rPr>
              <w:t>土地平整，避免形成局部凸起或凹陷，有效控制水土流失。</w:t>
            </w:r>
          </w:p>
          <w:p>
            <w:pPr>
              <w:adjustRightInd w:val="0"/>
              <w:snapToGrid w:val="0"/>
              <w:ind w:firstLine="462"/>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采取以上措施后，闭矿期对环境影响较小。</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2、大气环境保护措施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1</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开采粉尘</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开采过程中产生的粉尘，建设单位拟通过设置2台雾炮机在采矿作业时进行洒水，采取湿式作业的方式来降低粉尘的产生量，可实现抑尘率达80%，不会对环境造成明显的影响，处理措施可行。</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2</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道路扬尘</w:t>
            </w:r>
          </w:p>
          <w:p>
            <w:pPr>
              <w:adjustRightInd w:val="0"/>
              <w:snapToGrid w:val="0"/>
              <w:ind w:firstLine="460"/>
              <w:jc w:val="left"/>
              <w:rPr>
                <w:rFonts w:hint="default" w:ascii="Times New Roman" w:hAnsi="Times New Roman" w:eastAsia="仿宋" w:cs="Times New Roman"/>
                <w:bCs/>
                <w:color w:val="auto"/>
                <w:spacing w:val="10"/>
                <w:sz w:val="24"/>
                <w:szCs w:val="24"/>
                <w:highlight w:val="yellow"/>
              </w:rPr>
            </w:pPr>
            <w:r>
              <w:rPr>
                <w:rFonts w:hint="default" w:ascii="Times New Roman" w:hAnsi="Times New Roman" w:eastAsia="仿宋" w:cs="Times New Roman"/>
                <w:bCs/>
                <w:color w:val="auto"/>
                <w:spacing w:val="10"/>
                <w:sz w:val="24"/>
                <w:szCs w:val="24"/>
                <w:highlight w:val="none"/>
              </w:rPr>
              <w:t>本项目</w:t>
            </w:r>
            <w:r>
              <w:rPr>
                <w:rFonts w:hint="default" w:ascii="Times New Roman" w:hAnsi="Times New Roman" w:eastAsia="仿宋" w:cs="Times New Roman"/>
                <w:bCs/>
                <w:color w:val="auto"/>
                <w:spacing w:val="10"/>
                <w:sz w:val="24"/>
                <w:szCs w:val="24"/>
                <w:highlight w:val="none"/>
                <w:lang w:eastAsia="zh-CN"/>
              </w:rPr>
              <w:t>砂石矿</w:t>
            </w:r>
            <w:r>
              <w:rPr>
                <w:rFonts w:hint="default" w:ascii="Times New Roman" w:hAnsi="Times New Roman" w:eastAsia="仿宋" w:cs="Times New Roman"/>
                <w:bCs/>
                <w:color w:val="auto"/>
                <w:spacing w:val="10"/>
                <w:sz w:val="24"/>
                <w:szCs w:val="24"/>
                <w:highlight w:val="none"/>
              </w:rPr>
              <w:t>采用自卸汽车运输，在运输及装卸车过程中会有扬尘产生，其产生量与物料湿度、大气状况等有关，特别是在少雨、干燥、风速较大时，这类扬尘对空气环境影响较大。本项目对运输道路采用碎石硬化，并用洒水车每日洒水</w:t>
            </w:r>
            <w:r>
              <w:rPr>
                <w:rFonts w:hint="eastAsia"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rPr>
              <w:t>次，对道路洒水保持润湿，矿石运输时采用</w:t>
            </w:r>
            <w:r>
              <w:rPr>
                <w:rFonts w:hint="default" w:ascii="Times New Roman" w:hAnsi="Times New Roman" w:eastAsia="仿宋" w:cs="Times New Roman"/>
                <w:bCs/>
                <w:color w:val="auto"/>
                <w:spacing w:val="10"/>
                <w:sz w:val="24"/>
                <w:szCs w:val="24"/>
                <w:highlight w:val="none"/>
                <w:lang w:eastAsia="zh-CN"/>
              </w:rPr>
              <w:t>篷布</w:t>
            </w:r>
            <w:r>
              <w:rPr>
                <w:rFonts w:hint="default" w:ascii="Times New Roman" w:hAnsi="Times New Roman" w:eastAsia="仿宋" w:cs="Times New Roman"/>
                <w:bCs/>
                <w:color w:val="auto"/>
                <w:spacing w:val="10"/>
                <w:sz w:val="24"/>
                <w:szCs w:val="24"/>
                <w:highlight w:val="none"/>
              </w:rPr>
              <w:t>遮盖，限制超载，保持低速行驶，在采取以上防治措施后，抑尘率可达80%。</w:t>
            </w:r>
          </w:p>
          <w:p>
            <w:pPr>
              <w:adjustRightInd w:val="0"/>
              <w:snapToGrid w:val="0"/>
              <w:ind w:firstLine="42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3</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装卸车扬尘</w:t>
            </w:r>
          </w:p>
          <w:p>
            <w:pPr>
              <w:pStyle w:val="36"/>
              <w:ind w:firstLine="46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装、卸车扬尘均是由于装、卸过程中的落差产生的。对于大粒径的扬尘来说，扩散的距离不大。建设单位在装卸车时采用雾炮机喷洒降尘，除尘效率约为80%，可明显降低粉尘的产生量。</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4</w:t>
            </w:r>
            <w:r>
              <w:rPr>
                <w:rFonts w:hint="eastAsia"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筛分粉尘</w:t>
            </w:r>
          </w:p>
          <w:p>
            <w:pPr>
              <w:pStyle w:val="37"/>
              <w:numPr>
                <w:ilvl w:val="0"/>
                <w:numId w:val="0"/>
              </w:numPr>
              <w:spacing w:line="360" w:lineRule="auto"/>
              <w:ind w:firstLine="480" w:firstLineChars="200"/>
              <w:jc w:val="both"/>
              <w:rPr>
                <w:rFonts w:hint="eastAsia"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szCs w:val="24"/>
                <w:highlight w:val="none"/>
                <w:lang w:val="en-US" w:eastAsia="zh-CN"/>
              </w:rPr>
              <w:t>项目采取在筛分机设置喷淋设施加大石料表面含水率，同时实行半封闭处理，</w:t>
            </w:r>
            <w:r>
              <w:rPr>
                <w:rFonts w:hint="eastAsia" w:ascii="Times New Roman" w:hAnsi="Times New Roman" w:eastAsia="仿宋" w:cs="Times New Roman"/>
                <w:bCs/>
                <w:color w:val="auto"/>
                <w:spacing w:val="10"/>
                <w:sz w:val="24"/>
                <w:szCs w:val="24"/>
                <w:highlight w:val="none"/>
                <w:lang w:val="en-US" w:eastAsia="zh-CN"/>
              </w:rPr>
              <w:t>筛分工段产生的粉尘采取在受料点、筛分机下料点进行水喷淋，加大砂石料表面含水率，</w:t>
            </w:r>
            <w:r>
              <w:rPr>
                <w:rFonts w:hint="default" w:ascii="Times New Roman" w:hAnsi="Times New Roman" w:eastAsia="仿宋" w:cs="Times New Roman"/>
                <w:color w:val="auto"/>
                <w:sz w:val="24"/>
                <w:szCs w:val="24"/>
                <w:highlight w:val="none"/>
                <w:lang w:val="en-US" w:eastAsia="zh-CN"/>
              </w:rPr>
              <w:t>除尘效率可达到80%</w:t>
            </w:r>
            <w:r>
              <w:rPr>
                <w:rFonts w:hint="eastAsia"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bCs/>
                <w:color w:val="auto"/>
                <w:spacing w:val="10"/>
                <w:sz w:val="24"/>
                <w:szCs w:val="24"/>
                <w:highlight w:val="none"/>
              </w:rPr>
              <w:t>可明显降低粉尘的产生量</w:t>
            </w:r>
            <w:r>
              <w:rPr>
                <w:rFonts w:hint="eastAsia" w:ascii="Times New Roman" w:hAnsi="Times New Roman" w:eastAsia="仿宋" w:cs="Times New Roman"/>
                <w:bCs/>
                <w:color w:val="auto"/>
                <w:spacing w:val="10"/>
                <w:sz w:val="24"/>
                <w:szCs w:val="24"/>
                <w:highlight w:val="none"/>
                <w:lang w:eastAsia="zh-CN"/>
              </w:rPr>
              <w:t>。</w:t>
            </w:r>
          </w:p>
          <w:p>
            <w:pPr>
              <w:adjustRightInd w:val="0"/>
              <w:snapToGrid w:val="0"/>
              <w:ind w:firstLine="420"/>
              <w:jc w:val="left"/>
              <w:rPr>
                <w:rFonts w:hint="default" w:ascii="Times New Roman" w:hAnsi="Times New Roman" w:eastAsia="仿宋" w:cs="Times New Roman"/>
                <w:bCs/>
                <w:color w:val="auto"/>
                <w:spacing w:val="10"/>
                <w:sz w:val="24"/>
                <w:szCs w:val="24"/>
                <w:highlight w:val="none"/>
                <w:lang w:eastAsia="zh-CN"/>
              </w:rPr>
            </w:pP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5</w:t>
            </w:r>
            <w:r>
              <w:rPr>
                <w:rFonts w:hint="eastAsia" w:eastAsia="仿宋" w:cs="Times New Roman"/>
                <w:bCs/>
                <w:color w:val="auto"/>
                <w:spacing w:val="10"/>
                <w:sz w:val="24"/>
                <w:szCs w:val="24"/>
                <w:highlight w:val="none"/>
                <w:lang w:eastAsia="zh-CN"/>
              </w:rPr>
              <w:t>）</w:t>
            </w:r>
            <w:r>
              <w:rPr>
                <w:rFonts w:hint="eastAsia" w:eastAsia="仿宋" w:cs="Times New Roman"/>
                <w:bCs/>
                <w:color w:val="auto"/>
                <w:spacing w:val="10"/>
                <w:sz w:val="24"/>
                <w:szCs w:val="24"/>
                <w:highlight w:val="none"/>
                <w:lang w:val="en-US" w:eastAsia="zh-CN"/>
              </w:rPr>
              <w:t>排土场</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本项目在开采区</w:t>
            </w:r>
            <w:r>
              <w:rPr>
                <w:rFonts w:hint="eastAsia" w:eastAsia="仿宋" w:cs="Times New Roman"/>
                <w:bCs/>
                <w:color w:val="auto"/>
                <w:spacing w:val="10"/>
                <w:sz w:val="24"/>
                <w:szCs w:val="24"/>
                <w:highlight w:val="none"/>
                <w:lang w:val="en-US" w:eastAsia="zh-CN"/>
              </w:rPr>
              <w:t>排土场1</w:t>
            </w:r>
            <w:r>
              <w:rPr>
                <w:rFonts w:hint="default" w:ascii="Times New Roman" w:hAnsi="Times New Roman" w:eastAsia="仿宋" w:cs="Times New Roman"/>
                <w:bCs/>
                <w:color w:val="auto"/>
                <w:spacing w:val="10"/>
                <w:sz w:val="24"/>
                <w:szCs w:val="24"/>
                <w:highlight w:val="none"/>
              </w:rPr>
              <w:t>座</w:t>
            </w:r>
            <w:r>
              <w:rPr>
                <w:rFonts w:hint="eastAsia"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主要用于废砂石</w:t>
            </w:r>
            <w:r>
              <w:rPr>
                <w:rFonts w:hint="default" w:ascii="Times New Roman" w:hAnsi="Times New Roman" w:eastAsia="仿宋" w:cs="Times New Roman"/>
                <w:bCs/>
                <w:color w:val="auto"/>
                <w:spacing w:val="10"/>
                <w:sz w:val="24"/>
                <w:szCs w:val="24"/>
                <w:highlight w:val="none"/>
                <w:lang w:val="en-US" w:eastAsia="zh-CN"/>
              </w:rPr>
              <w:t>及</w:t>
            </w:r>
            <w:r>
              <w:rPr>
                <w:rFonts w:hint="default" w:ascii="Times New Roman" w:hAnsi="Times New Roman" w:eastAsia="仿宋" w:cs="Times New Roman"/>
                <w:bCs/>
                <w:color w:val="auto"/>
                <w:spacing w:val="10"/>
                <w:sz w:val="24"/>
                <w:szCs w:val="24"/>
                <w:highlight w:val="none"/>
              </w:rPr>
              <w:t>表层剥离物的临时堆存。为了减少</w:t>
            </w:r>
            <w:r>
              <w:rPr>
                <w:rFonts w:hint="eastAsia" w:eastAsia="仿宋" w:cs="Times New Roman"/>
                <w:bCs/>
                <w:color w:val="auto"/>
                <w:spacing w:val="10"/>
                <w:sz w:val="24"/>
                <w:szCs w:val="24"/>
                <w:highlight w:val="none"/>
                <w:lang w:val="en-US" w:eastAsia="zh-CN"/>
              </w:rPr>
              <w:t>排土</w:t>
            </w:r>
            <w:r>
              <w:rPr>
                <w:rFonts w:hint="default" w:ascii="Times New Roman" w:hAnsi="Times New Roman" w:eastAsia="仿宋" w:cs="Times New Roman"/>
                <w:bCs/>
                <w:color w:val="auto"/>
                <w:spacing w:val="10"/>
                <w:sz w:val="24"/>
                <w:szCs w:val="24"/>
                <w:highlight w:val="none"/>
                <w:lang w:eastAsia="zh-CN"/>
              </w:rPr>
              <w:t>场</w:t>
            </w:r>
            <w:r>
              <w:rPr>
                <w:rFonts w:hint="default" w:ascii="Times New Roman" w:hAnsi="Times New Roman" w:eastAsia="仿宋" w:cs="Times New Roman"/>
                <w:bCs/>
                <w:color w:val="auto"/>
                <w:spacing w:val="10"/>
                <w:sz w:val="24"/>
                <w:szCs w:val="24"/>
                <w:highlight w:val="none"/>
              </w:rPr>
              <w:t>扬尘对大气环境的污染，对各料堆采用</w:t>
            </w:r>
            <w:r>
              <w:rPr>
                <w:rFonts w:hint="eastAsia" w:eastAsia="仿宋" w:cs="Times New Roman"/>
                <w:bCs/>
                <w:color w:val="auto"/>
                <w:spacing w:val="10"/>
                <w:sz w:val="24"/>
                <w:szCs w:val="24"/>
                <w:highlight w:val="none"/>
                <w:lang w:val="en-US" w:eastAsia="zh-CN"/>
              </w:rPr>
              <w:t>防尘网苫盖</w:t>
            </w:r>
            <w:r>
              <w:rPr>
                <w:rFonts w:hint="default" w:ascii="Times New Roman" w:hAnsi="Times New Roman" w:eastAsia="仿宋" w:cs="Times New Roman"/>
                <w:bCs/>
                <w:color w:val="auto"/>
                <w:spacing w:val="10"/>
                <w:sz w:val="24"/>
                <w:szCs w:val="24"/>
                <w:highlight w:val="none"/>
              </w:rPr>
              <w:t>，同时进行洒水保湿（每天至少洒水1次），抑尘效率可达80%以上。</w:t>
            </w:r>
          </w:p>
          <w:p>
            <w:pPr>
              <w:pStyle w:val="36"/>
              <w:ind w:firstLine="420"/>
              <w:rPr>
                <w:rFonts w:hint="default" w:ascii="Times New Roman" w:hAnsi="Times New Roman" w:eastAsia="仿宋" w:cs="Times New Roman"/>
                <w:bCs/>
                <w:color w:val="auto"/>
                <w:spacing w:val="10"/>
                <w:sz w:val="24"/>
                <w:szCs w:val="24"/>
                <w:highlight w:val="none"/>
              </w:rPr>
            </w:pPr>
            <w:r>
              <w:rPr>
                <w:rFonts w:hint="eastAsia" w:ascii="Times New Roman" w:hAnsi="Times New Roman" w:eastAsia="仿宋" w:cs="Times New Roman"/>
                <w:bCs/>
                <w:color w:val="auto"/>
                <w:spacing w:val="10"/>
                <w:sz w:val="24"/>
                <w:szCs w:val="24"/>
                <w:highlight w:val="none"/>
                <w:lang w:eastAsia="zh-CN"/>
              </w:rPr>
              <w:t>（</w:t>
            </w:r>
            <w:r>
              <w:rPr>
                <w:rFonts w:hint="eastAsia" w:ascii="Times New Roman" w:hAnsi="Times New Roman" w:eastAsia="仿宋" w:cs="Times New Roman"/>
                <w:bCs/>
                <w:color w:val="auto"/>
                <w:spacing w:val="10"/>
                <w:sz w:val="24"/>
                <w:szCs w:val="24"/>
                <w:highlight w:val="none"/>
                <w:lang w:val="en-US" w:eastAsia="zh-CN"/>
              </w:rPr>
              <w:t>6</w:t>
            </w:r>
            <w:r>
              <w:rPr>
                <w:rFonts w:hint="eastAsia"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加强对采矿机械和运输车辆的维护保养，确保燃油的充分燃烧，减少尾气中污染物的排放量。</w:t>
            </w:r>
          </w:p>
          <w:p>
            <w:pPr>
              <w:pStyle w:val="36"/>
              <w:ind w:firstLine="420"/>
              <w:rPr>
                <w:rFonts w:hint="eastAsia" w:ascii="Times New Roman" w:hAnsi="Times New Roman" w:eastAsia="仿宋" w:cs="Times New Roman"/>
                <w:b/>
                <w:bCs/>
                <w:color w:val="auto"/>
                <w:sz w:val="24"/>
                <w:szCs w:val="24"/>
                <w:lang w:eastAsia="zh-CN"/>
              </w:rPr>
            </w:pPr>
            <w:r>
              <w:rPr>
                <w:rFonts w:hint="eastAsia" w:ascii="Times New Roman" w:hAnsi="Times New Roman" w:eastAsia="仿宋" w:cs="Times New Roman"/>
                <w:bCs/>
                <w:color w:val="auto"/>
                <w:spacing w:val="10"/>
                <w:sz w:val="24"/>
                <w:szCs w:val="24"/>
                <w:highlight w:val="none"/>
                <w:lang w:val="en-US" w:eastAsia="zh-CN"/>
              </w:rPr>
              <w:t>（7）</w:t>
            </w:r>
            <w:r>
              <w:rPr>
                <w:rFonts w:hint="eastAsia" w:ascii="Times New Roman" w:hAnsi="Times New Roman" w:eastAsia="仿宋" w:cs="Times New Roman"/>
                <w:b w:val="0"/>
                <w:bCs w:val="0"/>
                <w:color w:val="auto"/>
                <w:sz w:val="24"/>
                <w:szCs w:val="24"/>
                <w:lang w:val="en-US" w:eastAsia="zh-CN"/>
              </w:rPr>
              <w:t>食堂</w:t>
            </w:r>
            <w:r>
              <w:rPr>
                <w:rFonts w:hint="default" w:ascii="Times New Roman" w:hAnsi="Times New Roman" w:eastAsia="仿宋" w:cs="Times New Roman"/>
                <w:color w:val="auto"/>
                <w:sz w:val="24"/>
                <w:szCs w:val="24"/>
                <w:highlight w:val="none"/>
              </w:rPr>
              <w:t>油烟废气经过油烟净化处理后通过烟道引至屋顶高空排放</w:t>
            </w:r>
            <w:r>
              <w:rPr>
                <w:rFonts w:hint="eastAsia" w:ascii="Times New Roman" w:hAnsi="Times New Roman" w:eastAsia="仿宋" w:cs="Times New Roman"/>
                <w:color w:val="auto"/>
                <w:sz w:val="24"/>
                <w:szCs w:val="24"/>
                <w:highlight w:val="none"/>
                <w:lang w:eastAsia="zh-CN"/>
              </w:rPr>
              <w:t>。</w:t>
            </w:r>
          </w:p>
          <w:p>
            <w:pPr>
              <w:pStyle w:val="36"/>
              <w:ind w:firstLine="420"/>
              <w:rPr>
                <w:rFonts w:hint="default"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pacing w:val="10"/>
                <w:kern w:val="2"/>
                <w:sz w:val="24"/>
                <w:szCs w:val="24"/>
                <w:highlight w:val="none"/>
                <w:lang w:val="en-US" w:eastAsia="zh-CN" w:bidi="ar-SA"/>
              </w:rPr>
              <w:t>（8）</w:t>
            </w:r>
            <w:r>
              <w:rPr>
                <w:rFonts w:hint="default" w:ascii="Times New Roman" w:hAnsi="Times New Roman" w:eastAsia="仿宋" w:cs="Times New Roman"/>
                <w:bCs/>
                <w:color w:val="auto"/>
                <w:sz w:val="24"/>
                <w:szCs w:val="24"/>
                <w:highlight w:val="none"/>
                <w:lang w:val="en-US" w:eastAsia="zh-CN"/>
              </w:rPr>
              <w:t>通过优化发动机设计、采用先进的燃烧技术、使用低硫燃油、配置废气处理装置等措施降低柴油废气。</w:t>
            </w:r>
          </w:p>
          <w:p>
            <w:pPr>
              <w:pStyle w:val="36"/>
              <w:ind w:firstLine="420"/>
              <w:rPr>
                <w:rFonts w:hint="eastAsia" w:ascii="Times New Roman" w:hAnsi="Times New Roman" w:eastAsia="仿宋" w:cs="Times New Roman"/>
                <w:bCs/>
                <w:color w:val="auto"/>
                <w:spacing w:val="10"/>
                <w:kern w:val="2"/>
                <w:sz w:val="24"/>
                <w:szCs w:val="24"/>
                <w:highlight w:val="none"/>
                <w:lang w:val="en-US" w:eastAsia="zh-CN" w:bidi="ar-SA"/>
              </w:rPr>
            </w:pPr>
            <w:r>
              <w:rPr>
                <w:rFonts w:hint="eastAsia" w:ascii="Times New Roman" w:hAnsi="Times New Roman" w:eastAsia="仿宋" w:cs="Times New Roman"/>
                <w:b w:val="0"/>
                <w:bCs w:val="0"/>
                <w:color w:val="auto"/>
                <w:sz w:val="24"/>
                <w:szCs w:val="24"/>
                <w:lang w:val="en-US" w:eastAsia="zh-CN"/>
              </w:rPr>
              <w:t>（9）</w:t>
            </w:r>
            <w:r>
              <w:rPr>
                <w:rFonts w:hint="eastAsia" w:ascii="Times New Roman" w:hAnsi="Times New Roman" w:eastAsia="仿宋" w:cs="Times New Roman"/>
                <w:bCs/>
                <w:color w:val="auto"/>
                <w:spacing w:val="10"/>
                <w:kern w:val="2"/>
                <w:sz w:val="24"/>
                <w:szCs w:val="24"/>
                <w:highlight w:val="none"/>
                <w:lang w:val="en-US" w:eastAsia="zh-CN" w:bidi="ar-SA"/>
              </w:rPr>
              <w:t>东</w:t>
            </w:r>
            <w:r>
              <w:rPr>
                <w:rFonts w:hint="default" w:ascii="Times New Roman" w:hAnsi="Times New Roman" w:eastAsia="仿宋" w:cs="Times New Roman"/>
                <w:bCs/>
                <w:color w:val="auto"/>
                <w:spacing w:val="10"/>
                <w:kern w:val="2"/>
                <w:sz w:val="24"/>
                <w:szCs w:val="24"/>
                <w:highlight w:val="none"/>
                <w:lang w:val="en-US" w:eastAsia="zh-CN" w:bidi="ar-SA"/>
              </w:rPr>
              <w:t>侧</w:t>
            </w:r>
            <w:r>
              <w:rPr>
                <w:rFonts w:hint="eastAsia" w:ascii="Times New Roman" w:hAnsi="Times New Roman" w:eastAsia="仿宋" w:cs="Times New Roman"/>
                <w:bCs/>
                <w:color w:val="auto"/>
                <w:spacing w:val="10"/>
                <w:kern w:val="2"/>
                <w:sz w:val="24"/>
                <w:szCs w:val="24"/>
                <w:highlight w:val="none"/>
                <w:lang w:val="en-US" w:eastAsia="zh-CN" w:bidi="ar-SA"/>
              </w:rPr>
              <w:t>191</w:t>
            </w:r>
            <w:r>
              <w:rPr>
                <w:rFonts w:hint="default" w:ascii="Times New Roman" w:hAnsi="Times New Roman" w:eastAsia="仿宋" w:cs="Times New Roman"/>
                <w:bCs/>
                <w:color w:val="auto"/>
                <w:spacing w:val="10"/>
                <w:kern w:val="2"/>
                <w:sz w:val="24"/>
                <w:szCs w:val="24"/>
                <w:highlight w:val="none"/>
                <w:lang w:val="en-US" w:eastAsia="zh-CN" w:bidi="ar-SA"/>
              </w:rPr>
              <w:t>m处靠近坎儿井，</w:t>
            </w:r>
            <w:r>
              <w:rPr>
                <w:rFonts w:hint="eastAsia" w:ascii="Times New Roman" w:hAnsi="Times New Roman" w:eastAsia="仿宋" w:cs="Times New Roman"/>
                <w:bCs/>
                <w:color w:val="auto"/>
                <w:spacing w:val="10"/>
                <w:kern w:val="2"/>
                <w:sz w:val="24"/>
                <w:szCs w:val="24"/>
                <w:highlight w:val="none"/>
                <w:lang w:val="en-US" w:eastAsia="zh-CN" w:bidi="ar-SA"/>
              </w:rPr>
              <w:t>环评提出</w:t>
            </w:r>
            <w:r>
              <w:rPr>
                <w:rFonts w:hint="default" w:ascii="Times New Roman" w:hAnsi="Times New Roman" w:eastAsia="仿宋" w:cs="Times New Roman"/>
                <w:bCs/>
                <w:color w:val="auto"/>
                <w:spacing w:val="10"/>
                <w:kern w:val="2"/>
                <w:sz w:val="24"/>
                <w:szCs w:val="24"/>
                <w:highlight w:val="none"/>
                <w:lang w:val="en-US" w:eastAsia="zh-CN" w:bidi="ar-SA"/>
              </w:rPr>
              <w:t>坎儿井</w:t>
            </w:r>
            <w:r>
              <w:rPr>
                <w:rFonts w:hint="eastAsia" w:ascii="Times New Roman" w:hAnsi="Times New Roman" w:eastAsia="仿宋" w:cs="Times New Roman"/>
                <w:bCs/>
                <w:color w:val="auto"/>
                <w:spacing w:val="10"/>
                <w:kern w:val="2"/>
                <w:sz w:val="24"/>
                <w:szCs w:val="24"/>
                <w:highlight w:val="none"/>
                <w:lang w:val="en-US" w:eastAsia="zh-CN" w:bidi="ar-SA"/>
              </w:rPr>
              <w:t>周边191m范围设置禁止活动区域，</w:t>
            </w:r>
            <w:r>
              <w:rPr>
                <w:rFonts w:hint="default" w:ascii="Times New Roman" w:hAnsi="Times New Roman" w:eastAsia="仿宋" w:cs="Times New Roman"/>
                <w:bCs/>
                <w:color w:val="auto"/>
                <w:spacing w:val="10"/>
                <w:kern w:val="2"/>
                <w:sz w:val="24"/>
                <w:szCs w:val="24"/>
                <w:highlight w:val="none"/>
                <w:lang w:val="en-US" w:eastAsia="zh-CN" w:bidi="ar-SA"/>
              </w:rPr>
              <w:t>禁止停放机械设备，施工车辆严格控制在可行驶道路上行驶，不得超速、超重</w:t>
            </w:r>
            <w:r>
              <w:rPr>
                <w:rFonts w:hint="eastAsia" w:ascii="Times New Roman" w:hAnsi="Times New Roman" w:eastAsia="仿宋" w:cs="Times New Roman"/>
                <w:bCs/>
                <w:color w:val="auto"/>
                <w:spacing w:val="10"/>
                <w:kern w:val="2"/>
                <w:sz w:val="24"/>
                <w:szCs w:val="24"/>
                <w:highlight w:val="none"/>
                <w:lang w:val="en-US" w:eastAsia="zh-CN" w:bidi="ar-SA"/>
              </w:rPr>
              <w:t>，靠近坎儿井一侧开采时加大洒水措施。</w:t>
            </w:r>
          </w:p>
          <w:p>
            <w:pPr>
              <w:pStyle w:val="36"/>
              <w:ind w:firstLine="42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3、防沙治沙措施</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本项目在施工期、运营期及闭矿期要严格按照《中华人民共和国防沙治沙法》（2018）中有关规定执行防沙治沙措施：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露天开采过程中发现土地沙化或者沙化程度加重的，应当及时报告当地人民政府，采取措施，防止土地沙化加剧。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加强封禁的保护力度，切实加强开采区的监管力度，对开采过程进行严格把控，对开采区及时进行洒水，防止由风引起的沙尘；</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本项目开采过程中严格控制开采范围和机械及人员活动范围，堆料场控制在开采范围内，不新增占地，严格控制项目占地，避免土地沙化加剧。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本项目生活区、运矿道路等区域闭矿期全部进行植被恢复，</w:t>
            </w:r>
            <w:r>
              <w:rPr>
                <w:rFonts w:hint="eastAsia" w:eastAsia="仿宋" w:cs="Times New Roman"/>
                <w:color w:val="auto"/>
                <w:sz w:val="24"/>
                <w:szCs w:val="24"/>
                <w:lang w:eastAsia="zh-CN"/>
              </w:rPr>
              <w:t>防止</w:t>
            </w:r>
            <w:r>
              <w:rPr>
                <w:rFonts w:hint="default" w:ascii="Times New Roman" w:hAnsi="Times New Roman" w:eastAsia="仿宋" w:cs="Times New Roman"/>
                <w:color w:val="auto"/>
                <w:sz w:val="24"/>
                <w:szCs w:val="24"/>
              </w:rPr>
              <w:t>风蚀加剧，造成土地沙化。</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道路施工时，划定施工活动范围，严格控制和管理车辆及重型机械的运行范围，所有车辆采用“一”字型作业法，不开辟新路，以减少风蚀沙化活动的范围。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大雾、大雨、大风</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暴风雨时应停止施工</w:t>
            </w:r>
            <w:r>
              <w:rPr>
                <w:rFonts w:hint="eastAsia" w:ascii="Times New Roman" w:hAnsi="Times New Roman" w:eastAsia="仿宋" w:cs="Times New Roman"/>
                <w:color w:val="auto"/>
                <w:sz w:val="24"/>
                <w:szCs w:val="24"/>
                <w:lang w:val="en-US" w:eastAsia="zh-CN"/>
              </w:rPr>
              <w:t>。</w:t>
            </w:r>
          </w:p>
          <w:p>
            <w:pPr>
              <w:ind w:firstLine="420"/>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⑦</w:t>
            </w:r>
            <w:r>
              <w:rPr>
                <w:rFonts w:hint="default" w:ascii="Times New Roman" w:hAnsi="Times New Roman" w:eastAsia="仿宋" w:cs="Times New Roman"/>
                <w:color w:val="auto"/>
                <w:sz w:val="24"/>
                <w:szCs w:val="24"/>
              </w:rPr>
              <w:t>按照“谁受益、谁保护、谁治理，边开采边治理恢复、终止采矿活动时必须完成治理恢复”总原则，根据砂石料场实际情况制定近期目标远期规划目标，保证砂石料场生态环境良性发展。具体为：针对存在的环境问题，制定砂石料场生态环境治理方案；砂石料场开采结束后，要对砂石料场开采造成的对环境的破坏进行全面的治理恢复。</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4、水环境保护措施与污染对策</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本项目生产废水主要为降尘废水，经矿石吸收、自然蒸发后排放。</w:t>
            </w:r>
          </w:p>
          <w:p>
            <w:pPr>
              <w:adjustRightInd w:val="0"/>
              <w:snapToGrid w:val="0"/>
              <w:ind w:left="0" w:leftChars="0" w:firstLine="0" w:firstLineChars="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本项目所在区域地处偏僻，无排水管网，应新增化粪池，</w:t>
            </w:r>
            <w:r>
              <w:rPr>
                <w:rFonts w:hint="eastAsia" w:ascii="Times New Roman" w:hAnsi="Times New Roman" w:eastAsia="仿宋" w:cs="Times New Roman"/>
                <w:bCs/>
                <w:color w:val="auto"/>
                <w:spacing w:val="10"/>
                <w:kern w:val="2"/>
                <w:sz w:val="24"/>
                <w:szCs w:val="24"/>
                <w:highlight w:val="none"/>
                <w:lang w:val="en-US" w:eastAsia="zh-CN" w:bidi="ar-SA"/>
              </w:rPr>
              <w:t>食堂废水经隔油处理后与其他生活污水暂存于化粪池，定期委托个人由吸污泵车拉运至鄯善县污水处理厂处置</w:t>
            </w:r>
            <w:r>
              <w:rPr>
                <w:rFonts w:hint="default" w:ascii="Times New Roman" w:hAnsi="Times New Roman" w:eastAsia="仿宋" w:cs="Times New Roman"/>
                <w:bCs/>
                <w:color w:val="auto"/>
                <w:spacing w:val="10"/>
                <w:sz w:val="24"/>
                <w:szCs w:val="24"/>
                <w:highlight w:val="none"/>
              </w:rPr>
              <w:t>，不排入水体。环评要求对化粪池均采取防渗处理，防止地下水污染。</w:t>
            </w:r>
          </w:p>
          <w:p>
            <w:pPr>
              <w:adjustRightInd w:val="0"/>
              <w:snapToGrid w:val="0"/>
              <w:ind w:left="0" w:leftChars="0" w:firstLine="520" w:firstLineChars="200"/>
              <w:jc w:val="left"/>
              <w:rPr>
                <w:rFonts w:hint="default" w:ascii="Times New Roman" w:hAnsi="Times New Roman" w:eastAsia="仿宋" w:cs="Times New Roman"/>
                <w:bCs/>
                <w:color w:val="auto"/>
                <w:spacing w:val="10"/>
                <w:sz w:val="24"/>
                <w:szCs w:val="24"/>
                <w:highlight w:val="none"/>
              </w:rPr>
            </w:pPr>
            <w:r>
              <w:rPr>
                <w:rFonts w:hint="eastAsia" w:eastAsia="仿宋" w:cs="Times New Roman"/>
                <w:bCs/>
                <w:color w:val="auto"/>
                <w:spacing w:val="10"/>
                <w:sz w:val="24"/>
                <w:szCs w:val="24"/>
                <w:highlight w:val="none"/>
                <w:lang w:val="en-US" w:eastAsia="zh-CN"/>
              </w:rPr>
              <w:t>本项目开采后</w:t>
            </w:r>
            <w:r>
              <w:rPr>
                <w:rFonts w:hint="default" w:ascii="Times New Roman" w:hAnsi="Times New Roman" w:eastAsia="仿宋" w:cs="Times New Roman"/>
                <w:color w:val="auto"/>
                <w:kern w:val="0"/>
                <w:sz w:val="24"/>
                <w:szCs w:val="24"/>
                <w:highlight w:val="none"/>
                <w:lang w:val="en-US" w:eastAsia="zh-CN" w:bidi="ar"/>
              </w:rPr>
              <w:t>两者间高差产生的地下侧向径流发生变化</w:t>
            </w:r>
            <w:r>
              <w:rPr>
                <w:rFonts w:hint="eastAsia" w:ascii="Times New Roman" w:hAnsi="Times New Roman" w:eastAsia="仿宋" w:cs="Times New Roman"/>
                <w:color w:val="auto"/>
                <w:kern w:val="0"/>
                <w:sz w:val="24"/>
                <w:szCs w:val="24"/>
                <w:highlight w:val="none"/>
                <w:lang w:val="en-US" w:eastAsia="zh-CN" w:bidi="ar"/>
              </w:rPr>
              <w:t>会对坎儿井的景观造成影响，本次提出靠近坎儿井一侧开采境界外2米处修建截水沟</w:t>
            </w:r>
            <w:r>
              <w:rPr>
                <w:rFonts w:hint="eastAsia" w:eastAsia="仿宋" w:cs="Times New Roman"/>
                <w:color w:val="auto"/>
                <w:highlight w:val="none"/>
                <w:lang w:val="en-US" w:eastAsia="zh-CN"/>
              </w:rPr>
              <w:t>。</w:t>
            </w:r>
          </w:p>
          <w:p>
            <w:pPr>
              <w:adjustRightInd w:val="0"/>
              <w:snapToGrid w:val="0"/>
              <w:ind w:left="0" w:leftChars="0" w:firstLine="520" w:firstLineChars="200"/>
              <w:jc w:val="both"/>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鄯善县污水处理厂位于鄯善县辟展乡栏杆村东南一公里处，建设规模日处理污水1万吨，由鄯善县住房和城乡建设局建设，服务范围为鄯善县生活污水，设计出水水质为《城镇污水处理厂污染物排放标准》（GB18918-2012）一级A标准和《城市污水再生利用绿地灌溉水质》（GB/T25499-2010）表1中相关水质指标要求。该污水处理厂于2018年9月取得吐鲁番市环境保护局《关于鄯善县城排水改扩建二期（污水处理厂）建设项目环境影响报告表的批复》（文号：吐市环监函﹝2018﹞23号），于2019年9月组织环境保护竣工验收，2019年10月取得吐鲁番市生态环境局出具的固体废物竣工环境保护验收的函。</w:t>
            </w:r>
          </w:p>
          <w:p>
            <w:pPr>
              <w:adjustRightInd w:val="0"/>
              <w:snapToGrid w:val="0"/>
              <w:ind w:left="0" w:leftChars="0" w:firstLine="520" w:firstLineChars="200"/>
              <w:jc w:val="both"/>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本项目区位于鄯善县污水处理厂北侧</w:t>
            </w:r>
            <w:r>
              <w:rPr>
                <w:rFonts w:hint="eastAsia" w:eastAsia="仿宋" w:cs="Times New Roman"/>
                <w:bCs/>
                <w:color w:val="auto"/>
                <w:spacing w:val="10"/>
                <w:sz w:val="24"/>
                <w:szCs w:val="24"/>
                <w:highlight w:val="none"/>
                <w:lang w:val="en-US" w:eastAsia="zh-CN"/>
              </w:rPr>
              <w:t>13.12</w:t>
            </w:r>
            <w:r>
              <w:rPr>
                <w:rFonts w:hint="default" w:ascii="Times New Roman" w:hAnsi="Times New Roman" w:eastAsia="仿宋" w:cs="Times New Roman"/>
                <w:bCs/>
                <w:color w:val="auto"/>
                <w:spacing w:val="10"/>
                <w:sz w:val="24"/>
                <w:szCs w:val="24"/>
                <w:highlight w:val="none"/>
                <w:lang w:val="en-US" w:eastAsia="zh-CN"/>
              </w:rPr>
              <w:t>km处，生活污水排放量约为1.66m</w:t>
            </w:r>
            <w:r>
              <w:rPr>
                <w:rFonts w:hint="default" w:ascii="Times New Roman" w:hAnsi="Times New Roman" w:eastAsia="仿宋" w:cs="Times New Roman"/>
                <w:bCs/>
                <w:color w:val="auto"/>
                <w:spacing w:val="10"/>
                <w:sz w:val="24"/>
                <w:szCs w:val="24"/>
                <w:highlight w:val="none"/>
                <w:vertAlign w:val="superscript"/>
                <w:lang w:val="en-US" w:eastAsia="zh-CN"/>
              </w:rPr>
              <w:t>3</w:t>
            </w:r>
            <w:r>
              <w:rPr>
                <w:rFonts w:hint="default" w:ascii="Times New Roman" w:hAnsi="Times New Roman" w:eastAsia="仿宋" w:cs="Times New Roman"/>
                <w:bCs/>
                <w:color w:val="auto"/>
                <w:spacing w:val="10"/>
                <w:sz w:val="24"/>
                <w:szCs w:val="24"/>
                <w:highlight w:val="none"/>
                <w:lang w:val="en-US" w:eastAsia="zh-CN"/>
              </w:rPr>
              <w:t>/d，污水处理站处理能力为1万t/d，现已接纳污水处理量约为0.5万t/d，余量约为0.5万t/d，可容纳本项目生活污水。生活污水由化粪池定期拉运至鄯善县污水处理厂集中处理，不会对周围地下水环境产生不利影响。</w:t>
            </w:r>
          </w:p>
          <w:p>
            <w:pPr>
              <w:adjustRightInd w:val="0"/>
              <w:snapToGrid w:val="0"/>
              <w:ind w:left="0" w:leftChars="0" w:firstLine="520" w:firstLineChars="200"/>
              <w:jc w:val="left"/>
              <w:rPr>
                <w:rFonts w:hint="default" w:ascii="Times New Roman" w:hAnsi="Times New Roman" w:eastAsia="仿宋" w:cs="Times New Roman"/>
                <w:color w:val="auto"/>
              </w:rPr>
            </w:pPr>
            <w:r>
              <w:rPr>
                <w:rFonts w:hint="default" w:ascii="Times New Roman" w:hAnsi="Times New Roman" w:eastAsia="仿宋" w:cs="Times New Roman"/>
                <w:bCs/>
                <w:color w:val="auto"/>
                <w:spacing w:val="10"/>
                <w:sz w:val="24"/>
                <w:szCs w:val="24"/>
                <w:highlight w:val="none"/>
                <w:lang w:val="en-US" w:eastAsia="zh-CN"/>
              </w:rPr>
              <w:t>因此，鄯善县污水处理厂能接收本项目废水，本项目污水依托鄯善县污水处理厂处理可行。</w:t>
            </w:r>
          </w:p>
          <w:p>
            <w:pPr>
              <w:adjustRightInd w:val="0"/>
              <w:snapToGrid w:val="0"/>
              <w:ind w:firstLine="422"/>
              <w:jc w:val="left"/>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5、声环境保护措施与污染对策</w:t>
            </w:r>
          </w:p>
          <w:p>
            <w:pPr>
              <w:adjustRightInd w:val="0"/>
              <w:snapToGrid w:val="0"/>
              <w:ind w:firstLine="460"/>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sz w:val="24"/>
                <w:szCs w:val="24"/>
              </w:rPr>
              <w:t>项目噪声源主要为挖掘机、装载机、自卸卡车等。其源强值一般在80-90dB（A）之间。针对</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开采及运输过程产生的噪声，本项目拟采取以下噪声治理措施：</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选用低噪声设备</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目前各设备生产厂家已把低噪声作为衡量设备质量的重要标志。在满足工艺生产的前提下，设计中考虑选用设备精度高、装配质量好、低噪声的设备是必要且可行的，特别是噪声较大的设备如挖掘机、运输车辆等，更应尽可能选用低噪声设备。</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加强生产管理，降低噪声</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如</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adjustRightInd w:val="0"/>
              <w:snapToGrid w:val="0"/>
              <w:ind w:firstLine="462"/>
              <w:jc w:val="left"/>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6、固体废物处置措施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1</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生活垃圾</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生活垃圾统一收集到垃圾收集箱，</w:t>
            </w:r>
            <w:r>
              <w:rPr>
                <w:rFonts w:hint="default" w:ascii="Times New Roman" w:hAnsi="Times New Roman" w:eastAsia="仿宋" w:cs="Times New Roman"/>
                <w:bCs/>
                <w:color w:val="auto"/>
                <w:spacing w:val="10"/>
                <w:sz w:val="24"/>
                <w:szCs w:val="24"/>
                <w:highlight w:val="none"/>
                <w:lang w:val="en-US" w:eastAsia="zh-CN"/>
              </w:rPr>
              <w:t>拉运至环卫部门指定地点处置</w:t>
            </w:r>
            <w:r>
              <w:rPr>
                <w:rFonts w:hint="default" w:ascii="Times New Roman" w:hAnsi="Times New Roman" w:eastAsia="仿宋" w:cs="Times New Roman"/>
                <w:bCs/>
                <w:color w:val="auto"/>
                <w:spacing w:val="10"/>
                <w:sz w:val="24"/>
                <w:szCs w:val="24"/>
                <w:highlight w:val="none"/>
              </w:rPr>
              <w:t>。</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废石</w:t>
            </w:r>
          </w:p>
          <w:p>
            <w:pPr>
              <w:keepNext w:val="0"/>
              <w:keepLines w:val="0"/>
              <w:pageBreakBefore w:val="0"/>
              <w:widowControl w:val="0"/>
              <w:kinsoku/>
              <w:wordWrap/>
              <w:overflowPunct/>
              <w:topLinePunct w:val="0"/>
              <w:autoSpaceDE/>
              <w:autoSpaceDN/>
              <w:bidi w:val="0"/>
              <w:adjustRightInd/>
              <w:snapToGrid/>
              <w:ind w:firstLine="460"/>
              <w:jc w:val="both"/>
              <w:textAlignment w:val="auto"/>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开采过程产生的废砂石堆放在</w:t>
            </w:r>
            <w:r>
              <w:rPr>
                <w:rFonts w:hint="eastAsia" w:eastAsia="仿宋" w:cs="Times New Roman"/>
                <w:bCs/>
                <w:color w:val="auto"/>
                <w:spacing w:val="10"/>
                <w:sz w:val="24"/>
                <w:szCs w:val="24"/>
                <w:highlight w:val="none"/>
                <w:lang w:val="en-US" w:eastAsia="zh-CN"/>
              </w:rPr>
              <w:t>排土场</w:t>
            </w:r>
            <w:r>
              <w:rPr>
                <w:rFonts w:hint="default" w:ascii="Times New Roman" w:hAnsi="Times New Roman" w:eastAsia="仿宋" w:cs="Times New Roman"/>
                <w:bCs/>
                <w:color w:val="auto"/>
                <w:spacing w:val="10"/>
                <w:sz w:val="24"/>
                <w:szCs w:val="24"/>
                <w:highlight w:val="none"/>
              </w:rPr>
              <w:t>，闭矿后用于采坑回填。</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（3）</w:t>
            </w:r>
            <w:r>
              <w:rPr>
                <w:rFonts w:hint="eastAsia" w:eastAsia="仿宋" w:cs="Times New Roman"/>
                <w:color w:val="auto"/>
                <w:sz w:val="24"/>
                <w:szCs w:val="24"/>
                <w:lang w:val="en-US" w:eastAsia="zh-CN"/>
              </w:rPr>
              <w:t>防渗沉淀池的泥沙自然风干后定期回填至采坑</w:t>
            </w:r>
            <w:r>
              <w:rPr>
                <w:rFonts w:hint="eastAsia" w:eastAsia="仿宋" w:cs="Times New Roman"/>
                <w:bCs/>
                <w:color w:val="auto"/>
                <w:spacing w:val="1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废机油</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本项目设备运行维护会产生废机油等机修废物量约为0.</w:t>
            </w:r>
            <w:r>
              <w:rPr>
                <w:rFonts w:hint="eastAsia" w:eastAsia="仿宋" w:cs="Times New Roman"/>
                <w:color w:val="auto"/>
                <w:sz w:val="24"/>
                <w:szCs w:val="24"/>
                <w:highlight w:val="none"/>
                <w:lang w:val="en-US" w:eastAsia="zh-CN"/>
              </w:rPr>
              <w:t>48</w:t>
            </w:r>
            <w:r>
              <w:rPr>
                <w:rFonts w:hint="default" w:ascii="Times New Roman" w:hAnsi="Times New Roman" w:eastAsia="仿宋" w:cs="Times New Roman"/>
                <w:color w:val="auto"/>
                <w:sz w:val="24"/>
                <w:szCs w:val="24"/>
                <w:highlight w:val="none"/>
              </w:rPr>
              <w:t>t/a。环评要求按照</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color w:val="auto"/>
                <w:sz w:val="24"/>
                <w:szCs w:val="24"/>
                <w:highlight w:val="none"/>
              </w:rPr>
              <w:t>在矿区收集、暂存后交由有资质的单位处理处置</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本项目危险废物暂存间位于生活区东北侧，占地面积10平方米。</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w:t>
            </w:r>
            <w:r>
              <w:rPr>
                <w:rFonts w:hint="eastAsia" w:eastAsia="仿宋" w:cs="Times New Roman"/>
                <w:bCs/>
                <w:color w:val="auto"/>
                <w:spacing w:val="10"/>
                <w:sz w:val="24"/>
                <w:szCs w:val="24"/>
                <w:highlight w:val="none"/>
                <w:lang w:val="en-US" w:eastAsia="zh-CN"/>
              </w:rPr>
              <w:t>5</w:t>
            </w:r>
            <w:r>
              <w:rPr>
                <w:rFonts w:hint="default" w:ascii="Times New Roman" w:hAnsi="Times New Roman" w:eastAsia="仿宋" w:cs="Times New Roman"/>
                <w:bCs/>
                <w:color w:val="auto"/>
                <w:spacing w:val="10"/>
                <w:sz w:val="24"/>
                <w:szCs w:val="24"/>
                <w:highlight w:val="none"/>
                <w:lang w:val="en-US" w:eastAsia="zh-CN"/>
              </w:rPr>
              <w:t>）废机油桶</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废机油桶产生量按每个废机油桶20千克计，废机油桶规格为200千克/桶，废机油桶使用量为</w:t>
            </w:r>
            <w:r>
              <w:rPr>
                <w:rFonts w:hint="eastAsia" w:eastAsia="仿宋" w:cs="Times New Roman"/>
                <w:bCs/>
                <w:color w:val="auto"/>
                <w:spacing w:val="10"/>
                <w:sz w:val="24"/>
                <w:szCs w:val="24"/>
                <w:highlight w:val="none"/>
                <w:lang w:val="en-US" w:eastAsia="zh-CN"/>
              </w:rPr>
              <w:t>15</w:t>
            </w:r>
            <w:r>
              <w:rPr>
                <w:rFonts w:hint="default" w:ascii="Times New Roman" w:hAnsi="Times New Roman" w:eastAsia="仿宋" w:cs="Times New Roman"/>
                <w:bCs/>
                <w:color w:val="auto"/>
                <w:spacing w:val="10"/>
                <w:sz w:val="24"/>
                <w:szCs w:val="24"/>
                <w:highlight w:val="none"/>
                <w:lang w:val="en-US" w:eastAsia="zh-CN"/>
              </w:rPr>
              <w:t>个，则废机油桶产生量约为</w:t>
            </w:r>
            <w:r>
              <w:rPr>
                <w:rFonts w:hint="eastAsia" w:eastAsia="仿宋" w:cs="Times New Roman"/>
                <w:bCs/>
                <w:color w:val="auto"/>
                <w:spacing w:val="10"/>
                <w:sz w:val="24"/>
                <w:szCs w:val="24"/>
                <w:highlight w:val="none"/>
                <w:lang w:val="en-US" w:eastAsia="zh-CN"/>
              </w:rPr>
              <w:t>3</w:t>
            </w:r>
            <w:r>
              <w:rPr>
                <w:rFonts w:hint="default" w:ascii="Times New Roman" w:hAnsi="Times New Roman" w:eastAsia="仿宋" w:cs="Times New Roman"/>
                <w:bCs/>
                <w:color w:val="auto"/>
                <w:spacing w:val="10"/>
                <w:sz w:val="24"/>
                <w:szCs w:val="24"/>
                <w:highlight w:val="none"/>
                <w:lang w:val="en-US" w:eastAsia="zh-CN"/>
              </w:rPr>
              <w:t>吨/年。根据《国家危险废物名录》（2021版），废机油桶为危险废物，代码为“900-041-49含有或沾染毒性、感染性危险废物的废弃包装物、容器、过滤吸附介质”，存于厂区危废暂存间内，定期委托有资质单位进行清运处置。</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①危险废物的收集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在收集时，按《关于加强危险废物交换和转移管理工作的通知》要求，根据危险废物的性质和形态，采用相应材质、容器进行安全包装，并在包装的明显位置附上危险废物标签。通过严格检查，严防在装载、搬迁或运输中出现渗漏、溢出、抛洒或挥发等不利情况。本项目不提供收集服务，收集委托外单位收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②危险废物的暂存</w:t>
            </w:r>
          </w:p>
          <w:p>
            <w:pPr>
              <w:adjustRightInd w:val="0"/>
              <w:snapToGrid w:val="0"/>
              <w:ind w:left="0" w:leftChars="0" w:firstLine="520" w:firstLineChars="20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危险废物设危废暂存间，废机油、废机油桶暂存于危险废物暂存间（位于生活区北侧，约10m</w:t>
            </w:r>
            <w:r>
              <w:rPr>
                <w:rFonts w:hint="default" w:ascii="Times New Roman" w:hAnsi="Times New Roman" w:eastAsia="仿宋" w:cs="Times New Roman"/>
                <w:bCs/>
                <w:color w:val="auto"/>
                <w:spacing w:val="10"/>
                <w:sz w:val="24"/>
                <w:szCs w:val="24"/>
                <w:highlight w:val="none"/>
                <w:vertAlign w:val="superscript"/>
                <w:lang w:val="en-US" w:eastAsia="zh-CN"/>
              </w:rPr>
              <w:t>2</w:t>
            </w:r>
            <w:r>
              <w:rPr>
                <w:rFonts w:hint="default" w:ascii="Times New Roman" w:hAnsi="Times New Roman" w:eastAsia="仿宋" w:cs="Times New Roman"/>
                <w:bCs/>
                <w:color w:val="auto"/>
                <w:spacing w:val="10"/>
                <w:sz w:val="24"/>
                <w:szCs w:val="24"/>
                <w:highlight w:val="none"/>
                <w:lang w:val="en-US" w:eastAsia="zh-CN"/>
              </w:rPr>
              <w:t>，重点防渗，位于生活区北侧）</w:t>
            </w:r>
            <w:r>
              <w:rPr>
                <w:rFonts w:hint="eastAsia" w:eastAsia="仿宋" w:cs="Times New Roman"/>
                <w:bCs/>
                <w:color w:val="auto"/>
                <w:spacing w:val="10"/>
                <w:sz w:val="24"/>
                <w:szCs w:val="24"/>
                <w:highlight w:val="none"/>
                <w:lang w:val="en-US" w:eastAsia="zh-CN"/>
              </w:rPr>
              <w:t>，</w:t>
            </w:r>
            <w:r>
              <w:rPr>
                <w:rFonts w:hint="default" w:ascii="Times New Roman" w:hAnsi="Times New Roman" w:eastAsia="仿宋" w:cs="Times New Roman"/>
                <w:bCs/>
                <w:color w:val="auto"/>
                <w:spacing w:val="10"/>
                <w:sz w:val="24"/>
                <w:szCs w:val="24"/>
                <w:highlight w:val="none"/>
                <w:lang w:val="en-US" w:eastAsia="zh-CN"/>
              </w:rPr>
              <w:t>暂存间严格按</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bCs/>
                <w:color w:val="auto"/>
                <w:spacing w:val="10"/>
                <w:sz w:val="24"/>
                <w:szCs w:val="24"/>
                <w:highlight w:val="none"/>
                <w:lang w:val="en-US" w:eastAsia="zh-CN"/>
              </w:rPr>
              <w:t>及危险废物的其他相关规定进行设计建设，对地面防腐防渗，设有导流槽、废液收集池等可收集泄露的液态危险废物，危险废物分类收集，使用专用桶装，项目运营期产生的危险废物对周边大气环境、水环境影响不大。</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③危险废物的运输、转移</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暂存间地面防腐防渗，设有导流槽、废液收集池等可收集泄露的液态危险废物，场内转移运输过程对环境影响不大，危险废物自危险废物暂存间外运至处置单位的运输过程，由有资质危废处置单位处置，危废处置单位使用专用车辆，至场内收集、转移本项目运营期产生的危险废物，运输过程对环境影响不大。危险废物转移严格按照《危险废物转移联单管理办法》（部令第23号）执行。建立危险废物转移联单制度，在转移危险废物前，须按照国家有关规定报批危险废物转移计划，经批准后，向移出地环境保护行政主管部门申请领取联单，在危险废物转移前三日内报告移出地环境保护行政主管部门，并同时将预期到达时间报告接受地环境保护行政主管部门，每转移一车（次）危险废物，填写一份转移联单，使用专业运输车辆，按规定线路运输，建设单位应保留危险废物转移联单5年，以备环保部门检查。</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④危险废物管理措施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设立企业固废管理台账，规范危险废物情况的记录，记录上须注明危险废物的名称、来源、数量、特性和包装容器的类别、入库日期、存放库位、废物出库日期及接收单位名称，确保厂内所有危险废物流向清楚规范。制定和落实危险废物管理计划，执行危险废物申报登记制度。及时向当地环保部门申报危险废物种类、产生量、流向、处置等资料，办理临时申报登记手续。</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必须定期对所暂存的危险废物包装容器及暂存设施进行检查，发现破损，应及时采取措施清理更换。</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综上，项目运营期产生的危险废物均按照</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bCs/>
                <w:color w:val="auto"/>
                <w:spacing w:val="10"/>
                <w:sz w:val="24"/>
                <w:szCs w:val="24"/>
                <w:highlight w:val="none"/>
                <w:lang w:val="en-US" w:eastAsia="zh-CN"/>
              </w:rPr>
              <w:t>，暂存在危险废物暂存间内部设置符合标准要求的危险废物暂存场所，并委托有危废处置资质的单位处理。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通过采取上述措施，本项目所产生的固体废物全部得到妥善处置。因此，本项目固体废物处置措施是可行的。</w:t>
            </w:r>
          </w:p>
          <w:p>
            <w:pPr>
              <w:pStyle w:val="88"/>
              <w:ind w:left="0" w:leftChars="0" w:firstLine="522" w:firstLineChars="200"/>
              <w:rPr>
                <w:rFonts w:hint="default" w:ascii="Times New Roman" w:hAnsi="Times New Roman" w:eastAsia="仿宋" w:cs="Times New Roman"/>
                <w:b/>
                <w:bCs/>
                <w:color w:val="auto"/>
                <w:spacing w:val="10"/>
                <w:kern w:val="2"/>
                <w:sz w:val="24"/>
                <w:szCs w:val="24"/>
                <w:lang w:val="en-US" w:eastAsia="zh-CN" w:bidi="ar-SA"/>
              </w:rPr>
            </w:pPr>
            <w:r>
              <w:rPr>
                <w:rFonts w:hint="eastAsia" w:ascii="Times New Roman" w:hAnsi="Times New Roman" w:eastAsia="仿宋" w:cs="Times New Roman"/>
                <w:b/>
                <w:bCs/>
                <w:color w:val="auto"/>
                <w:spacing w:val="10"/>
                <w:kern w:val="2"/>
                <w:sz w:val="24"/>
                <w:szCs w:val="24"/>
                <w:lang w:val="en-US" w:eastAsia="zh-CN" w:bidi="ar-SA"/>
              </w:rPr>
              <w:t>7、</w:t>
            </w:r>
            <w:r>
              <w:rPr>
                <w:rFonts w:hint="default" w:ascii="Times New Roman" w:hAnsi="Times New Roman" w:eastAsia="仿宋" w:cs="Times New Roman"/>
                <w:b/>
                <w:bCs/>
                <w:color w:val="auto"/>
                <w:spacing w:val="10"/>
                <w:kern w:val="2"/>
                <w:sz w:val="24"/>
                <w:szCs w:val="24"/>
                <w:lang w:val="en-US" w:eastAsia="zh-CN" w:bidi="ar-SA"/>
              </w:rPr>
              <w:t>地下水、土壤防治措施</w:t>
            </w:r>
          </w:p>
          <w:p>
            <w:pPr>
              <w:pStyle w:val="88"/>
              <w:ind w:left="0" w:leftChars="0" w:firstLine="522" w:firstLineChars="200"/>
              <w:rPr>
                <w:rFonts w:hint="default" w:ascii="Times New Roman" w:hAnsi="Times New Roman" w:eastAsia="仿宋" w:cs="Times New Roman"/>
                <w:b/>
                <w:bCs w:val="0"/>
                <w:color w:val="auto"/>
                <w:spacing w:val="10"/>
                <w:kern w:val="2"/>
                <w:sz w:val="24"/>
                <w:szCs w:val="24"/>
                <w:highlight w:val="none"/>
                <w:lang w:val="en-US" w:eastAsia="zh-CN" w:bidi="ar-SA"/>
              </w:rPr>
            </w:pPr>
            <w:r>
              <w:rPr>
                <w:rFonts w:hint="eastAsia" w:ascii="Times New Roman" w:hAnsi="Times New Roman" w:eastAsia="仿宋" w:cs="Times New Roman"/>
                <w:b/>
                <w:bCs w:val="0"/>
                <w:color w:val="auto"/>
                <w:spacing w:val="10"/>
                <w:kern w:val="2"/>
                <w:sz w:val="24"/>
                <w:szCs w:val="24"/>
                <w:highlight w:val="none"/>
                <w:lang w:val="en-US" w:eastAsia="zh-CN" w:bidi="ar-SA"/>
              </w:rPr>
              <w:t>7.1</w:t>
            </w:r>
            <w:r>
              <w:rPr>
                <w:rFonts w:hint="default" w:ascii="Times New Roman" w:hAnsi="Times New Roman" w:eastAsia="仿宋" w:cs="Times New Roman"/>
                <w:b/>
                <w:bCs w:val="0"/>
                <w:color w:val="auto"/>
                <w:spacing w:val="10"/>
                <w:kern w:val="2"/>
                <w:sz w:val="24"/>
                <w:szCs w:val="24"/>
                <w:highlight w:val="none"/>
                <w:lang w:val="en-US" w:eastAsia="zh-CN" w:bidi="ar-SA"/>
              </w:rPr>
              <w:t>地下水、土壤污染源及污染途径</w:t>
            </w:r>
          </w:p>
          <w:p>
            <w:pPr>
              <w:pStyle w:val="88"/>
              <w:ind w:firstLine="482"/>
              <w:rPr>
                <w:rFonts w:ascii="Times New Roman" w:hAnsi="Times New Roman" w:eastAsia="宋体" w:cs="Times New Roman"/>
                <w:color w:val="auto"/>
                <w:kern w:val="2"/>
                <w:sz w:val="24"/>
                <w:szCs w:val="24"/>
                <w:lang w:val="en-US" w:eastAsia="zh-CN" w:bidi="ar-SA"/>
              </w:rPr>
            </w:pPr>
            <w:r>
              <w:rPr>
                <w:rFonts w:hint="eastAsia" w:ascii="Times New Roman" w:hAnsi="Times New Roman" w:eastAsia="仿宋" w:cs="Times New Roman"/>
                <w:bCs/>
                <w:color w:val="auto"/>
                <w:spacing w:val="10"/>
                <w:kern w:val="2"/>
                <w:sz w:val="24"/>
                <w:szCs w:val="24"/>
                <w:highlight w:val="none"/>
                <w:lang w:val="en-US" w:eastAsia="zh-CN" w:bidi="ar-SA"/>
              </w:rPr>
              <w:t>本项目食堂废水经隔油处理后与其他生活污水暂存于化粪池，定期委托个人由吸污泵车拉运至鄯善县污水处理厂处置，</w:t>
            </w:r>
            <w:r>
              <w:rPr>
                <w:rFonts w:hint="default" w:ascii="Times New Roman" w:hAnsi="Times New Roman" w:eastAsia="仿宋" w:cs="Times New Roman"/>
                <w:bCs/>
                <w:color w:val="auto"/>
                <w:spacing w:val="10"/>
                <w:kern w:val="2"/>
                <w:sz w:val="24"/>
                <w:szCs w:val="24"/>
                <w:highlight w:val="none"/>
                <w:lang w:val="en-US" w:eastAsia="zh-CN" w:bidi="ar-SA"/>
              </w:rPr>
              <w:t>危险废物暂存间按照《危险废物贮存污染控制97-2023）</w:t>
            </w:r>
            <w:r>
              <w:rPr>
                <w:rFonts w:hint="eastAsia" w:eastAsia="仿宋" w:cs="Times New Roman"/>
                <w:bCs/>
                <w:color w:val="auto"/>
                <w:spacing w:val="10"/>
                <w:kern w:val="2"/>
                <w:sz w:val="24"/>
                <w:szCs w:val="24"/>
                <w:highlight w:val="none"/>
                <w:lang w:val="en-US" w:eastAsia="zh-CN" w:bidi="ar-SA"/>
              </w:rPr>
              <w:t>》</w:t>
            </w:r>
            <w:r>
              <w:rPr>
                <w:rFonts w:hint="default" w:ascii="Times New Roman" w:hAnsi="Times New Roman" w:eastAsia="仿宋" w:cs="Times New Roman"/>
                <w:bCs/>
                <w:color w:val="auto"/>
                <w:spacing w:val="10"/>
                <w:kern w:val="2"/>
                <w:sz w:val="24"/>
                <w:szCs w:val="24"/>
                <w:highlight w:val="none"/>
                <w:lang w:val="en-US" w:eastAsia="zh-CN" w:bidi="ar-SA"/>
              </w:rPr>
              <w:t>及其修改单要求做防渗处理，且项目废物均为固体废物</w:t>
            </w:r>
            <w:r>
              <w:rPr>
                <w:rFonts w:hint="eastAsia" w:ascii="Times New Roman" w:hAnsi="Times New Roman" w:eastAsia="仿宋" w:cs="Times New Roman"/>
                <w:bCs/>
                <w:color w:val="auto"/>
                <w:spacing w:val="10"/>
                <w:kern w:val="2"/>
                <w:sz w:val="24"/>
                <w:szCs w:val="24"/>
                <w:highlight w:val="none"/>
                <w:lang w:val="en-US" w:eastAsia="zh-CN" w:bidi="ar-SA"/>
              </w:rPr>
              <w:t>，</w:t>
            </w:r>
            <w:r>
              <w:rPr>
                <w:rFonts w:hint="default" w:ascii="Times New Roman" w:hAnsi="Times New Roman" w:eastAsia="仿宋" w:cs="Times New Roman"/>
                <w:bCs/>
                <w:color w:val="auto"/>
                <w:spacing w:val="10"/>
                <w:kern w:val="2"/>
                <w:sz w:val="24"/>
                <w:szCs w:val="24"/>
                <w:highlight w:val="none"/>
                <w:lang w:val="en-US" w:eastAsia="zh-CN" w:bidi="ar-SA"/>
              </w:rPr>
              <w:t>即项目正常工况下不对地下水和土壤造成环境污染</w:t>
            </w:r>
            <w:r>
              <w:rPr>
                <w:rFonts w:hint="eastAsia" w:ascii="Times New Roman" w:hAnsi="Times New Roman" w:eastAsia="仿宋" w:cs="Times New Roman"/>
                <w:bCs/>
                <w:color w:val="auto"/>
                <w:spacing w:val="10"/>
                <w:kern w:val="2"/>
                <w:sz w:val="24"/>
                <w:szCs w:val="24"/>
                <w:highlight w:val="none"/>
                <w:lang w:val="en-US" w:eastAsia="zh-CN" w:bidi="ar-SA"/>
              </w:rPr>
              <w:t>。</w:t>
            </w:r>
          </w:p>
          <w:p>
            <w:pPr>
              <w:pStyle w:val="88"/>
              <w:ind w:left="0" w:leftChars="0" w:firstLine="522" w:firstLineChars="200"/>
              <w:rPr>
                <w:rFonts w:hint="eastAsia" w:ascii="Times New Roman" w:hAnsi="Times New Roman" w:eastAsia="仿宋" w:cs="Times New Roman"/>
                <w:b/>
                <w:bCs w:val="0"/>
                <w:color w:val="auto"/>
                <w:spacing w:val="10"/>
                <w:kern w:val="2"/>
                <w:sz w:val="24"/>
                <w:szCs w:val="24"/>
                <w:highlight w:val="none"/>
                <w:lang w:val="en-US" w:eastAsia="zh-CN" w:bidi="ar-SA"/>
              </w:rPr>
            </w:pPr>
            <w:r>
              <w:rPr>
                <w:rFonts w:hint="eastAsia" w:ascii="Times New Roman" w:hAnsi="Times New Roman" w:eastAsia="仿宋" w:cs="Times New Roman"/>
                <w:b/>
                <w:bCs w:val="0"/>
                <w:color w:val="auto"/>
                <w:spacing w:val="10"/>
                <w:kern w:val="2"/>
                <w:sz w:val="24"/>
                <w:szCs w:val="24"/>
                <w:highlight w:val="none"/>
                <w:lang w:val="en-US" w:eastAsia="zh-CN" w:bidi="ar-SA"/>
              </w:rPr>
              <w:t>7.2防控措施</w:t>
            </w:r>
          </w:p>
          <w:p>
            <w:pPr>
              <w:pStyle w:val="88"/>
              <w:spacing w:line="480" w:lineRule="exact"/>
              <w:ind w:firstLine="480"/>
              <w:rPr>
                <w:color w:val="auto"/>
                <w:sz w:val="24"/>
                <w:szCs w:val="24"/>
              </w:rPr>
            </w:pPr>
            <w:r>
              <w:rPr>
                <w:rFonts w:hint="default" w:ascii="Times New Roman" w:hAnsi="Times New Roman" w:eastAsia="仿宋" w:cs="Times New Roman"/>
                <w:bCs/>
                <w:color w:val="auto"/>
                <w:spacing w:val="10"/>
                <w:kern w:val="2"/>
                <w:sz w:val="24"/>
                <w:szCs w:val="24"/>
                <w:highlight w:val="none"/>
                <w:lang w:val="en-US" w:eastAsia="zh-CN" w:bidi="ar-SA"/>
              </w:rPr>
              <w:t>为有效预防地下水及土壤污染，本项目采取分区防渗措施。结合本项目工艺特点，</w:t>
            </w:r>
            <w:r>
              <w:rPr>
                <w:rFonts w:hint="eastAsia" w:ascii="Times New Roman" w:hAnsi="Times New Roman" w:eastAsia="仿宋" w:cs="Times New Roman"/>
                <w:bCs/>
                <w:color w:val="auto"/>
                <w:spacing w:val="10"/>
                <w:kern w:val="2"/>
                <w:sz w:val="24"/>
                <w:szCs w:val="24"/>
                <w:highlight w:val="none"/>
                <w:lang w:val="en-US" w:eastAsia="zh-CN" w:bidi="ar-SA"/>
              </w:rPr>
              <w:t>本项目</w:t>
            </w:r>
            <w:r>
              <w:rPr>
                <w:rFonts w:hint="default" w:ascii="Times New Roman" w:hAnsi="Times New Roman" w:eastAsia="仿宋" w:cs="Times New Roman"/>
                <w:bCs/>
                <w:color w:val="auto"/>
                <w:spacing w:val="10"/>
                <w:kern w:val="2"/>
                <w:sz w:val="24"/>
                <w:szCs w:val="24"/>
                <w:highlight w:val="none"/>
                <w:lang w:val="en-US" w:eastAsia="zh-CN" w:bidi="ar-SA"/>
              </w:rPr>
              <w:t>重点防渗区为危险废物暂存间</w:t>
            </w:r>
            <w:r>
              <w:rPr>
                <w:rFonts w:hint="eastAsia" w:ascii="Times New Roman" w:hAnsi="Times New Roman" w:eastAsia="仿宋" w:cs="Times New Roman"/>
                <w:bCs/>
                <w:color w:val="auto"/>
                <w:spacing w:val="10"/>
                <w:kern w:val="2"/>
                <w:sz w:val="24"/>
                <w:szCs w:val="24"/>
                <w:highlight w:val="none"/>
                <w:lang w:val="en-US" w:eastAsia="zh-CN" w:bidi="ar-SA"/>
              </w:rPr>
              <w:t>、化粪池、沉淀池，根据《环境影响评价技术导则地下水环境》中对重点防渗区的“等效黏土层≥6.0米、渗透系数小1.0×10</w:t>
            </w:r>
            <w:r>
              <w:rPr>
                <w:rFonts w:hint="eastAsia" w:ascii="Times New Roman" w:hAnsi="Times New Roman" w:eastAsia="仿宋" w:cs="Times New Roman"/>
                <w:bCs/>
                <w:color w:val="auto"/>
                <w:spacing w:val="10"/>
                <w:kern w:val="2"/>
                <w:sz w:val="24"/>
                <w:szCs w:val="24"/>
                <w:highlight w:val="none"/>
                <w:vertAlign w:val="superscript"/>
                <w:lang w:val="en-US" w:eastAsia="zh-CN" w:bidi="ar-SA"/>
              </w:rPr>
              <w:t>-10</w:t>
            </w:r>
            <w:r>
              <w:rPr>
                <w:rFonts w:hint="eastAsia" w:ascii="Times New Roman" w:hAnsi="Times New Roman" w:eastAsia="仿宋" w:cs="Times New Roman"/>
                <w:bCs/>
                <w:color w:val="auto"/>
                <w:spacing w:val="10"/>
                <w:kern w:val="2"/>
                <w:sz w:val="24"/>
                <w:szCs w:val="24"/>
                <w:highlight w:val="none"/>
                <w:lang w:val="en-US" w:eastAsia="zh-CN" w:bidi="ar-SA"/>
              </w:rPr>
              <w:t>厘米/秒”的防渗要求</w:t>
            </w:r>
            <w:r>
              <w:rPr>
                <w:rFonts w:hint="default" w:ascii="Times New Roman" w:hAnsi="Times New Roman" w:eastAsia="仿宋" w:cs="Times New Roman"/>
                <w:bCs/>
                <w:color w:val="auto"/>
                <w:spacing w:val="10"/>
                <w:kern w:val="2"/>
                <w:sz w:val="24"/>
                <w:szCs w:val="24"/>
                <w:highlight w:val="none"/>
                <w:lang w:val="en-US" w:eastAsia="zh-CN" w:bidi="ar-SA"/>
              </w:rPr>
              <w:t>，</w:t>
            </w:r>
            <w:r>
              <w:rPr>
                <w:rFonts w:hint="eastAsia" w:ascii="Times New Roman" w:hAnsi="Times New Roman" w:eastAsia="仿宋" w:cs="Times New Roman"/>
                <w:bCs/>
                <w:color w:val="auto"/>
                <w:spacing w:val="10"/>
                <w:kern w:val="2"/>
                <w:sz w:val="24"/>
                <w:szCs w:val="24"/>
                <w:highlight w:val="none"/>
                <w:lang w:val="en-US" w:eastAsia="zh-CN" w:bidi="ar-SA"/>
              </w:rPr>
              <w:t>生活区为一般防渗，</w:t>
            </w:r>
            <w:r>
              <w:rPr>
                <w:rFonts w:hint="default" w:ascii="Times New Roman" w:hAnsi="Times New Roman" w:eastAsia="仿宋" w:cs="Times New Roman"/>
                <w:bCs/>
                <w:color w:val="auto"/>
                <w:spacing w:val="10"/>
                <w:kern w:val="2"/>
                <w:sz w:val="24"/>
                <w:szCs w:val="24"/>
                <w:highlight w:val="none"/>
                <w:lang w:val="en-US" w:eastAsia="zh-CN" w:bidi="ar-SA"/>
              </w:rPr>
              <w:t>主要进行一般地面硬化措施。在抗渗混凝土面层（包括钢筋混凝土、钢纤维混凝土）中掺水泥基渗透结晶型防水剂，其下铺砌砂石基层，原土夯实达到防渗的目的。</w:t>
            </w:r>
          </w:p>
          <w:p>
            <w:pPr>
              <w:adjustRightInd w:val="0"/>
              <w:snapToGrid w:val="0"/>
              <w:ind w:firstLine="462"/>
              <w:jc w:val="left"/>
              <w:rPr>
                <w:rFonts w:hint="default" w:ascii="Times New Roman" w:hAnsi="Times New Roman" w:eastAsia="仿宋" w:cs="Times New Roman"/>
                <w:b/>
                <w:bCs/>
                <w:color w:val="auto"/>
                <w:spacing w:val="10"/>
                <w:sz w:val="24"/>
                <w:szCs w:val="24"/>
              </w:rPr>
            </w:pPr>
            <w:r>
              <w:rPr>
                <w:rFonts w:hint="eastAsia" w:eastAsia="仿宋" w:cs="Times New Roman"/>
                <w:b/>
                <w:bCs/>
                <w:color w:val="auto"/>
                <w:spacing w:val="10"/>
                <w:sz w:val="24"/>
                <w:szCs w:val="24"/>
                <w:lang w:val="en-US" w:eastAsia="zh-CN"/>
              </w:rPr>
              <w:t>8</w:t>
            </w:r>
            <w:r>
              <w:rPr>
                <w:rFonts w:hint="default" w:ascii="Times New Roman" w:hAnsi="Times New Roman" w:eastAsia="仿宋" w:cs="Times New Roman"/>
                <w:b/>
                <w:bCs/>
                <w:color w:val="auto"/>
                <w:spacing w:val="10"/>
                <w:sz w:val="24"/>
                <w:szCs w:val="24"/>
              </w:rPr>
              <w:t>、环境风险</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eastAsia" w:eastAsia="仿宋" w:cs="Times New Roman"/>
                <w:b/>
                <w:bCs w:val="0"/>
                <w:color w:val="auto"/>
                <w:spacing w:val="10"/>
                <w:sz w:val="24"/>
                <w:szCs w:val="24"/>
                <w:lang w:val="en-US" w:eastAsia="zh-CN"/>
              </w:rPr>
              <w:t>8</w:t>
            </w:r>
            <w:r>
              <w:rPr>
                <w:rFonts w:hint="default" w:ascii="Times New Roman" w:hAnsi="Times New Roman" w:eastAsia="仿宋" w:cs="Times New Roman"/>
                <w:b/>
                <w:bCs w:val="0"/>
                <w:color w:val="auto"/>
                <w:spacing w:val="10"/>
                <w:sz w:val="24"/>
                <w:szCs w:val="24"/>
                <w:lang w:val="en-US" w:eastAsia="zh-CN"/>
              </w:rPr>
              <w:t>.</w:t>
            </w:r>
            <w:r>
              <w:rPr>
                <w:rFonts w:hint="default" w:ascii="Times New Roman" w:hAnsi="Times New Roman" w:eastAsia="仿宋" w:cs="Times New Roman"/>
                <w:b/>
                <w:bCs w:val="0"/>
                <w:color w:val="auto"/>
                <w:spacing w:val="10"/>
                <w:sz w:val="24"/>
                <w:szCs w:val="24"/>
                <w:lang w:eastAsia="zh-CN"/>
              </w:rPr>
              <w:t>1风险调查</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参照《建设项目环境风险评价技术导则》(HJ/T169-2018)，本项目不涉及高温、高压、易燃易爆工艺，项目所在地不属于环境敏感地区；项目营运期的废气主要为TSP，无废水产生，危险废物为废矿物油，地质灾害风险为堆场、采场滑坡。本项目不设置柴油储罐，采用罐车拉运方式。</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因此项目涉及危险物质为废矿物油，可能发生的环境风险事故为矿山地质灾害、地面塌陷事故及废石临时堆场垮塌滑坡等事故，对事故区域及</w:t>
            </w:r>
          </w:p>
          <w:p>
            <w:pPr>
              <w:adjustRightInd w:val="0"/>
              <w:snapToGrid w:val="0"/>
              <w:ind w:left="0" w:leftChars="0" w:firstLine="0" w:firstLineChars="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下游环境质量及人员健康安全产生的影响。</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eastAsia" w:eastAsia="仿宋" w:cs="Times New Roman"/>
                <w:b/>
                <w:bCs w:val="0"/>
                <w:color w:val="auto"/>
                <w:spacing w:val="10"/>
                <w:sz w:val="24"/>
                <w:szCs w:val="24"/>
                <w:lang w:val="en-US" w:eastAsia="zh-CN"/>
              </w:rPr>
              <w:t>8</w:t>
            </w:r>
            <w:r>
              <w:rPr>
                <w:rFonts w:hint="default" w:ascii="Times New Roman" w:hAnsi="Times New Roman" w:eastAsia="仿宋" w:cs="Times New Roman"/>
                <w:b/>
                <w:bCs w:val="0"/>
                <w:color w:val="auto"/>
                <w:spacing w:val="10"/>
                <w:sz w:val="24"/>
                <w:szCs w:val="24"/>
                <w:lang w:val="en-US" w:eastAsia="zh-CN"/>
              </w:rPr>
              <w:t>.2</w:t>
            </w:r>
            <w:r>
              <w:rPr>
                <w:rFonts w:hint="default" w:ascii="Times New Roman" w:hAnsi="Times New Roman" w:eastAsia="仿宋" w:cs="Times New Roman"/>
                <w:b/>
                <w:bCs w:val="0"/>
                <w:color w:val="auto"/>
                <w:spacing w:val="10"/>
                <w:sz w:val="24"/>
                <w:szCs w:val="24"/>
                <w:lang w:eastAsia="zh-CN"/>
              </w:rPr>
              <w:t>环境风险潜势初判与评价等级划分</w:t>
            </w:r>
          </w:p>
          <w:p>
            <w:pPr>
              <w:pStyle w:val="86"/>
              <w:keepNext w:val="0"/>
              <w:keepLines w:val="0"/>
              <w:pageBreakBefore w:val="0"/>
              <w:widowControl w:val="0"/>
              <w:kinsoku/>
              <w:wordWrap/>
              <w:overflowPunct/>
              <w:topLinePunct w:val="0"/>
              <w:autoSpaceDE/>
              <w:autoSpaceDN/>
              <w:bidi w:val="0"/>
              <w:adjustRightInd/>
              <w:snapToGrid/>
              <w:spacing w:line="219" w:lineRule="auto"/>
              <w:ind w:left="0" w:leftChars="0" w:firstLine="520" w:firstLineChars="200"/>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（1）环境风险潜势初判</w:t>
            </w:r>
          </w:p>
          <w:p>
            <w:pPr>
              <w:pStyle w:val="86"/>
              <w:spacing w:before="183" w:line="359" w:lineRule="auto"/>
              <w:ind w:left="0" w:leftChars="0" w:right="103" w:firstLine="520" w:firstLineChars="200"/>
              <w:jc w:val="both"/>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当企业只涉及一种环境危险物质时，计算该物质的总数量与其临界量比值，即为Q；</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520" w:firstLineChars="200"/>
              <w:jc w:val="both"/>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当企业存在多种环境危险物质时，则按下式计算物质总量与其临界量</w:t>
            </w:r>
            <w:r>
              <w:rPr>
                <w:rFonts w:hint="default" w:ascii="Times New Roman" w:hAnsi="Times New Roman" w:eastAsia="仿宋" w:cs="Times New Roman"/>
                <w:color w:val="auto"/>
                <w:sz w:val="24"/>
                <w:szCs w:val="24"/>
              </w:rPr>
              <w:drawing>
                <wp:anchor distT="0" distB="0" distL="114300" distR="114300" simplePos="0" relativeHeight="251692032" behindDoc="1" locked="0" layoutInCell="1" allowOverlap="1">
                  <wp:simplePos x="0" y="0"/>
                  <wp:positionH relativeFrom="column">
                    <wp:posOffset>1623060</wp:posOffset>
                  </wp:positionH>
                  <wp:positionV relativeFrom="paragraph">
                    <wp:posOffset>173355</wp:posOffset>
                  </wp:positionV>
                  <wp:extent cx="1833880" cy="625475"/>
                  <wp:effectExtent l="0" t="0" r="13970" b="3175"/>
                  <wp:wrapNone/>
                  <wp:docPr id="1" name="图片 2"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3"/>
                          <pic:cNvPicPr>
                            <a:picLocks noChangeAspect="1"/>
                          </pic:cNvPicPr>
                        </pic:nvPicPr>
                        <pic:blipFill>
                          <a:blip r:embed="rId23"/>
                          <a:stretch>
                            <a:fillRect/>
                          </a:stretch>
                        </pic:blipFill>
                        <pic:spPr>
                          <a:xfrm>
                            <a:off x="0" y="0"/>
                            <a:ext cx="1833880" cy="625475"/>
                          </a:xfrm>
                          <a:prstGeom prst="rect">
                            <a:avLst/>
                          </a:prstGeom>
                          <a:noFill/>
                          <a:ln>
                            <a:noFill/>
                          </a:ln>
                        </pic:spPr>
                      </pic:pic>
                    </a:graphicData>
                  </a:graphic>
                </wp:anchor>
              </w:drawing>
            </w:r>
            <w:r>
              <w:rPr>
                <w:rFonts w:hint="default" w:ascii="Times New Roman" w:hAnsi="Times New Roman" w:eastAsia="仿宋" w:cs="Times New Roman"/>
                <w:bCs/>
                <w:color w:val="auto"/>
                <w:spacing w:val="10"/>
                <w:kern w:val="2"/>
                <w:sz w:val="24"/>
                <w:szCs w:val="24"/>
                <w:lang w:val="en-US" w:eastAsia="zh-CN" w:bidi="ar-SA"/>
              </w:rPr>
              <w:t>比值：</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520" w:firstLineChars="200"/>
              <w:jc w:val="both"/>
              <w:textAlignment w:val="auto"/>
              <w:rPr>
                <w:rFonts w:hint="default" w:ascii="Times New Roman" w:hAnsi="Times New Roman" w:eastAsia="仿宋" w:cs="Times New Roman"/>
                <w:bCs/>
                <w:color w:val="auto"/>
                <w:spacing w:val="1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b/>
                <w:bCs w:val="0"/>
                <w:color w:val="auto"/>
                <w:spacing w:val="10"/>
                <w:sz w:val="21"/>
                <w:szCs w:val="21"/>
                <w:lang w:val="en-US" w:eastAsia="zh-CN"/>
              </w:rPr>
            </w:pP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按照《建设项目环境风险评价技术导则》（HJ169-2018）附录B，结合各种物质的理化性质及毒理毒性，可识别出本项目的危险物质及临界量。根据下式计算危险物质及临界量的比值Q：</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qi，q2，…，qn——每种危险物质的最大存在总量，</w:t>
            </w:r>
            <w:r>
              <w:rPr>
                <w:rFonts w:hint="default" w:ascii="Times New Roman" w:hAnsi="Times New Roman" w:eastAsia="仿宋" w:cs="Times New Roman"/>
                <w:color w:val="auto"/>
                <w:sz w:val="24"/>
                <w:szCs w:val="24"/>
                <w:lang w:val="en-US" w:eastAsia="zh-CN"/>
              </w:rPr>
              <w:t>吨</w:t>
            </w:r>
            <w:r>
              <w:rPr>
                <w:rFonts w:hint="default" w:ascii="Times New Roman" w:hAnsi="Times New Roman" w:eastAsia="仿宋" w:cs="Times New Roman"/>
                <w:color w:val="auto"/>
                <w:sz w:val="24"/>
                <w:szCs w:val="24"/>
              </w:rPr>
              <w:t>；</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Qi，Q2，…，Qn</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t>每种危险物质的临界量，</w:t>
            </w:r>
            <w:r>
              <w:rPr>
                <w:rFonts w:hint="default" w:ascii="Times New Roman" w:hAnsi="Times New Roman" w:eastAsia="仿宋" w:cs="Times New Roman"/>
                <w:color w:val="auto"/>
                <w:sz w:val="24"/>
                <w:szCs w:val="24"/>
                <w:lang w:val="en-US" w:eastAsia="zh-CN"/>
              </w:rPr>
              <w:t>吨</w:t>
            </w:r>
            <w:r>
              <w:rPr>
                <w:rFonts w:hint="default" w:ascii="Times New Roman" w:hAnsi="Times New Roman" w:eastAsia="仿宋" w:cs="Times New Roman"/>
                <w:color w:val="auto"/>
                <w:sz w:val="24"/>
                <w:szCs w:val="24"/>
              </w:rPr>
              <w:t>。</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当Q＜1时，该项目环境风险潜势为Ⅰ。</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当Q≥1时，将Q值划分为：</w:t>
            </w:r>
          </w:p>
          <w:p>
            <w:pPr>
              <w:keepNext w:val="0"/>
              <w:keepLines w:val="0"/>
              <w:pageBreakBefore w:val="0"/>
              <w:widowControl w:val="0"/>
              <w:kinsoku/>
              <w:wordWrap/>
              <w:overflowPunct/>
              <w:topLinePunct w:val="0"/>
              <w:autoSpaceDE/>
              <w:autoSpaceDN/>
              <w:bidi w:val="0"/>
              <w:adjustRightInd/>
              <w:snapToGrid/>
              <w:spacing w:line="360" w:lineRule="auto"/>
              <w:ind w:firstLine="460"/>
              <w:jc w:val="both"/>
              <w:textAlignment w:val="auto"/>
              <w:rPr>
                <w:rFonts w:hint="default" w:ascii="Times New Roman" w:hAnsi="Times New Roman" w:eastAsia="仿宋" w:cs="Times New Roman"/>
                <w:b/>
                <w:bCs w:val="0"/>
                <w:color w:val="auto"/>
                <w:spacing w:val="10"/>
                <w:sz w:val="21"/>
                <w:szCs w:val="21"/>
                <w:lang w:val="en-US" w:eastAsia="zh-CN"/>
              </w:rPr>
            </w:pPr>
            <w:r>
              <w:rPr>
                <w:rFonts w:hint="default" w:ascii="Times New Roman" w:hAnsi="Times New Roman" w:eastAsia="仿宋" w:cs="Times New Roman"/>
                <w:color w:val="auto"/>
                <w:sz w:val="24"/>
                <w:szCs w:val="24"/>
              </w:rPr>
              <w:t>（1）1≤Q＜10；（2）10≤Q＜100；（3）Q≥100。</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r>
              <w:rPr>
                <w:rFonts w:hint="eastAsia" w:ascii="Times New Roman" w:hAnsi="Times New Roman" w:eastAsia="仿宋" w:cs="Times New Roman"/>
                <w:b/>
                <w:bCs w:val="0"/>
                <w:color w:val="auto"/>
                <w:spacing w:val="10"/>
                <w:sz w:val="21"/>
                <w:szCs w:val="21"/>
                <w:lang w:val="en-US" w:eastAsia="zh-CN"/>
              </w:rPr>
              <w:t>表5-1</w:t>
            </w:r>
            <w:r>
              <w:rPr>
                <w:rFonts w:hint="default" w:ascii="Times New Roman" w:hAnsi="Times New Roman" w:eastAsia="仿宋" w:cs="Times New Roman"/>
                <w:b/>
                <w:bCs w:val="0"/>
                <w:color w:val="auto"/>
                <w:spacing w:val="10"/>
                <w:sz w:val="21"/>
                <w:szCs w:val="21"/>
                <w:lang w:val="en-US" w:eastAsia="zh-CN"/>
              </w:rPr>
              <w:t>风险物质最大存在量与临界值表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489"/>
              <w:gridCol w:w="2669"/>
              <w:gridCol w:w="121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eastAsia="zh-CN"/>
                    </w:rPr>
                  </w:pPr>
                  <w:r>
                    <w:rPr>
                      <w:rFonts w:hint="default" w:ascii="Times New Roman" w:hAnsi="Times New Roman" w:eastAsia="仿宋" w:cs="Times New Roman"/>
                      <w:b w:val="0"/>
                      <w:bCs w:val="0"/>
                      <w:color w:val="auto"/>
                      <w:spacing w:val="10"/>
                      <w:sz w:val="21"/>
                      <w:szCs w:val="21"/>
                      <w:vertAlign w:val="baseline"/>
                      <w:lang w:eastAsia="zh-CN"/>
                    </w:rPr>
                    <w:t>序号</w:t>
                  </w:r>
                </w:p>
              </w:tc>
              <w:tc>
                <w:tcPr>
                  <w:tcW w:w="1489"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3"/>
                      <w:sz w:val="21"/>
                      <w:szCs w:val="21"/>
                    </w:rPr>
                    <w:t>名称</w:t>
                  </w:r>
                </w:p>
              </w:tc>
              <w:tc>
                <w:tcPr>
                  <w:tcW w:w="266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kern w:val="2"/>
                      <w:sz w:val="21"/>
                      <w:szCs w:val="21"/>
                      <w:vertAlign w:val="baseline"/>
                      <w:lang w:val="en-US" w:eastAsia="zh-CN" w:bidi="ar-SA"/>
                    </w:rPr>
                  </w:pPr>
                  <w:r>
                    <w:rPr>
                      <w:rFonts w:hint="default" w:ascii="Times New Roman" w:hAnsi="Times New Roman" w:eastAsia="仿宋" w:cs="Times New Roman"/>
                      <w:b w:val="0"/>
                      <w:bCs w:val="0"/>
                      <w:color w:val="auto"/>
                      <w:spacing w:val="10"/>
                      <w:sz w:val="21"/>
                      <w:szCs w:val="21"/>
                      <w:vertAlign w:val="baseline"/>
                      <w:lang w:eastAsia="zh-CN"/>
                    </w:rPr>
                    <w:t>风险物质最大存在量（</w:t>
                  </w:r>
                  <w:r>
                    <w:rPr>
                      <w:rFonts w:hint="default" w:ascii="Times New Roman" w:hAnsi="Times New Roman" w:eastAsia="仿宋" w:cs="Times New Roman"/>
                      <w:b w:val="0"/>
                      <w:bCs w:val="0"/>
                      <w:color w:val="auto"/>
                      <w:spacing w:val="10"/>
                      <w:sz w:val="21"/>
                      <w:szCs w:val="21"/>
                      <w:vertAlign w:val="baseline"/>
                      <w:lang w:val="en-US" w:eastAsia="zh-CN"/>
                    </w:rPr>
                    <w:t>t</w:t>
                  </w:r>
                  <w:r>
                    <w:rPr>
                      <w:rFonts w:hint="default" w:ascii="Times New Roman" w:hAnsi="Times New Roman" w:eastAsia="仿宋" w:cs="Times New Roman"/>
                      <w:b w:val="0"/>
                      <w:bCs w:val="0"/>
                      <w:color w:val="auto"/>
                      <w:spacing w:val="10"/>
                      <w:sz w:val="21"/>
                      <w:szCs w:val="21"/>
                      <w:vertAlign w:val="baseline"/>
                      <w:lang w:eastAsia="zh-CN"/>
                    </w:rPr>
                    <w:t>）</w:t>
                  </w:r>
                </w:p>
              </w:tc>
              <w:tc>
                <w:tcPr>
                  <w:tcW w:w="12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kern w:val="2"/>
                      <w:sz w:val="21"/>
                      <w:szCs w:val="21"/>
                      <w:vertAlign w:val="baseline"/>
                      <w:lang w:val="en-US" w:eastAsia="zh-CN" w:bidi="ar-SA"/>
                    </w:rPr>
                  </w:pPr>
                  <w:r>
                    <w:rPr>
                      <w:rFonts w:hint="default" w:ascii="Times New Roman" w:hAnsi="Times New Roman" w:eastAsia="仿宋" w:cs="Times New Roman"/>
                      <w:b w:val="0"/>
                      <w:bCs w:val="0"/>
                      <w:color w:val="auto"/>
                      <w:spacing w:val="10"/>
                      <w:sz w:val="21"/>
                      <w:szCs w:val="21"/>
                      <w:vertAlign w:val="baseline"/>
                      <w:lang w:eastAsia="zh-CN"/>
                    </w:rPr>
                    <w:t>临界量</w:t>
                  </w: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1</w:t>
                  </w:r>
                </w:p>
              </w:tc>
              <w:tc>
                <w:tcPr>
                  <w:tcW w:w="1489"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color w:val="auto"/>
                      <w:spacing w:val="10"/>
                      <w:sz w:val="21"/>
                      <w:szCs w:val="21"/>
                      <w:vertAlign w:val="baseline"/>
                    </w:rPr>
                  </w:pPr>
                  <w:r>
                    <w:rPr>
                      <w:rFonts w:hint="default" w:ascii="Times New Roman" w:hAnsi="Times New Roman" w:eastAsia="仿宋" w:cs="Times New Roman"/>
                      <w:b w:val="0"/>
                      <w:bCs w:val="0"/>
                      <w:color w:val="auto"/>
                      <w:spacing w:val="7"/>
                      <w:sz w:val="21"/>
                      <w:szCs w:val="21"/>
                    </w:rPr>
                    <w:t>废矿物油</w:t>
                  </w:r>
                </w:p>
              </w:tc>
              <w:tc>
                <w:tcPr>
                  <w:tcW w:w="2669"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0</w:t>
                  </w:r>
                  <w:r>
                    <w:rPr>
                      <w:rFonts w:hint="eastAsia" w:eastAsia="仿宋" w:cs="Times New Roman"/>
                      <w:b w:val="0"/>
                      <w:bCs w:val="0"/>
                      <w:color w:val="auto"/>
                      <w:spacing w:val="10"/>
                      <w:sz w:val="21"/>
                      <w:szCs w:val="21"/>
                      <w:vertAlign w:val="baseline"/>
                      <w:lang w:val="en-US" w:eastAsia="zh-CN"/>
                    </w:rPr>
                    <w:t>.48</w:t>
                  </w:r>
                </w:p>
              </w:tc>
              <w:tc>
                <w:tcPr>
                  <w:tcW w:w="1213"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2500</w:t>
                  </w: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eastAsia" w:eastAsia="仿宋" w:cs="Times New Roman"/>
                      <w:b w:val="0"/>
                      <w:bCs w:val="0"/>
                      <w:color w:val="auto"/>
                      <w:spacing w:val="10"/>
                      <w:sz w:val="21"/>
                      <w:szCs w:val="21"/>
                      <w:vertAlign w:val="baseline"/>
                      <w:lang w:val="en-US" w:eastAsia="zh-CN"/>
                    </w:rPr>
                    <w:t>0.000192</w:t>
                  </w:r>
                </w:p>
              </w:tc>
            </w:tr>
          </w:tbl>
          <w:p>
            <w:pPr>
              <w:pStyle w:val="86"/>
              <w:spacing w:before="45" w:line="468" w:lineRule="exact"/>
              <w:ind w:left="0" w:leftChars="0" w:firstLine="520" w:firstLineChars="200"/>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kern w:val="2"/>
                <w:sz w:val="24"/>
                <w:szCs w:val="24"/>
                <w:lang w:val="en-US" w:eastAsia="zh-CN" w:bidi="ar-SA"/>
              </w:rPr>
              <w:t>根据本项目实际情况，计算得Q值为0.000</w:t>
            </w:r>
            <w:r>
              <w:rPr>
                <w:rFonts w:hint="eastAsia" w:ascii="Times New Roman" w:hAnsi="Times New Roman" w:eastAsia="仿宋" w:cs="Times New Roman"/>
                <w:bCs/>
                <w:color w:val="auto"/>
                <w:spacing w:val="10"/>
                <w:kern w:val="2"/>
                <w:sz w:val="24"/>
                <w:szCs w:val="24"/>
                <w:lang w:val="en-US" w:eastAsia="zh-CN" w:bidi="ar-SA"/>
              </w:rPr>
              <w:t>192</w:t>
            </w:r>
            <w:r>
              <w:rPr>
                <w:rFonts w:hint="default" w:ascii="Times New Roman" w:hAnsi="Times New Roman" w:eastAsia="仿宋" w:cs="Times New Roman"/>
                <w:bCs/>
                <w:color w:val="auto"/>
                <w:spacing w:val="10"/>
                <w:kern w:val="2"/>
                <w:sz w:val="24"/>
                <w:szCs w:val="24"/>
                <w:lang w:val="en-US" w:eastAsia="zh-CN" w:bidi="ar-SA"/>
              </w:rPr>
              <w:t>，Q＜1，确定项目风险潜势为I。</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（2）评价等级划分</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根据《建设项目环境风险评价技术导则》（HJ/T169-2018）确定本项目评价等级，环境风险评价等级划分见表</w:t>
            </w:r>
            <w:r>
              <w:rPr>
                <w:rFonts w:hint="eastAsia" w:ascii="Times New Roman" w:hAnsi="Times New Roman" w:eastAsia="仿宋" w:cs="Times New Roman"/>
                <w:b w:val="0"/>
                <w:bCs w:val="0"/>
                <w:color w:val="auto"/>
                <w:spacing w:val="10"/>
                <w:sz w:val="24"/>
                <w:szCs w:val="24"/>
                <w:lang w:val="en-US" w:eastAsia="zh-CN"/>
              </w:rPr>
              <w:t>5-2</w:t>
            </w:r>
            <w:r>
              <w:rPr>
                <w:rFonts w:hint="default" w:ascii="Times New Roman" w:hAnsi="Times New Roman" w:eastAsia="仿宋" w:cs="Times New Roman"/>
                <w:b w:val="0"/>
                <w:bCs w:val="0"/>
                <w:color w:val="auto"/>
                <w:spacing w:val="1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r>
              <w:rPr>
                <w:rFonts w:hint="eastAsia" w:ascii="Times New Roman" w:hAnsi="Times New Roman" w:eastAsia="仿宋" w:cs="Times New Roman"/>
                <w:b/>
                <w:bCs w:val="0"/>
                <w:color w:val="auto"/>
                <w:spacing w:val="10"/>
                <w:sz w:val="21"/>
                <w:szCs w:val="21"/>
                <w:lang w:val="en-US" w:eastAsia="zh-CN"/>
              </w:rPr>
              <w:t>表5-2</w:t>
            </w:r>
            <w:r>
              <w:rPr>
                <w:rFonts w:hint="default" w:ascii="Times New Roman" w:hAnsi="Times New Roman" w:eastAsia="仿宋" w:cs="Times New Roman"/>
                <w:b/>
                <w:bCs w:val="0"/>
                <w:color w:val="auto"/>
                <w:spacing w:val="10"/>
                <w:sz w:val="21"/>
                <w:szCs w:val="21"/>
                <w:lang w:val="en-US" w:eastAsia="zh-CN"/>
              </w:rPr>
              <w:t>环境风险评价等级划分表</w:t>
            </w:r>
          </w:p>
          <w:tbl>
            <w:tblPr>
              <w:tblStyle w:val="2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1902"/>
              <w:gridCol w:w="1733"/>
              <w:gridCol w:w="1532"/>
              <w:gridCol w:w="1618"/>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环境风险潜势</w:t>
                  </w:r>
                </w:p>
              </w:tc>
              <w:tc>
                <w:tcPr>
                  <w:tcW w:w="1053"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VI、VI+</w:t>
                  </w:r>
                </w:p>
              </w:tc>
              <w:tc>
                <w:tcPr>
                  <w:tcW w:w="931"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III</w:t>
                  </w:r>
                </w:p>
              </w:tc>
              <w:tc>
                <w:tcPr>
                  <w:tcW w:w="983"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II</w:t>
                  </w:r>
                </w:p>
              </w:tc>
              <w:tc>
                <w:tcPr>
                  <w:tcW w:w="874" w:type="pct"/>
                  <w:tcBorders>
                    <w:top w:val="single" w:color="auto" w:sz="4" w:space="0"/>
                    <w:left w:val="single" w:color="auto" w:sz="4" w:space="0"/>
                    <w:bottom w:val="nil"/>
                    <w:right w:val="single" w:color="auto" w:sz="4" w:space="0"/>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single" w:color="auto" w:sz="4" w:space="0"/>
                    <w:right w:val="nil"/>
                  </w:tcBorders>
                  <w:vAlign w:val="center"/>
                </w:tcPr>
                <w:p>
                  <w:pPr>
                    <w:pStyle w:val="47"/>
                    <w:spacing w:line="240" w:lineRule="auto"/>
                    <w:ind w:left="0" w:leftChars="0" w:firstLine="0" w:firstLineChars="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环境风险评价等级</w:t>
                  </w:r>
                </w:p>
              </w:tc>
              <w:tc>
                <w:tcPr>
                  <w:tcW w:w="1053" w:type="pct"/>
                  <w:tcBorders>
                    <w:top w:val="single" w:color="auto" w:sz="4" w:space="0"/>
                    <w:left w:val="single" w:color="auto" w:sz="4" w:space="0"/>
                    <w:bottom w:val="single" w:color="auto" w:sz="4" w:space="0"/>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一</w:t>
                  </w:r>
                </w:p>
              </w:tc>
              <w:tc>
                <w:tcPr>
                  <w:tcW w:w="931" w:type="pct"/>
                  <w:tcBorders>
                    <w:top w:val="single" w:color="auto" w:sz="4" w:space="0"/>
                    <w:left w:val="single" w:color="auto" w:sz="4" w:space="0"/>
                    <w:bottom w:val="single" w:color="auto" w:sz="4" w:space="0"/>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w:t>
                  </w:r>
                </w:p>
              </w:tc>
              <w:tc>
                <w:tcPr>
                  <w:tcW w:w="983" w:type="pct"/>
                  <w:tcBorders>
                    <w:top w:val="single" w:color="auto" w:sz="4" w:space="0"/>
                    <w:left w:val="single" w:color="auto" w:sz="4" w:space="0"/>
                    <w:bottom w:val="single" w:color="auto" w:sz="4" w:space="0"/>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三</w:t>
                  </w:r>
                </w:p>
              </w:tc>
              <w:tc>
                <w:tcPr>
                  <w:tcW w:w="874" w:type="pct"/>
                  <w:tcBorders>
                    <w:top w:val="single" w:color="auto" w:sz="4" w:space="0"/>
                    <w:left w:val="single" w:color="auto" w:sz="4" w:space="0"/>
                    <w:bottom w:val="single" w:color="auto" w:sz="4" w:space="0"/>
                    <w:right w:val="single" w:color="auto" w:sz="4" w:space="0"/>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简单分析</w:t>
                  </w:r>
                  <w:r>
                    <w:rPr>
                      <w:rFonts w:hint="default" w:ascii="Times New Roman" w:hAnsi="Times New Roman" w:eastAsia="仿宋" w:cs="Times New Roman"/>
                      <w:color w:val="auto"/>
                      <w:sz w:val="21"/>
                      <w:szCs w:val="21"/>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a</w:t>
                  </w:r>
                  <w:r>
                    <w:rPr>
                      <w:rFonts w:hint="default" w:ascii="Times New Roman" w:hAnsi="Times New Roman" w:eastAsia="仿宋" w:cs="Times New Roman"/>
                      <w:color w:val="auto"/>
                      <w:sz w:val="21"/>
                      <w:szCs w:val="21"/>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color w:val="auto"/>
                <w:sz w:val="24"/>
                <w:szCs w:val="24"/>
              </w:rPr>
              <w:t>根据表</w:t>
            </w:r>
            <w:r>
              <w:rPr>
                <w:rFonts w:hint="eastAsia" w:ascii="Times New Roman" w:hAnsi="Times New Roman" w:eastAsia="仿宋" w:cs="Times New Roman"/>
                <w:color w:val="auto"/>
                <w:sz w:val="24"/>
                <w:szCs w:val="24"/>
                <w:lang w:val="en-US" w:eastAsia="zh-CN"/>
              </w:rPr>
              <w:t>5-2</w:t>
            </w:r>
            <w:r>
              <w:rPr>
                <w:rFonts w:hint="default" w:ascii="Times New Roman" w:hAnsi="Times New Roman" w:eastAsia="仿宋" w:cs="Times New Roman"/>
                <w:color w:val="auto"/>
                <w:sz w:val="24"/>
                <w:szCs w:val="24"/>
              </w:rPr>
              <w:t>风险评价工作级别划分依据，环境风险评价工作等级为“简单分析”。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0" w:firstLineChars="200"/>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根据简单分析的要求，本项目在描述危险物质、环境影响途径、环境危害后果、风险防范措施等方面给出定性的说明。</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w:t>
            </w:r>
            <w:r>
              <w:rPr>
                <w:rFonts w:hint="default" w:ascii="Times New Roman" w:hAnsi="Times New Roman" w:eastAsia="仿宋" w:cs="Times New Roman"/>
                <w:b w:val="0"/>
                <w:bCs w:val="0"/>
                <w:color w:val="auto"/>
                <w:spacing w:val="10"/>
                <w:sz w:val="24"/>
                <w:szCs w:val="24"/>
                <w:lang w:val="en-US" w:eastAsia="zh-CN"/>
              </w:rPr>
              <w:t>3</w:t>
            </w:r>
            <w:r>
              <w:rPr>
                <w:rFonts w:hint="default" w:ascii="Times New Roman" w:hAnsi="Times New Roman" w:eastAsia="仿宋" w:cs="Times New Roman"/>
                <w:b w:val="0"/>
                <w:bCs w:val="0"/>
                <w:color w:val="auto"/>
                <w:spacing w:val="10"/>
                <w:sz w:val="24"/>
                <w:szCs w:val="24"/>
                <w:lang w:eastAsia="zh-CN"/>
              </w:rPr>
              <w:t>）环境风险识别</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根据《建设项目环境风险评价技术导则》（HJ169-2018）内容，环境风险识别内容如下：</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本工程为砂石料矿开采项目，生产过程中所使用的主要物料不涉及有毒有害危险物质，其所涉及的易燃、易爆物质主要为废矿物油等，存在着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一定的潜在危险和有害因素。危险特性见表</w:t>
            </w:r>
            <w:r>
              <w:rPr>
                <w:rFonts w:hint="eastAsia" w:ascii="Times New Roman" w:hAnsi="Times New Roman" w:eastAsia="仿宋" w:cs="Times New Roman"/>
                <w:b w:val="0"/>
                <w:bCs w:val="0"/>
                <w:color w:val="auto"/>
                <w:spacing w:val="10"/>
                <w:sz w:val="24"/>
                <w:szCs w:val="24"/>
                <w:lang w:val="en-US" w:eastAsia="zh-CN"/>
              </w:rPr>
              <w:t>5-3</w:t>
            </w:r>
            <w:r>
              <w:rPr>
                <w:rFonts w:hint="default" w:ascii="Times New Roman" w:hAnsi="Times New Roman" w:eastAsia="仿宋" w:cs="Times New Roman"/>
                <w:b w:val="0"/>
                <w:bCs w:val="0"/>
                <w:color w:val="auto"/>
                <w:spacing w:val="10"/>
                <w:sz w:val="24"/>
                <w:szCs w:val="24"/>
                <w:lang w:eastAsia="zh-CN"/>
              </w:rPr>
              <w:t>。</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0"/>
              <w:jc w:val="center"/>
              <w:textAlignment w:val="auto"/>
              <w:rPr>
                <w:rFonts w:hint="default"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pacing w:val="10"/>
                <w:sz w:val="21"/>
                <w:szCs w:val="21"/>
                <w:lang w:val="en-US" w:eastAsia="zh-CN"/>
              </w:rPr>
              <w:t>表5-3</w:t>
            </w:r>
            <w:r>
              <w:rPr>
                <w:rFonts w:hint="default" w:ascii="Times New Roman" w:hAnsi="Times New Roman" w:eastAsia="仿宋" w:cs="Times New Roman"/>
                <w:b/>
                <w:bCs/>
                <w:color w:val="auto"/>
                <w:spacing w:val="10"/>
                <w:sz w:val="21"/>
                <w:szCs w:val="21"/>
                <w:lang w:eastAsia="zh-CN"/>
              </w:rPr>
              <w:t>危险特性见表</w:t>
            </w:r>
          </w:p>
          <w:tbl>
            <w:tblPr>
              <w:tblStyle w:val="8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3"/>
              <w:gridCol w:w="878"/>
              <w:gridCol w:w="2031"/>
              <w:gridCol w:w="2863"/>
              <w:gridCol w:w="552"/>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554"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危化品名</w:t>
                  </w:r>
                  <w:r>
                    <w:rPr>
                      <w:rFonts w:hint="default" w:ascii="Times New Roman" w:hAnsi="Times New Roman" w:eastAsia="仿宋" w:cs="Times New Roman"/>
                      <w:color w:val="auto"/>
                      <w:spacing w:val="1"/>
                      <w:sz w:val="21"/>
                      <w:szCs w:val="21"/>
                    </w:rPr>
                    <w:t>称</w:t>
                  </w:r>
                </w:p>
              </w:tc>
              <w:tc>
                <w:tcPr>
                  <w:tcW w:w="533"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危险性类</w:t>
                  </w:r>
                  <w:r>
                    <w:rPr>
                      <w:rFonts w:hint="default" w:ascii="Times New Roman" w:hAnsi="Times New Roman" w:eastAsia="仿宋" w:cs="Times New Roman"/>
                      <w:color w:val="auto"/>
                      <w:sz w:val="21"/>
                      <w:szCs w:val="21"/>
                    </w:rPr>
                    <w:t>别</w:t>
                  </w:r>
                </w:p>
              </w:tc>
              <w:tc>
                <w:tcPr>
                  <w:tcW w:w="123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理化特性</w:t>
                  </w:r>
                </w:p>
              </w:tc>
              <w:tc>
                <w:tcPr>
                  <w:tcW w:w="17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健康危害</w:t>
                  </w:r>
                </w:p>
              </w:tc>
              <w:tc>
                <w:tcPr>
                  <w:tcW w:w="33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3"/>
                      <w:sz w:val="21"/>
                      <w:szCs w:val="21"/>
                    </w:rPr>
                    <w:t>危险</w:t>
                  </w:r>
                  <w:r>
                    <w:rPr>
                      <w:rFonts w:hint="default" w:ascii="Times New Roman" w:hAnsi="Times New Roman" w:eastAsia="仿宋" w:cs="Times New Roman"/>
                      <w:color w:val="auto"/>
                      <w:spacing w:val="4"/>
                      <w:sz w:val="21"/>
                      <w:szCs w:val="21"/>
                    </w:rPr>
                    <w:t>特性</w:t>
                  </w:r>
                </w:p>
              </w:tc>
              <w:tc>
                <w:tcPr>
                  <w:tcW w:w="605" w:type="pct"/>
                  <w:tcBorders>
                    <w:right w:val="single" w:color="000000" w:sz="6"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主要危险</w:t>
                  </w:r>
                  <w:r>
                    <w:rPr>
                      <w:rFonts w:hint="default" w:ascii="Times New Roman" w:hAnsi="Times New Roman" w:eastAsia="仿宋" w:cs="Times New Roman"/>
                      <w:color w:val="auto"/>
                      <w:spacing w:val="7"/>
                      <w:sz w:val="21"/>
                      <w:szCs w:val="21"/>
                    </w:rPr>
                    <w:t>有害因素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554"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废机油</w:t>
                  </w:r>
                </w:p>
              </w:tc>
              <w:tc>
                <w:tcPr>
                  <w:tcW w:w="533"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危险废物</w:t>
                  </w:r>
                </w:p>
              </w:tc>
              <w:tc>
                <w:tcPr>
                  <w:tcW w:w="123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外观与性状：油状</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液体，淡黄色至褐</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色，无气味或略带</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异味。相对密度</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position w:val="2"/>
                      <w:sz w:val="21"/>
                      <w:szCs w:val="21"/>
                    </w:rPr>
                    <w:t>(水=1)：0.89(纯</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
                      <w:sz w:val="21"/>
                      <w:szCs w:val="21"/>
                    </w:rPr>
                    <w:t>品</w:t>
                  </w:r>
                  <w:r>
                    <w:rPr>
                      <w:rFonts w:hint="default" w:ascii="Times New Roman" w:hAnsi="Times New Roman" w:eastAsia="仿宋" w:cs="Times New Roman"/>
                      <w:color w:val="auto"/>
                      <w:spacing w:val="-2"/>
                      <w:sz w:val="21"/>
                      <w:szCs w:val="21"/>
                      <w:lang w:eastAsia="zh-CN"/>
                    </w:rPr>
                    <w:t>）</w:t>
                  </w:r>
                  <w:r>
                    <w:rPr>
                      <w:rFonts w:hint="default" w:ascii="Times New Roman" w:hAnsi="Times New Roman" w:eastAsia="仿宋" w:cs="Times New Roman"/>
                      <w:color w:val="auto"/>
                      <w:spacing w:val="-2"/>
                      <w:sz w:val="21"/>
                      <w:szCs w:val="21"/>
                    </w:rPr>
                    <w:t>沸点：260℃闪</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5"/>
                      <w:sz w:val="21"/>
                      <w:szCs w:val="21"/>
                    </w:rPr>
                    <w:t>点：76℃</w:t>
                  </w:r>
                  <w:r>
                    <w:rPr>
                      <w:rFonts w:hint="default" w:ascii="Times New Roman" w:hAnsi="Times New Roman" w:eastAsia="仿宋" w:cs="Times New Roman"/>
                      <w:color w:val="auto"/>
                      <w:spacing w:val="-25"/>
                      <w:sz w:val="21"/>
                      <w:szCs w:val="21"/>
                      <w:lang w:eastAsia="zh-CN"/>
                    </w:rPr>
                    <w:t>，</w:t>
                  </w:r>
                  <w:r>
                    <w:rPr>
                      <w:rFonts w:hint="default" w:ascii="Times New Roman" w:hAnsi="Times New Roman" w:eastAsia="仿宋" w:cs="Times New Roman"/>
                      <w:color w:val="auto"/>
                      <w:spacing w:val="-25"/>
                      <w:sz w:val="21"/>
                      <w:szCs w:val="21"/>
                    </w:rPr>
                    <w:t>自燃点；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248℃</w:t>
                  </w:r>
                </w:p>
              </w:tc>
              <w:tc>
                <w:tcPr>
                  <w:tcW w:w="17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急性吸入，可出现乏力、头晕、头</w:t>
                  </w:r>
                  <w:r>
                    <w:rPr>
                      <w:rFonts w:hint="default" w:ascii="Times New Roman" w:hAnsi="Times New Roman" w:eastAsia="仿宋" w:cs="Times New Roman"/>
                      <w:color w:val="auto"/>
                      <w:spacing w:val="9"/>
                      <w:sz w:val="21"/>
                      <w:szCs w:val="21"/>
                    </w:rPr>
                    <w:t>痛、恶心，严重者可引起油脂性肺炎。慢接触者，暴露部位可发生油性痤疮和接触性皮炎。可引起神经衰弱综合征，呼吸道和眼刺激症状及慢性油脂性肺炎。有资料报道，接触石油润滑油类的工人，有致癌</w:t>
                  </w:r>
                  <w:r>
                    <w:rPr>
                      <w:rFonts w:hint="default" w:ascii="Times New Roman" w:hAnsi="Times New Roman" w:eastAsia="仿宋" w:cs="Times New Roman"/>
                      <w:color w:val="auto"/>
                      <w:spacing w:val="4"/>
                      <w:sz w:val="21"/>
                      <w:szCs w:val="21"/>
                    </w:rPr>
                    <w:t>的病例报告</w:t>
                  </w:r>
                </w:p>
              </w:tc>
              <w:tc>
                <w:tcPr>
                  <w:tcW w:w="33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遇明</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火、高</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热可</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燃</w:t>
                  </w:r>
                </w:p>
              </w:tc>
              <w:tc>
                <w:tcPr>
                  <w:tcW w:w="605" w:type="pct"/>
                  <w:tcBorders>
                    <w:right w:val="single" w:color="000000" w:sz="6"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3"/>
                      <w:sz w:val="21"/>
                      <w:szCs w:val="21"/>
                    </w:rPr>
                    <w:t>火灾</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2"/>
              </w:rPr>
            </w:pPr>
            <w:r>
              <w:rPr>
                <w:rFonts w:hint="default" w:ascii="Times New Roman" w:hAnsi="Times New Roman" w:eastAsia="仿宋" w:cs="Times New Roman"/>
                <w:color w:val="auto"/>
                <w:spacing w:val="-2"/>
                <w:lang w:val="en-US" w:eastAsia="zh-CN"/>
              </w:rPr>
              <w:t>（4）</w:t>
            </w:r>
            <w:r>
              <w:rPr>
                <w:rFonts w:hint="default" w:ascii="Times New Roman" w:hAnsi="Times New Roman" w:eastAsia="仿宋" w:cs="Times New Roman"/>
                <w:color w:val="auto"/>
                <w:spacing w:val="-2"/>
              </w:rPr>
              <w:t>环境风险影响分析</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lang w:eastAsia="zh-CN"/>
              </w:rPr>
              <w:t>①</w:t>
            </w:r>
            <w:r>
              <w:rPr>
                <w:rFonts w:hint="default" w:ascii="Times New Roman" w:hAnsi="Times New Roman" w:eastAsia="仿宋" w:cs="Times New Roman"/>
                <w:color w:val="auto"/>
                <w:spacing w:val="-2"/>
              </w:rPr>
              <w:t>地质灾害风险分析</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地质灾害主要是由于采挖等作业造成的滑坡现象。滑坡是因边坡开挖后，破坏了</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内部初始应力的平衡引起</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大规模位移的现象。按破坏形式，滑坡可分为塌落和倾倒式破坏。滑坡发生时对处于危险区的</w:t>
            </w:r>
            <w:r>
              <w:rPr>
                <w:rFonts w:hint="default" w:ascii="Times New Roman" w:hAnsi="Times New Roman" w:eastAsia="仿宋" w:cs="Times New Roman"/>
                <w:color w:val="auto"/>
                <w:spacing w:val="-1"/>
              </w:rPr>
              <w:t>设备、设施可能造成破坏，对处于危险区人员可能构成伤亡。</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引起滑坡的主要原因有：不良地质条件；地压过高；</w:t>
            </w:r>
            <w:r>
              <w:rPr>
                <w:rFonts w:hint="default" w:ascii="Times New Roman" w:hAnsi="Times New Roman" w:eastAsia="仿宋" w:cs="Times New Roman"/>
                <w:color w:val="auto"/>
                <w:spacing w:val="3"/>
              </w:rPr>
              <w:t>降水影响；维护加固不当；边坡过高过陡等。本项目废石产生量较少，产生的废石综合利用后堆放在设计的</w:t>
            </w:r>
            <w:r>
              <w:rPr>
                <w:rFonts w:hint="eastAsia" w:ascii="Times New Roman" w:hAnsi="Times New Roman" w:eastAsia="仿宋" w:cs="Times New Roman"/>
                <w:color w:val="auto"/>
                <w:spacing w:val="3"/>
                <w:lang w:val="en-US" w:eastAsia="zh-CN"/>
              </w:rPr>
              <w:t>排土场</w:t>
            </w:r>
            <w:r>
              <w:rPr>
                <w:rFonts w:hint="default" w:ascii="Times New Roman" w:hAnsi="Times New Roman" w:eastAsia="仿宋" w:cs="Times New Roman"/>
                <w:color w:val="auto"/>
                <w:spacing w:val="3"/>
              </w:rPr>
              <w:t>内，应主要应关注采场及</w:t>
            </w:r>
            <w:r>
              <w:rPr>
                <w:rFonts w:hint="eastAsia" w:ascii="Times New Roman" w:hAnsi="Times New Roman" w:eastAsia="仿宋" w:cs="Times New Roman"/>
                <w:color w:val="auto"/>
                <w:spacing w:val="3"/>
                <w:lang w:val="en-US" w:eastAsia="zh-CN"/>
              </w:rPr>
              <w:t>排土场</w:t>
            </w:r>
            <w:r>
              <w:rPr>
                <w:rFonts w:hint="default" w:ascii="Times New Roman" w:hAnsi="Times New Roman" w:eastAsia="仿宋" w:cs="Times New Roman"/>
                <w:color w:val="auto"/>
                <w:spacing w:val="-1"/>
              </w:rPr>
              <w:t>的边坡滑坡、塌方的风险。</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lang w:eastAsia="zh-CN"/>
              </w:rPr>
              <w:t>②</w:t>
            </w:r>
            <w:r>
              <w:rPr>
                <w:rFonts w:hint="default" w:ascii="Times New Roman" w:hAnsi="Times New Roman" w:eastAsia="仿宋" w:cs="Times New Roman"/>
                <w:color w:val="auto"/>
                <w:spacing w:val="-2"/>
              </w:rPr>
              <w:t>堆场灾害风险分析</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val="en-US" w:eastAsia="zh-CN"/>
              </w:rPr>
            </w:pPr>
            <w:r>
              <w:rPr>
                <w:rFonts w:hint="default" w:ascii="Times New Roman" w:hAnsi="Times New Roman" w:eastAsia="仿宋" w:cs="Times New Roman"/>
                <w:b w:val="0"/>
                <w:bCs w:val="0"/>
                <w:color w:val="auto"/>
                <w:spacing w:val="10"/>
                <w:sz w:val="24"/>
                <w:szCs w:val="24"/>
                <w:lang w:val="en-US" w:eastAsia="zh-CN"/>
              </w:rPr>
              <w:t>排土场是露天矿组织生产不可缺少的附属工程，它作为露天矿山存放废石的场地，是以人工排入形式把大小各异、形状不同的废石块堆积在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spacing w:val="10"/>
                <w:sz w:val="24"/>
                <w:szCs w:val="24"/>
                <w:lang w:val="en-US" w:eastAsia="zh-CN"/>
              </w:rPr>
              <w:t>一起，这些杂乱无章、离散分布的废石块又承受着上方堆体荷重。排土场</w:t>
            </w:r>
            <w:r>
              <w:rPr>
                <w:rFonts w:hint="default" w:ascii="Times New Roman" w:hAnsi="Times New Roman" w:eastAsia="仿宋" w:cs="Times New Roman"/>
                <w:b w:val="0"/>
                <w:bCs w:val="0"/>
                <w:color w:val="auto"/>
                <w:spacing w:val="3"/>
                <w:sz w:val="24"/>
                <w:szCs w:val="24"/>
              </w:rPr>
              <w:t>基底与废石块之间接触是不连续的、离散的蜂窝状，刚性与塑性体之间呈嵌合式接触。特殊的结构极易使岩土体依附于其内在或潜在的软弱结构</w:t>
            </w:r>
            <w:r>
              <w:rPr>
                <w:rFonts w:hint="default" w:ascii="Times New Roman" w:hAnsi="Times New Roman" w:eastAsia="仿宋" w:cs="Times New Roman"/>
                <w:b w:val="0"/>
                <w:bCs w:val="0"/>
                <w:color w:val="auto"/>
                <w:spacing w:val="-3"/>
                <w:sz w:val="24"/>
                <w:szCs w:val="24"/>
              </w:rPr>
              <w:t>面</w:t>
            </w:r>
            <w:r>
              <w:rPr>
                <w:rFonts w:hint="default" w:ascii="Times New Roman" w:hAnsi="Times New Roman" w:eastAsia="仿宋" w:cs="Times New Roman"/>
                <w:b w:val="0"/>
                <w:bCs w:val="0"/>
                <w:color w:val="auto"/>
                <w:spacing w:val="-3"/>
                <w:sz w:val="24"/>
                <w:szCs w:val="24"/>
                <w:lang w:eastAsia="zh-CN"/>
              </w:rPr>
              <w:t>（</w:t>
            </w:r>
            <w:r>
              <w:rPr>
                <w:rFonts w:hint="default" w:ascii="Times New Roman" w:hAnsi="Times New Roman" w:eastAsia="仿宋" w:cs="Times New Roman"/>
                <w:b w:val="0"/>
                <w:bCs w:val="0"/>
                <w:color w:val="auto"/>
                <w:spacing w:val="-3"/>
                <w:sz w:val="24"/>
                <w:szCs w:val="24"/>
              </w:rPr>
              <w:t>带</w:t>
            </w:r>
            <w:r>
              <w:rPr>
                <w:rFonts w:hint="default" w:ascii="Times New Roman" w:hAnsi="Times New Roman" w:eastAsia="仿宋" w:cs="Times New Roman"/>
                <w:b w:val="0"/>
                <w:bCs w:val="0"/>
                <w:color w:val="auto"/>
                <w:spacing w:val="-3"/>
                <w:sz w:val="24"/>
                <w:szCs w:val="24"/>
                <w:lang w:eastAsia="zh-CN"/>
              </w:rPr>
              <w:t>）</w:t>
            </w:r>
            <w:r>
              <w:rPr>
                <w:rFonts w:hint="default" w:ascii="Times New Roman" w:hAnsi="Times New Roman" w:eastAsia="仿宋" w:cs="Times New Roman"/>
                <w:b w:val="0"/>
                <w:bCs w:val="0"/>
                <w:color w:val="auto"/>
                <w:spacing w:val="-3"/>
                <w:sz w:val="24"/>
                <w:szCs w:val="24"/>
              </w:rPr>
              <w:t>，在重力、雨水等综合因素作用下，失去原有的平衡条件</w:t>
            </w:r>
            <w:r>
              <w:rPr>
                <w:rFonts w:hint="default" w:ascii="Times New Roman" w:hAnsi="Times New Roman" w:eastAsia="仿宋" w:cs="Times New Roman"/>
                <w:b w:val="0"/>
                <w:bCs w:val="0"/>
                <w:color w:val="auto"/>
                <w:spacing w:val="-4"/>
                <w:sz w:val="24"/>
                <w:szCs w:val="24"/>
              </w:rPr>
              <w:t>，长期堆放</w:t>
            </w:r>
            <w:r>
              <w:rPr>
                <w:rFonts w:hint="default" w:ascii="Times New Roman" w:hAnsi="Times New Roman" w:eastAsia="仿宋" w:cs="Times New Roman"/>
                <w:b w:val="0"/>
                <w:bCs w:val="0"/>
                <w:color w:val="auto"/>
                <w:spacing w:val="3"/>
                <w:sz w:val="24"/>
                <w:szCs w:val="24"/>
              </w:rPr>
              <w:t>累积形成的废岩边坡失稳，致使松散废岩弃土整体大规模错动、滑移，造成滑坡。</w:t>
            </w:r>
            <w:r>
              <w:rPr>
                <w:rFonts w:hint="default" w:ascii="Times New Roman" w:hAnsi="Times New Roman" w:eastAsia="仿宋" w:cs="Times New Roman"/>
                <w:b w:val="0"/>
                <w:bCs w:val="0"/>
                <w:color w:val="auto"/>
                <w:spacing w:val="3"/>
                <w:sz w:val="24"/>
                <w:szCs w:val="24"/>
                <w:lang w:val="en-US" w:eastAsia="zh-CN"/>
              </w:rPr>
              <w:t>排土场</w:t>
            </w:r>
            <w:r>
              <w:rPr>
                <w:rFonts w:hint="default" w:ascii="Times New Roman" w:hAnsi="Times New Roman" w:eastAsia="仿宋" w:cs="Times New Roman"/>
                <w:b w:val="0"/>
                <w:bCs w:val="0"/>
                <w:color w:val="auto"/>
                <w:spacing w:val="3"/>
                <w:sz w:val="24"/>
                <w:szCs w:val="24"/>
              </w:rPr>
              <w:t>滑坡的类型通常有：推动式滑坡和牵引式滑坡。前者是生产中排弃工艺不科学，如堆排边坡太大、加载过快、人为干扰</w:t>
            </w:r>
            <w:r>
              <w:rPr>
                <w:rFonts w:hint="eastAsia" w:eastAsia="仿宋" w:cs="Times New Roman"/>
                <w:b w:val="0"/>
                <w:bCs w:val="0"/>
                <w:color w:val="auto"/>
                <w:spacing w:val="3"/>
                <w:sz w:val="24"/>
                <w:szCs w:val="24"/>
                <w:lang w:eastAsia="zh-CN"/>
              </w:rPr>
              <w:t>或</w:t>
            </w:r>
            <w:r>
              <w:rPr>
                <w:rFonts w:hint="default" w:ascii="Times New Roman" w:hAnsi="Times New Roman" w:eastAsia="仿宋" w:cs="Times New Roman"/>
                <w:b w:val="0"/>
                <w:bCs w:val="0"/>
                <w:color w:val="auto"/>
                <w:spacing w:val="3"/>
                <w:sz w:val="24"/>
                <w:szCs w:val="24"/>
              </w:rPr>
              <w:t>自然</w:t>
            </w:r>
            <w:r>
              <w:rPr>
                <w:rFonts w:hint="default" w:ascii="Times New Roman" w:hAnsi="Times New Roman" w:eastAsia="仿宋" w:cs="Times New Roman"/>
                <w:b w:val="0"/>
                <w:bCs w:val="0"/>
                <w:color w:val="auto"/>
                <w:spacing w:val="-2"/>
                <w:sz w:val="24"/>
                <w:szCs w:val="24"/>
              </w:rPr>
              <w:t>不可抗力的作用引起，其活动方式是上部先滑动，而后推动下部一起滑动。</w:t>
            </w:r>
            <w:r>
              <w:rPr>
                <w:rFonts w:hint="default" w:ascii="Times New Roman" w:hAnsi="Times New Roman" w:eastAsia="仿宋" w:cs="Times New Roman"/>
                <w:b w:val="0"/>
                <w:bCs w:val="0"/>
                <w:color w:val="auto"/>
                <w:spacing w:val="4"/>
                <w:sz w:val="24"/>
                <w:szCs w:val="24"/>
              </w:rPr>
              <w:t>后者是基底存在的软弱层在施工期处理不当，或排水设施不健全等原</w:t>
            </w:r>
            <w:r>
              <w:rPr>
                <w:rFonts w:hint="default" w:ascii="Times New Roman" w:hAnsi="Times New Roman" w:eastAsia="仿宋" w:cs="Times New Roman"/>
                <w:b w:val="0"/>
                <w:bCs w:val="0"/>
                <w:color w:val="auto"/>
                <w:spacing w:val="3"/>
                <w:sz w:val="24"/>
                <w:szCs w:val="24"/>
              </w:rPr>
              <w:t>因，致使</w:t>
            </w:r>
            <w:r>
              <w:rPr>
                <w:rFonts w:hint="default" w:ascii="Times New Roman" w:hAnsi="Times New Roman" w:eastAsia="仿宋" w:cs="Times New Roman"/>
                <w:b w:val="0"/>
                <w:bCs w:val="0"/>
                <w:color w:val="auto"/>
                <w:spacing w:val="3"/>
                <w:sz w:val="24"/>
                <w:szCs w:val="24"/>
                <w:lang w:val="en-US" w:eastAsia="zh-CN"/>
              </w:rPr>
              <w:t>排土场</w:t>
            </w:r>
            <w:r>
              <w:rPr>
                <w:rFonts w:hint="default" w:ascii="Times New Roman" w:hAnsi="Times New Roman" w:eastAsia="仿宋" w:cs="Times New Roman"/>
                <w:b w:val="0"/>
                <w:bCs w:val="0"/>
                <w:color w:val="auto"/>
                <w:spacing w:val="3"/>
                <w:sz w:val="24"/>
                <w:szCs w:val="24"/>
              </w:rPr>
              <w:t>荷载作用下的基底抗剪阻力急剧下降，受荷变形、造成整体</w:t>
            </w:r>
            <w:r>
              <w:rPr>
                <w:rFonts w:hint="default" w:ascii="Times New Roman" w:hAnsi="Times New Roman" w:eastAsia="仿宋" w:cs="Times New Roman"/>
                <w:b w:val="0"/>
                <w:bCs w:val="0"/>
                <w:color w:val="auto"/>
                <w:spacing w:val="-1"/>
                <w:sz w:val="24"/>
                <w:szCs w:val="24"/>
              </w:rPr>
              <w:t>剪切破坏，其活动方式是底部滑动而引发</w:t>
            </w:r>
            <w:r>
              <w:rPr>
                <w:rFonts w:hint="default" w:ascii="Times New Roman" w:hAnsi="Times New Roman" w:eastAsia="仿宋" w:cs="Times New Roman"/>
                <w:b w:val="0"/>
                <w:bCs w:val="0"/>
                <w:color w:val="auto"/>
                <w:spacing w:val="-1"/>
                <w:sz w:val="24"/>
                <w:szCs w:val="24"/>
                <w:lang w:val="en-US" w:eastAsia="zh-CN"/>
              </w:rPr>
              <w:t>排土场</w:t>
            </w:r>
            <w:r>
              <w:rPr>
                <w:rFonts w:hint="default" w:ascii="Times New Roman" w:hAnsi="Times New Roman" w:eastAsia="仿宋" w:cs="Times New Roman"/>
                <w:b w:val="0"/>
                <w:bCs w:val="0"/>
                <w:color w:val="auto"/>
                <w:spacing w:val="-1"/>
                <w:sz w:val="24"/>
                <w:szCs w:val="24"/>
              </w:rPr>
              <w:t>整体失去平衡。</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（5）环境风险防范措施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1）采取公共安全防范措施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矿区应在总体规划布局时，建立健全的规章制度，加强管理，尤其是要严格对堆场坡脚、开采坡脚防护设施的管理和安全检查，保证安全运行。</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2）地质灾害事故防范措施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highlight w:val="none"/>
                <w:lang w:val="en-US" w:eastAsia="zh-CN" w:bidi="ar-SA"/>
              </w:rPr>
              <w:t>项目区</w:t>
            </w:r>
            <w:r>
              <w:rPr>
                <w:rFonts w:hint="default" w:ascii="Times New Roman" w:hAnsi="Times New Roman" w:eastAsia="仿宋" w:cs="Times New Roman"/>
                <w:color w:val="auto"/>
                <w:sz w:val="24"/>
                <w:szCs w:val="24"/>
                <w:highlight w:val="none"/>
                <w:lang w:val="en-US" w:eastAsia="zh-CN"/>
              </w:rPr>
              <w:t>年降雨量为0.8-5.2㎜，年蒸发量为降雨量的100倍以上</w:t>
            </w:r>
            <w:r>
              <w:rPr>
                <w:rFonts w:hint="default" w:ascii="Times New Roman" w:hAnsi="Times New Roman" w:eastAsia="仿宋" w:cs="Times New Roman"/>
                <w:b w:val="0"/>
                <w:bCs w:val="0"/>
                <w:color w:val="auto"/>
                <w:spacing w:val="4"/>
                <w:kern w:val="2"/>
                <w:sz w:val="24"/>
                <w:szCs w:val="24"/>
                <w:highlight w:val="none"/>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虽然项目区降雨稀少，考虑在夏季有可能发生暴雨。本项目采矿场开采、废料、产品堆放过程中有可能引发采场、堆场边坡滑坡、塌方、泥石流等地质灾害，现提出以下地质灾害预防措施：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①采取边开采边恢复的方式，缩短堆放时间。</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②在各类物料堆场中进行压实作业。</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③及时削减边坡角，清理危岩体，定期加强对不稳定边坡的监测，在危险地段设置警示牌及铁丝围栏。</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④矿山开采期间需严格按照设计规范要求开采，并加强边坡稳定巡查排险，及时处理高陡边坡。</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⑤在可能发生地质灾害区段设置警示标志。</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⑥不超挖坡底，不留伞檐，进行科学、合理的采剥。</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⑦严禁采场内台阶上下垂直方向双层作业。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⑧在台阶坡面作业时，必须佩戴安全带。</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⑨大雾、大雨、暴风雨时应停止作业。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3）废矿物油泄漏预防措施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①使用符合标准的容器盛装危险废物；应定期对暂时贮存危险废物包装及设施进行检查，发现破损，及时采取措施清理更换；</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②设有专人负责危险废物维护及管理，避免因危险废物泄漏、乱堆乱弃造成环境污染；</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③应指定专人负责危废的收集、运输管理工作，运输车辆的司机和押运人员应经专业培训。</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eastAsia" w:ascii="Times New Roman" w:hAnsi="Times New Roman" w:eastAsia="仿宋" w:cs="Times New Roman"/>
                <w:b w:val="0"/>
                <w:bCs w:val="0"/>
                <w:color w:val="auto"/>
                <w:spacing w:val="4"/>
                <w:kern w:val="2"/>
                <w:sz w:val="24"/>
                <w:szCs w:val="24"/>
                <w:lang w:val="en-US" w:eastAsia="zh-CN" w:bidi="ar-SA"/>
              </w:rPr>
              <w:t>④废机油必须有专门的运输车辆运输，要求押运人员持有押运证，并携带安全资料表，装卸过程要轻装轻放，避免撞击、重压和摩擦。危险废物必须堆放在专用的场所，并按有关协议规定定期转移给有资质和有处理能力的固废处置中心处理。</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（6）分析结论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风险评价的结果表明，本项目涉及的危险物质为废矿物油，不设置柴油储罐，采用罐车拉运方式。根据《建设项目环境风险评价技术导则》（HJ169-2018）中判定原则，本项目环境风险潜势为Ⅰ,故进行简单分析。本项目环境风险主要来自开采、堆放过程造成的滑坡风险、废矿物油泄漏造成环境污染等。在进一步采取安全防范措施、在落实各项环保措施和采取本报告书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w:t>
            </w:r>
            <w:r>
              <w:rPr>
                <w:rFonts w:hint="eastAsia" w:ascii="Times New Roman" w:hAnsi="Times New Roman" w:eastAsia="仿宋" w:cs="Times New Roman"/>
                <w:b w:val="0"/>
                <w:bCs w:val="0"/>
                <w:color w:val="auto"/>
                <w:spacing w:val="4"/>
                <w:kern w:val="2"/>
                <w:sz w:val="24"/>
                <w:szCs w:val="24"/>
                <w:lang w:val="en-US" w:eastAsia="zh-CN" w:bidi="ar-SA"/>
              </w:rPr>
              <w:t>5-4</w:t>
            </w:r>
            <w:r>
              <w:rPr>
                <w:rFonts w:hint="default" w:ascii="Times New Roman" w:hAnsi="Times New Roman" w:eastAsia="仿宋" w:cs="Times New Roman"/>
                <w:b w:val="0"/>
                <w:bCs w:val="0"/>
                <w:color w:val="auto"/>
                <w:spacing w:val="4"/>
                <w:kern w:val="2"/>
                <w:sz w:val="24"/>
                <w:szCs w:val="24"/>
                <w:lang w:val="en-US" w:eastAsia="zh-CN" w:bidi="ar-SA"/>
              </w:rPr>
              <w:t>。</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1"/>
              <w:jc w:val="center"/>
              <w:textAlignment w:val="auto"/>
              <w:rPr>
                <w:rFonts w:hint="default" w:ascii="Times New Roman" w:hAnsi="Times New Roman" w:eastAsia="仿宋" w:cs="Times New Roman"/>
                <w:b/>
                <w:bCs/>
                <w:color w:val="auto"/>
                <w:spacing w:val="4"/>
                <w:kern w:val="2"/>
                <w:sz w:val="21"/>
                <w:szCs w:val="21"/>
                <w:lang w:val="en-US" w:eastAsia="zh-CN" w:bidi="ar-SA"/>
              </w:rPr>
            </w:pPr>
            <w:r>
              <w:rPr>
                <w:rFonts w:hint="eastAsia" w:ascii="Times New Roman" w:hAnsi="Times New Roman" w:eastAsia="仿宋" w:cs="Times New Roman"/>
                <w:b/>
                <w:bCs/>
                <w:color w:val="auto"/>
                <w:spacing w:val="4"/>
                <w:kern w:val="2"/>
                <w:sz w:val="21"/>
                <w:szCs w:val="21"/>
                <w:lang w:val="en-US" w:eastAsia="zh-CN" w:bidi="ar-SA"/>
              </w:rPr>
              <w:t>表5-4</w:t>
            </w:r>
            <w:r>
              <w:rPr>
                <w:rFonts w:hint="default" w:ascii="Times New Roman" w:hAnsi="Times New Roman" w:eastAsia="仿宋" w:cs="Times New Roman"/>
                <w:b/>
                <w:bCs/>
                <w:color w:val="auto"/>
                <w:spacing w:val="4"/>
                <w:kern w:val="2"/>
                <w:sz w:val="21"/>
                <w:szCs w:val="21"/>
                <w:lang w:val="en-US" w:eastAsia="zh-CN" w:bidi="ar-SA"/>
              </w:rPr>
              <w:t>建设项目环境风险简单分析内容表</w:t>
            </w:r>
          </w:p>
          <w:tbl>
            <w:tblPr>
              <w:tblStyle w:val="87"/>
              <w:tblW w:w="82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48"/>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建设项目名称</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eastAsia="zh-CN"/>
                    </w:rPr>
                    <w:t>新疆鄯善县连木沁镇阿克墩村北建筑用砂矿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建设地点</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新疆维吾尔自治区吐鲁番地区</w:t>
                  </w:r>
                  <w:r>
                    <w:rPr>
                      <w:rFonts w:hint="eastAsia" w:ascii="Times New Roman" w:hAnsi="Times New Roman" w:eastAsia="仿宋" w:cs="Times New Roman"/>
                      <w:color w:val="auto"/>
                      <w:sz w:val="21"/>
                      <w:szCs w:val="21"/>
                      <w:highlight w:val="none"/>
                      <w:lang w:eastAsia="zh-CN"/>
                    </w:rPr>
                    <w:t>鄯善县北西296°方位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r>
                    <w:rPr>
                      <w:rFonts w:hint="default" w:ascii="Times New Roman" w:hAnsi="Times New Roman" w:eastAsia="仿宋" w:cs="Times New Roman"/>
                      <w:color w:val="auto"/>
                      <w:spacing w:val="7"/>
                      <w:sz w:val="21"/>
                      <w:szCs w:val="21"/>
                      <w:highlight w:val="none"/>
                    </w:rPr>
                    <w:t>地理坐标</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主要危险物质及分布</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废矿物油，危险废物暂存间内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环境影响途径</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及危害后果</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大气途径：废矿物油火灾引发伴生/次生污染物排放；</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地表水途径：无；</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地下水途径：废矿物油泄漏，可能引起的地下水污染；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风险防范措施</w:t>
                  </w:r>
                  <w:r>
                    <w:rPr>
                      <w:rFonts w:hint="default" w:ascii="Times New Roman" w:hAnsi="Times New Roman" w:eastAsia="仿宋" w:cs="Times New Roman"/>
                      <w:color w:val="auto"/>
                      <w:spacing w:val="4"/>
                      <w:sz w:val="21"/>
                      <w:szCs w:val="21"/>
                      <w:highlight w:val="none"/>
                    </w:rPr>
                    <w:t>要求</w:t>
                  </w:r>
                </w:p>
              </w:tc>
              <w:tc>
                <w:tcPr>
                  <w:tcW w:w="3998" w:type="pct"/>
                  <w:tcBorders>
                    <w:bottom w:val="single" w:color="000000" w:sz="6" w:space="0"/>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（1）地质灾害事故防范措施</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9"/>
                      <w:sz w:val="21"/>
                      <w:szCs w:val="21"/>
                      <w:highlight w:val="none"/>
                      <w:lang w:val="en-US" w:eastAsia="zh-CN"/>
                    </w:rPr>
                    <w:t>年降雨量为0.8-5.2㎜，年蒸发量为降雨量的100倍以上</w:t>
                  </w:r>
                  <w:r>
                    <w:rPr>
                      <w:rFonts w:hint="default" w:ascii="Times New Roman" w:hAnsi="Times New Roman" w:eastAsia="仿宋" w:cs="Times New Roman"/>
                      <w:color w:val="auto"/>
                      <w:spacing w:val="8"/>
                      <w:sz w:val="21"/>
                      <w:szCs w:val="21"/>
                      <w:highlight w:val="none"/>
                    </w:rPr>
                    <w:t>。虽然项目区降雨稀</w:t>
                  </w:r>
                  <w:r>
                    <w:rPr>
                      <w:rFonts w:hint="default" w:ascii="Times New Roman" w:hAnsi="Times New Roman" w:eastAsia="仿宋" w:cs="Times New Roman"/>
                      <w:color w:val="auto"/>
                      <w:spacing w:val="7"/>
                      <w:sz w:val="21"/>
                      <w:szCs w:val="21"/>
                      <w:highlight w:val="none"/>
                    </w:rPr>
                    <w:t>少，考虑在夏季有可能发生暴雨。本项目采矿场开采</w:t>
                  </w:r>
                  <w:r>
                    <w:rPr>
                      <w:rFonts w:hint="default" w:ascii="Times New Roman" w:hAnsi="Times New Roman" w:eastAsia="仿宋" w:cs="Times New Roman"/>
                      <w:color w:val="auto"/>
                      <w:spacing w:val="6"/>
                      <w:sz w:val="21"/>
                      <w:szCs w:val="21"/>
                      <w:highlight w:val="none"/>
                    </w:rPr>
                    <w:t>、各类物料堆放</w:t>
                  </w:r>
                  <w:r>
                    <w:rPr>
                      <w:rFonts w:hint="default" w:ascii="Times New Roman" w:hAnsi="Times New Roman" w:eastAsia="仿宋" w:cs="Times New Roman"/>
                      <w:color w:val="auto"/>
                      <w:spacing w:val="7"/>
                      <w:sz w:val="21"/>
                      <w:szCs w:val="21"/>
                      <w:highlight w:val="none"/>
                    </w:rPr>
                    <w:t>过程中有可能引发堆场边坡滑坡、塌方、泥石流等地质灾害</w:t>
                  </w:r>
                  <w:r>
                    <w:rPr>
                      <w:rFonts w:hint="default" w:ascii="Times New Roman" w:hAnsi="Times New Roman" w:eastAsia="仿宋" w:cs="Times New Roman"/>
                      <w:color w:val="auto"/>
                      <w:spacing w:val="6"/>
                      <w:sz w:val="21"/>
                      <w:szCs w:val="21"/>
                      <w:highlight w:val="none"/>
                    </w:rPr>
                    <w:t>，现提出</w:t>
                  </w:r>
                  <w:r>
                    <w:rPr>
                      <w:rFonts w:hint="default" w:ascii="Times New Roman" w:hAnsi="Times New Roman" w:eastAsia="仿宋" w:cs="Times New Roman"/>
                      <w:color w:val="auto"/>
                      <w:spacing w:val="8"/>
                      <w:sz w:val="21"/>
                      <w:szCs w:val="21"/>
                      <w:highlight w:val="none"/>
                    </w:rPr>
                    <w:t>以下地质灾害预防措施：</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1）采取边开采边恢复的方式，缩短堆放时间；</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2）在各类物料堆场中进行压实作业；</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3）及时削减边坡角，清理危岩体，定期加强对不稳定边坡的监测，在危险地段设置警示牌及铁丝围栏；</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10"/>
                      <w:sz w:val="21"/>
                      <w:szCs w:val="21"/>
                      <w:highlight w:val="none"/>
                    </w:rPr>
                    <w:t>4）矿山开采期间需严格按照设计规范要求开采，并加强边坡稳定巡</w:t>
                  </w:r>
                  <w:r>
                    <w:rPr>
                      <w:rFonts w:hint="default" w:ascii="Times New Roman" w:hAnsi="Times New Roman" w:eastAsia="仿宋" w:cs="Times New Roman"/>
                      <w:color w:val="auto"/>
                      <w:spacing w:val="8"/>
                      <w:sz w:val="21"/>
                      <w:szCs w:val="21"/>
                      <w:highlight w:val="none"/>
                    </w:rPr>
                    <w:t>查排险，及时处理高陡边坡；</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5）在可能发生地质灾害区段设置警示标志；</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position w:val="4"/>
                      <w:sz w:val="21"/>
                      <w:szCs w:val="21"/>
                      <w:highlight w:val="none"/>
                    </w:rPr>
                    <w:t>6）不超挖坡底，不留伞檐，进行科学、合理的</w:t>
                  </w:r>
                  <w:r>
                    <w:rPr>
                      <w:rFonts w:hint="default" w:ascii="Times New Roman" w:hAnsi="Times New Roman" w:eastAsia="仿宋" w:cs="Times New Roman"/>
                      <w:color w:val="auto"/>
                      <w:spacing w:val="8"/>
                      <w:position w:val="4"/>
                      <w:sz w:val="21"/>
                      <w:szCs w:val="21"/>
                      <w:highlight w:val="none"/>
                    </w:rPr>
                    <w:t>采剥；</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7）严禁采场内台阶上下垂直方向双层作业；</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8）在台阶坡面作业时，必须佩戴安全带；</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9）大雾、大雨、暴风雨时应停止作业。</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（2）</w:t>
                  </w:r>
                  <w:r>
                    <w:rPr>
                      <w:rFonts w:hint="eastAsia" w:ascii="Times New Roman" w:hAnsi="Times New Roman" w:eastAsia="仿宋" w:cs="Times New Roman"/>
                      <w:color w:val="auto"/>
                      <w:spacing w:val="7"/>
                      <w:sz w:val="21"/>
                      <w:szCs w:val="21"/>
                      <w:highlight w:val="none"/>
                      <w:lang w:eastAsia="zh-CN"/>
                    </w:rPr>
                    <w:t>泄漏</w:t>
                  </w:r>
                  <w:r>
                    <w:rPr>
                      <w:rFonts w:hint="default" w:ascii="Times New Roman" w:hAnsi="Times New Roman" w:eastAsia="仿宋" w:cs="Times New Roman"/>
                      <w:color w:val="auto"/>
                      <w:spacing w:val="7"/>
                      <w:sz w:val="21"/>
                      <w:szCs w:val="21"/>
                      <w:highlight w:val="none"/>
                    </w:rPr>
                    <w:t>预防措施</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1）使用符合标准的容器盛装危险废物；应定期对暂时贮存危险</w:t>
                  </w:r>
                  <w:r>
                    <w:rPr>
                      <w:rFonts w:hint="default" w:ascii="Times New Roman" w:hAnsi="Times New Roman" w:eastAsia="仿宋" w:cs="Times New Roman"/>
                      <w:color w:val="auto"/>
                      <w:spacing w:val="8"/>
                      <w:sz w:val="21"/>
                      <w:szCs w:val="21"/>
                      <w:highlight w:val="none"/>
                    </w:rPr>
                    <w:t>废物</w:t>
                  </w:r>
                  <w:r>
                    <w:rPr>
                      <w:rFonts w:hint="default" w:ascii="Times New Roman" w:hAnsi="Times New Roman" w:eastAsia="仿宋" w:cs="Times New Roman"/>
                      <w:color w:val="auto"/>
                      <w:spacing w:val="9"/>
                      <w:sz w:val="21"/>
                      <w:szCs w:val="21"/>
                      <w:highlight w:val="none"/>
                    </w:rPr>
                    <w:t>包装及设施进行检查，发现破损，及时采取措施清理更换；</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snapToGrid w:val="0"/>
                      <w:color w:val="auto"/>
                      <w:kern w:val="0"/>
                      <w:sz w:val="21"/>
                      <w:szCs w:val="21"/>
                      <w:highlight w:val="none"/>
                      <w:lang w:val="en-US" w:eastAsia="en-US" w:bidi="ar-SA"/>
                    </w:rPr>
                  </w:pPr>
                  <w:r>
                    <w:rPr>
                      <w:rFonts w:hint="default" w:ascii="Times New Roman" w:hAnsi="Times New Roman" w:eastAsia="仿宋" w:cs="Times New Roman"/>
                      <w:color w:val="auto"/>
                      <w:spacing w:val="10"/>
                      <w:sz w:val="21"/>
                      <w:szCs w:val="21"/>
                      <w:highlight w:val="none"/>
                    </w:rPr>
                    <w:t>2）设有专人负责危险废物维护及管理，</w:t>
                  </w:r>
                  <w:r>
                    <w:rPr>
                      <w:rFonts w:hint="default" w:ascii="Times New Roman" w:hAnsi="Times New Roman" w:eastAsia="仿宋" w:cs="Times New Roman"/>
                      <w:color w:val="auto"/>
                      <w:spacing w:val="9"/>
                      <w:sz w:val="21"/>
                      <w:szCs w:val="21"/>
                      <w:highlight w:val="none"/>
                    </w:rPr>
                    <w:t>避免因危险废物</w:t>
                  </w:r>
                  <w:r>
                    <w:rPr>
                      <w:rFonts w:hint="eastAsia" w:ascii="Times New Roman" w:hAnsi="Times New Roman" w:eastAsia="仿宋" w:cs="Times New Roman"/>
                      <w:color w:val="auto"/>
                      <w:spacing w:val="9"/>
                      <w:sz w:val="21"/>
                      <w:szCs w:val="21"/>
                      <w:highlight w:val="none"/>
                      <w:lang w:eastAsia="zh-CN"/>
                    </w:rPr>
                    <w:t>泄漏</w:t>
                  </w:r>
                  <w:r>
                    <w:rPr>
                      <w:rFonts w:hint="default" w:ascii="Times New Roman" w:hAnsi="Times New Roman" w:eastAsia="仿宋" w:cs="Times New Roman"/>
                      <w:color w:val="auto"/>
                      <w:spacing w:val="9"/>
                      <w:sz w:val="21"/>
                      <w:szCs w:val="21"/>
                      <w:highlight w:val="none"/>
                    </w:rPr>
                    <w:t>、乱堆</w:t>
                  </w:r>
                  <w:r>
                    <w:rPr>
                      <w:rFonts w:hint="default" w:ascii="Times New Roman" w:hAnsi="Times New Roman" w:eastAsia="仿宋" w:cs="Times New Roman"/>
                      <w:color w:val="auto"/>
                      <w:spacing w:val="6"/>
                      <w:sz w:val="21"/>
                      <w:szCs w:val="21"/>
                      <w:highlight w:val="none"/>
                    </w:rPr>
                    <w:t>乱弃造成环境污染；3）应指定专人负责危废的收集、运输管理工作，</w:t>
                  </w:r>
                  <w:r>
                    <w:rPr>
                      <w:rFonts w:hint="default" w:ascii="Times New Roman" w:hAnsi="Times New Roman" w:eastAsia="仿宋" w:cs="Times New Roman"/>
                      <w:color w:val="auto"/>
                      <w:spacing w:val="8"/>
                      <w:sz w:val="21"/>
                      <w:szCs w:val="21"/>
                      <w:highlight w:val="none"/>
                    </w:rPr>
                    <w:t>运输车辆的司机和押运人员应经专业培训。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2"/>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7"/>
                      <w:sz w:val="21"/>
                      <w:szCs w:val="21"/>
                      <w:highlight w:val="none"/>
                    </w:rPr>
                    <w:t>填表说明（列出项目相关信息及评价说明</w:t>
                  </w:r>
                  <w:r>
                    <w:rPr>
                      <w:rFonts w:hint="default" w:ascii="Times New Roman" w:hAnsi="Times New Roman" w:eastAsia="仿宋" w:cs="Times New Roman"/>
                      <w:color w:val="auto"/>
                      <w:spacing w:val="26"/>
                      <w:sz w:val="21"/>
                      <w:szCs w:val="21"/>
                      <w:highlight w:val="none"/>
                    </w:rPr>
                    <w:t>）：</w:t>
                  </w:r>
                  <w:r>
                    <w:rPr>
                      <w:rFonts w:hint="default" w:ascii="Times New Roman" w:hAnsi="Times New Roman" w:eastAsia="仿宋" w:cs="Times New Roman"/>
                      <w:color w:val="auto"/>
                      <w:spacing w:val="7"/>
                      <w:sz w:val="21"/>
                      <w:szCs w:val="21"/>
                      <w:highlight w:val="none"/>
                    </w:rPr>
                    <w:t>项目涉及危险物质为废矿物油，Q&lt;1，</w:t>
                  </w:r>
                  <w:r>
                    <w:rPr>
                      <w:rFonts w:hint="default" w:ascii="Times New Roman" w:hAnsi="Times New Roman" w:eastAsia="仿宋" w:cs="Times New Roman"/>
                      <w:color w:val="auto"/>
                      <w:spacing w:val="4"/>
                      <w:sz w:val="21"/>
                      <w:szCs w:val="21"/>
                      <w:highlight w:val="none"/>
                    </w:rPr>
                    <w:t>环境风险潜势为Ⅰ,仅需进行简单分析。</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eastAsia" w:eastAsia="仿宋" w:cs="Times New Roman"/>
                <w:b/>
                <w:bCs/>
                <w:color w:val="auto"/>
                <w:spacing w:val="10"/>
                <w:sz w:val="24"/>
                <w:szCs w:val="24"/>
                <w:lang w:val="en-US" w:eastAsia="zh-CN"/>
              </w:rPr>
              <w:t>9</w:t>
            </w:r>
            <w:r>
              <w:rPr>
                <w:rFonts w:hint="default" w:ascii="Times New Roman" w:hAnsi="Times New Roman" w:eastAsia="仿宋" w:cs="Times New Roman"/>
                <w:b/>
                <w:bCs/>
                <w:color w:val="auto"/>
                <w:spacing w:val="10"/>
                <w:sz w:val="24"/>
                <w:szCs w:val="24"/>
              </w:rPr>
              <w:t>、环境监测</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val="en-US" w:eastAsia="zh-CN"/>
              </w:rPr>
              <w:t>根据《排污单位自行监测技术指南总则HJ819-201》及</w:t>
            </w:r>
            <w:r>
              <w:rPr>
                <w:rFonts w:hint="default" w:ascii="Times New Roman" w:hAnsi="Times New Roman" w:eastAsia="仿宋" w:cs="Times New Roman"/>
                <w:bCs/>
                <w:color w:val="auto"/>
                <w:spacing w:val="10"/>
                <w:sz w:val="24"/>
                <w:szCs w:val="24"/>
              </w:rPr>
              <w:t>项目内容和企业实际情况，制定相应切实可行的方案。</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监测项目</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本项目污染源的污染物排放状况以及附近关心点、敏感点的污染物浓度状况监测项目：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w:t>
            </w:r>
            <w:r>
              <w:rPr>
                <w:rFonts w:hint="default" w:ascii="Times New Roman" w:hAnsi="Times New Roman" w:eastAsia="仿宋" w:cs="Times New Roman"/>
                <w:bCs/>
                <w:color w:val="auto"/>
                <w:spacing w:val="10"/>
                <w:sz w:val="24"/>
                <w:szCs w:val="24"/>
                <w:lang w:val="en-US" w:eastAsia="zh-CN"/>
              </w:rPr>
              <w:t>有组织、无组织</w:t>
            </w:r>
            <w:r>
              <w:rPr>
                <w:rFonts w:hint="default" w:ascii="Times New Roman" w:hAnsi="Times New Roman" w:eastAsia="仿宋" w:cs="Times New Roman"/>
                <w:bCs/>
                <w:color w:val="auto"/>
                <w:spacing w:val="10"/>
                <w:sz w:val="24"/>
                <w:szCs w:val="24"/>
              </w:rPr>
              <w:t>粉尘；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场界噪声；</w:t>
            </w:r>
          </w:p>
          <w:p>
            <w:pPr>
              <w:pStyle w:val="4"/>
              <w:spacing w:line="360" w:lineRule="auto"/>
              <w:rPr>
                <w:rFonts w:hint="default" w:ascii="Times New Roman" w:hAnsi="Times New Roman" w:eastAsia="仿宋" w:cs="Times New Roman"/>
                <w:b w:val="0"/>
                <w:bCs/>
                <w:color w:val="auto"/>
                <w:spacing w:val="10"/>
                <w:kern w:val="2"/>
                <w:sz w:val="24"/>
                <w:szCs w:val="24"/>
                <w:lang w:val="en-US" w:eastAsia="zh-CN" w:bidi="ar-SA"/>
              </w:rPr>
            </w:pPr>
            <w:r>
              <w:rPr>
                <w:rFonts w:hint="eastAsia" w:ascii="Times New Roman" w:hAnsi="Times New Roman" w:eastAsia="仿宋" w:cs="Times New Roman"/>
                <w:b w:val="0"/>
                <w:bCs/>
                <w:color w:val="auto"/>
                <w:spacing w:val="10"/>
                <w:kern w:val="2"/>
                <w:sz w:val="24"/>
                <w:szCs w:val="24"/>
                <w:lang w:val="en-US" w:eastAsia="zh-CN" w:bidi="ar-SA"/>
              </w:rPr>
              <w:t>③土壤：镉、汞、砷、铅、铬、铜、镍、锌；</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监测布点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粉尘无组织监测点：</w:t>
            </w:r>
            <w:r>
              <w:rPr>
                <w:rFonts w:hint="default" w:ascii="Times New Roman" w:hAnsi="Times New Roman" w:eastAsia="仿宋" w:cs="Times New Roman"/>
                <w:bCs/>
                <w:color w:val="auto"/>
                <w:spacing w:val="10"/>
                <w:sz w:val="24"/>
                <w:szCs w:val="24"/>
              </w:rPr>
              <w:t>矿区场界下风向设1个点；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②噪声监测点：矿区场界四周各1个点；</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③土壤监测点：首采区，后续土壤监测根据矿区实际开拓，在矿区边界地带边缘布置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3</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监测频率</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w:t>
            </w:r>
            <w:r>
              <w:rPr>
                <w:rFonts w:hint="default" w:ascii="Times New Roman" w:hAnsi="Times New Roman" w:eastAsia="仿宋" w:cs="Times New Roman"/>
                <w:bCs/>
                <w:color w:val="auto"/>
                <w:spacing w:val="10"/>
                <w:sz w:val="24"/>
                <w:szCs w:val="24"/>
              </w:rPr>
              <w:t>每</w:t>
            </w:r>
            <w:r>
              <w:rPr>
                <w:rFonts w:hint="eastAsia" w:eastAsia="仿宋" w:cs="Times New Roman"/>
                <w:bCs/>
                <w:color w:val="auto"/>
                <w:spacing w:val="10"/>
                <w:sz w:val="24"/>
                <w:szCs w:val="24"/>
                <w:lang w:val="en-US" w:eastAsia="zh-CN"/>
              </w:rPr>
              <w:t>一年</w:t>
            </w:r>
            <w:r>
              <w:rPr>
                <w:rFonts w:hint="default" w:ascii="Times New Roman" w:hAnsi="Times New Roman" w:eastAsia="仿宋" w:cs="Times New Roman"/>
                <w:bCs/>
                <w:color w:val="auto"/>
                <w:spacing w:val="10"/>
                <w:sz w:val="24"/>
                <w:szCs w:val="24"/>
              </w:rPr>
              <w:t>监测一次；</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eastAsia"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rPr>
              <w:t>②噪声监测：每</w:t>
            </w:r>
            <w:r>
              <w:rPr>
                <w:rFonts w:hint="default" w:ascii="Times New Roman" w:hAnsi="Times New Roman" w:eastAsia="仿宋" w:cs="Times New Roman"/>
                <w:bCs/>
                <w:color w:val="auto"/>
                <w:spacing w:val="10"/>
                <w:sz w:val="24"/>
                <w:szCs w:val="24"/>
                <w:lang w:val="en-US" w:eastAsia="zh-CN"/>
              </w:rPr>
              <w:t>季度</w:t>
            </w:r>
            <w:r>
              <w:rPr>
                <w:rFonts w:hint="default" w:ascii="Times New Roman" w:hAnsi="Times New Roman" w:eastAsia="仿宋" w:cs="Times New Roman"/>
                <w:bCs/>
                <w:color w:val="auto"/>
                <w:spacing w:val="10"/>
                <w:sz w:val="24"/>
                <w:szCs w:val="24"/>
              </w:rPr>
              <w:t>监测一次</w:t>
            </w:r>
            <w:r>
              <w:rPr>
                <w:rFonts w:hint="eastAsia" w:eastAsia="仿宋" w:cs="Times New Roman"/>
                <w:bCs/>
                <w:color w:val="auto"/>
                <w:spacing w:val="1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③土壤监测：每五年内开展一次；详见图5-1：监测计划点位图。</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4</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监测结果反馈</w:t>
            </w:r>
          </w:p>
          <w:p>
            <w:pPr>
              <w:pStyle w:val="36"/>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对监测结果进行统计汇总，上报有关领导和上级主管部门，监测结果如有异常，应及时反馈生产管理部门，查找原因，及时解决。</w:t>
            </w:r>
          </w:p>
          <w:p>
            <w:pPr>
              <w:rPr>
                <w:rFonts w:hint="eastAsia" w:eastAsia="仿宋" w:cs="Times New Roman"/>
                <w:b/>
                <w:bCs w:val="0"/>
                <w:color w:val="auto"/>
                <w:spacing w:val="10"/>
                <w:sz w:val="24"/>
                <w:szCs w:val="24"/>
                <w:lang w:val="en-US" w:eastAsia="zh-CN"/>
              </w:rPr>
            </w:pPr>
            <w:r>
              <w:rPr>
                <w:rFonts w:hint="eastAsia" w:eastAsia="仿宋" w:cs="Times New Roman"/>
                <w:b/>
                <w:bCs w:val="0"/>
                <w:color w:val="auto"/>
                <w:spacing w:val="10"/>
                <w:sz w:val="24"/>
                <w:szCs w:val="24"/>
                <w:lang w:val="en-US" w:eastAsia="zh-CN"/>
              </w:rPr>
              <w:t>10、排污许可证</w:t>
            </w:r>
          </w:p>
          <w:p>
            <w:pPr>
              <w:rPr>
                <w:rFonts w:hint="eastAsia" w:eastAsia="仿宋" w:cs="Times New Roman"/>
                <w:bCs/>
                <w:color w:val="auto"/>
                <w:spacing w:val="10"/>
                <w:sz w:val="24"/>
                <w:szCs w:val="24"/>
                <w:lang w:val="en-US" w:eastAsia="zh-CN"/>
              </w:rPr>
            </w:pPr>
            <w:r>
              <w:rPr>
                <w:rFonts w:hint="eastAsia" w:eastAsia="仿宋" w:cs="Times New Roman"/>
                <w:bCs/>
                <w:color w:val="auto"/>
                <w:spacing w:val="10"/>
                <w:sz w:val="24"/>
                <w:szCs w:val="24"/>
                <w:lang w:val="en-US" w:eastAsia="zh-CN"/>
              </w:rPr>
              <w:t>（1）根据《固定污染源排污许可分类管理名录》（2019年版），本项目为“六、非金属矿采选业”-“7.土砂石开采”，由于本项目不涉及“通用工序重点管理的”以及“通用工序简化管理”，因此本项目属于“其他”类别，应实行登记管理，不需要申请取得排污许可证，生产前应当在全国排污许可证管理信息平台填报排污登记表，登记基本信息、污染物排放去向、执行的污染物排放标准以及采取的污染防治措施等信息。</w:t>
            </w:r>
          </w:p>
          <w:p>
            <w:pPr>
              <w:pStyle w:val="88"/>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根据《排污许可证申请与核发技术规范·工业固体废物(试行)》HJ1200-2021)中一般工业固废污染防控技术要求和《排污许可证申请与核发技术规范工业噪声》（HJ1301—2023），本项目运行期需满足以下要求：</w:t>
            </w:r>
          </w:p>
          <w:p>
            <w:pPr>
              <w:pStyle w:val="88"/>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①采用库房、包装工具(罐、桶、包装袋等)贮存一般工业固体废物的，贮存过程应满足相应防渗漏、防雨淋、防扬尘等环境保护要求；</w:t>
            </w:r>
          </w:p>
          <w:p>
            <w:pPr>
              <w:pStyle w:val="88"/>
              <w:ind w:left="479" w:leftChars="228" w:firstLine="0" w:firstLineChars="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②危险废物和生活垃圾不得进入一般工业固体废物贮存场及排土场；</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③不相容的一般工业固体废物应设置不同的分区进行贮存作业；</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④项目区应设置清晰、完整的一般工业固体废物标志牌等。</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⑤设备的运行和维护应符合设备说明书和相关技术规范的规定，定期检查其活动机构（如铰链、锁扣等）和密封机构（材料）的磨损情况等，及时保养、更换。</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⑥噪声控制设备中的易损设备、配件和通用材料，由工业噪声排污单位按机械设备管理规程和工艺安全运行要求储备，保证治理设施的正常使用。</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 xml:space="preserve">⑦所有噪声与振动控制设备，都应根据其使用环境的卫生条件、介质属性等要素，制定相应的运行和维护规程，确保其性能和使用寿命。 </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⑧定期对噪声污染防治设施进行检查维护，确保噪声污染防治设施可靠有效。</w:t>
            </w:r>
          </w:p>
          <w:p>
            <w:pPr>
              <w:pStyle w:val="88"/>
              <w:ind w:firstLine="480"/>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2）设置标志牌环境保护图形标志牌由生态环境部统一定点制作，并由市环境监察部门根据企业排污情况统一向生态环境部订购。企业排污口分布图由市环境监察部门统一绘制。标志牌设置位置在排污口（采样点）附近醒目处，高度为标志牌上边缘离地面2米。排污口附近1米范围内有建筑物的，设平面式标志牌，无建筑物的设立式标志牌。规范排污口的有关设置（如图形标牌、计量装置等）均属于环保设施，排污单位必须负责日常的维护保养，任何单位和个人不得擅自拆除，如需要变更的须报环境监察部门同意并办理变更手续。</w:t>
            </w:r>
          </w:p>
          <w:p>
            <w:pPr>
              <w:widowControl/>
              <w:jc w:val="center"/>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w:t>
            </w:r>
            <w:r>
              <w:rPr>
                <w:rFonts w:hint="eastAsia" w:ascii="Times New Roman" w:hAnsi="Times New Roman" w:eastAsia="仿宋" w:cs="Times New Roman"/>
                <w:b/>
                <w:bCs/>
                <w:color w:val="auto"/>
                <w:spacing w:val="4"/>
                <w:kern w:val="2"/>
                <w:sz w:val="21"/>
                <w:szCs w:val="21"/>
                <w:lang w:val="en-US" w:eastAsia="zh-CN" w:bidi="ar-SA"/>
              </w:rPr>
              <w:t>5-</w:t>
            </w:r>
            <w:r>
              <w:rPr>
                <w:rFonts w:hint="eastAsia" w:eastAsia="仿宋" w:cs="Times New Roman"/>
                <w:b/>
                <w:bCs/>
                <w:color w:val="auto"/>
                <w:spacing w:val="4"/>
                <w:kern w:val="2"/>
                <w:sz w:val="21"/>
                <w:szCs w:val="21"/>
                <w:lang w:val="en-US" w:eastAsia="zh-CN" w:bidi="ar-SA"/>
              </w:rPr>
              <w:t>5</w:t>
            </w:r>
            <w:r>
              <w:rPr>
                <w:rFonts w:hint="default" w:ascii="Times New Roman" w:hAnsi="Times New Roman" w:eastAsia="仿宋" w:cs="Times New Roman"/>
                <w:b/>
                <w:bCs/>
                <w:color w:val="auto"/>
                <w:spacing w:val="4"/>
                <w:kern w:val="2"/>
                <w:sz w:val="21"/>
                <w:szCs w:val="21"/>
                <w:lang w:val="en-US" w:eastAsia="zh-CN" w:bidi="ar-SA"/>
              </w:rPr>
              <w:t>境保护图形标志设置图形表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054"/>
              <w:gridCol w:w="213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9"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排放口</w:t>
                  </w:r>
                </w:p>
              </w:tc>
              <w:tc>
                <w:tcPr>
                  <w:tcW w:w="124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废气排口</w:t>
                  </w:r>
                </w:p>
              </w:tc>
              <w:tc>
                <w:tcPr>
                  <w:tcW w:w="1294"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固废</w:t>
                  </w:r>
                </w:p>
              </w:tc>
              <w:tc>
                <w:tcPr>
                  <w:tcW w:w="128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图形符号</w:t>
                  </w:r>
                </w:p>
              </w:tc>
              <w:tc>
                <w:tcPr>
                  <w:tcW w:w="124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40715" cy="640715"/>
                        <wp:effectExtent l="0" t="0" r="6985"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4"/>
                                <a:stretch>
                                  <a:fillRect/>
                                </a:stretch>
                              </pic:blipFill>
                              <pic:spPr>
                                <a:xfrm>
                                  <a:off x="0" y="0"/>
                                  <a:ext cx="640715" cy="640715"/>
                                </a:xfrm>
                                <a:prstGeom prst="rect">
                                  <a:avLst/>
                                </a:prstGeom>
                                <a:noFill/>
                                <a:ln>
                                  <a:noFill/>
                                </a:ln>
                              </pic:spPr>
                            </pic:pic>
                          </a:graphicData>
                        </a:graphic>
                      </wp:inline>
                    </w:drawing>
                  </w:r>
                </w:p>
              </w:tc>
              <w:tc>
                <w:tcPr>
                  <w:tcW w:w="129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69290" cy="642620"/>
                        <wp:effectExtent l="0" t="0" r="16510" b="508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5"/>
                                <a:stretch>
                                  <a:fillRect/>
                                </a:stretch>
                              </pic:blipFill>
                              <pic:spPr>
                                <a:xfrm>
                                  <a:off x="0" y="0"/>
                                  <a:ext cx="669290" cy="642620"/>
                                </a:xfrm>
                                <a:prstGeom prst="rect">
                                  <a:avLst/>
                                </a:prstGeom>
                                <a:noFill/>
                                <a:ln>
                                  <a:noFill/>
                                </a:ln>
                              </pic:spPr>
                            </pic:pic>
                          </a:graphicData>
                        </a:graphic>
                      </wp:inline>
                    </w:drawing>
                  </w:r>
                </w:p>
              </w:tc>
              <w:tc>
                <w:tcPr>
                  <w:tcW w:w="12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drawing>
                      <wp:inline distT="0" distB="0" distL="114300" distR="114300">
                        <wp:extent cx="659130" cy="645160"/>
                        <wp:effectExtent l="0" t="0" r="7620" b="254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6"/>
                                <a:stretch>
                                  <a:fillRect/>
                                </a:stretch>
                              </pic:blipFill>
                              <pic:spPr>
                                <a:xfrm>
                                  <a:off x="0" y="0"/>
                                  <a:ext cx="659130" cy="645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背景颜色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图形颜色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Cs/>
                      <w:color w:val="auto"/>
                      <w:spacing w:val="10"/>
                      <w:kern w:val="2"/>
                      <w:sz w:val="24"/>
                      <w:szCs w:val="24"/>
                      <w:lang w:val="en-US" w:eastAsia="zh-CN" w:bidi="ar-SA"/>
                    </w:rPr>
                  </w:pPr>
                  <w:r>
                    <w:rPr>
                      <w:rFonts w:hint="eastAsia" w:ascii="Times New Roman" w:hAnsi="Times New Roman" w:eastAsia="仿宋" w:cs="Times New Roman"/>
                      <w:bCs/>
                      <w:color w:val="auto"/>
                      <w:spacing w:val="10"/>
                      <w:kern w:val="2"/>
                      <w:sz w:val="24"/>
                      <w:szCs w:val="24"/>
                      <w:lang w:val="en-US" w:eastAsia="zh-CN" w:bidi="ar-SA"/>
                    </w:rPr>
                    <w:t>白色</w:t>
                  </w:r>
                </w:p>
              </w:tc>
            </w:tr>
          </w:tbl>
          <w:p>
            <w:pPr>
              <w:rPr>
                <w:rFonts w:hint="eastAsia" w:eastAsia="仿宋" w:cs="Times New Roman"/>
                <w:bCs/>
                <w:color w:val="auto"/>
                <w:spacing w:val="10"/>
                <w:sz w:val="24"/>
                <w:szCs w:val="24"/>
                <w:lang w:val="en-US" w:eastAsia="zh-CN"/>
              </w:rPr>
            </w:pPr>
          </w:p>
          <w:p>
            <w:pPr>
              <w:pStyle w:val="36"/>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其他</w:t>
            </w:r>
          </w:p>
        </w:tc>
        <w:tc>
          <w:tcPr>
            <w:tcW w:w="8457" w:type="dxa"/>
            <w:vAlign w:val="center"/>
          </w:tcPr>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25"/>
              <w:rPr>
                <w:rFonts w:hint="default" w:ascii="Times New Roman" w:hAnsi="Times New Roman" w:eastAsia="仿宋" w:cs="Times New Roman"/>
                <w:bCs/>
                <w:color w:val="auto"/>
                <w:spacing w:val="10"/>
                <w:szCs w:val="21"/>
              </w:rPr>
            </w:pPr>
          </w:p>
          <w:p>
            <w:pPr>
              <w:ind w:left="0" w:leftChars="0" w:firstLine="0" w:firstLineChars="0"/>
              <w:rPr>
                <w:rFonts w:hint="default"/>
                <w:color w:val="auto"/>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无</w:t>
            </w:r>
          </w:p>
          <w:p>
            <w:pPr>
              <w:pStyle w:val="25"/>
              <w:rPr>
                <w:rFonts w:hint="default" w:ascii="Times New Roman" w:hAnsi="Times New Roman" w:eastAsia="仿宋" w:cs="Times New Roman"/>
                <w:bCs/>
                <w:color w:val="auto"/>
                <w:spacing w:val="10"/>
                <w:szCs w:val="21"/>
              </w:rPr>
            </w:pPr>
          </w:p>
          <w:p>
            <w:pPr>
              <w:pStyle w:val="18"/>
              <w:rPr>
                <w:rFonts w:hint="default"/>
                <w:color w:val="auto"/>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left="0" w:leftChars="0" w:firstLine="0" w:firstLineChars="0"/>
              <w:jc w:val="both"/>
              <w:rPr>
                <w:rFonts w:hint="default" w:ascii="Times New Roman" w:hAnsi="Times New Roman" w:eastAsia="仿宋" w:cs="Times New Roman"/>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环保投资</w:t>
            </w:r>
          </w:p>
        </w:tc>
        <w:tc>
          <w:tcPr>
            <w:tcW w:w="8457" w:type="dxa"/>
          </w:tcPr>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eastAsia" w:eastAsia="仿宋" w:cs="Times New Roman"/>
                <w:b/>
                <w:color w:val="auto"/>
                <w:kern w:val="0"/>
                <w:sz w:val="24"/>
                <w:highlight w:val="none"/>
                <w:lang w:val="en-US" w:eastAsia="zh-CN"/>
              </w:rPr>
              <w:t>1、</w:t>
            </w:r>
            <w:r>
              <w:rPr>
                <w:rFonts w:hint="default" w:ascii="Times New Roman" w:hAnsi="Times New Roman" w:eastAsia="仿宋" w:cs="Times New Roman"/>
                <w:b/>
                <w:color w:val="auto"/>
                <w:kern w:val="0"/>
                <w:sz w:val="24"/>
                <w:highlight w:val="none"/>
              </w:rPr>
              <w:t>环保投资估算</w:t>
            </w:r>
          </w:p>
          <w:p>
            <w:pPr>
              <w:topLinePunct/>
              <w:adjustRightInd w:val="0"/>
              <w:snapToGrid w:val="0"/>
              <w:ind w:firstLine="420"/>
              <w:rPr>
                <w:rFonts w:hint="default" w:ascii="Times New Roman" w:hAnsi="Times New Roman" w:eastAsia="仿宋" w:cs="Times New Roman"/>
                <w:snapToGrid w:val="0"/>
                <w:color w:val="auto"/>
                <w:kern w:val="0"/>
                <w:sz w:val="24"/>
                <w:szCs w:val="24"/>
                <w:highlight w:val="none"/>
              </w:rPr>
            </w:pPr>
            <w:r>
              <w:rPr>
                <w:rFonts w:hint="default" w:ascii="Times New Roman" w:hAnsi="Times New Roman" w:eastAsia="仿宋" w:cs="Times New Roman"/>
                <w:snapToGrid w:val="0"/>
                <w:color w:val="auto"/>
                <w:kern w:val="0"/>
                <w:sz w:val="24"/>
                <w:szCs w:val="24"/>
                <w:highlight w:val="none"/>
              </w:rPr>
              <w:t>本项目总投资</w:t>
            </w:r>
            <w:r>
              <w:rPr>
                <w:rFonts w:hint="eastAsia" w:eastAsia="仿宋" w:cs="Times New Roman"/>
                <w:snapToGrid w:val="0"/>
                <w:color w:val="auto"/>
                <w:kern w:val="0"/>
                <w:sz w:val="24"/>
                <w:szCs w:val="24"/>
                <w:highlight w:val="none"/>
                <w:lang w:val="en-US" w:eastAsia="zh-CN"/>
              </w:rPr>
              <w:t>806</w:t>
            </w:r>
            <w:r>
              <w:rPr>
                <w:rFonts w:hint="default" w:ascii="Times New Roman" w:hAnsi="Times New Roman" w:eastAsia="仿宋" w:cs="Times New Roman"/>
                <w:snapToGrid w:val="0"/>
                <w:color w:val="auto"/>
                <w:kern w:val="0"/>
                <w:sz w:val="24"/>
                <w:szCs w:val="24"/>
                <w:highlight w:val="none"/>
              </w:rPr>
              <w:t>万元，环保投资</w:t>
            </w:r>
            <w:r>
              <w:rPr>
                <w:rFonts w:hint="eastAsia" w:eastAsia="仿宋" w:cs="Times New Roman"/>
                <w:snapToGrid w:val="0"/>
                <w:color w:val="auto"/>
                <w:kern w:val="0"/>
                <w:sz w:val="24"/>
                <w:szCs w:val="24"/>
                <w:highlight w:val="none"/>
                <w:lang w:val="en-US" w:eastAsia="zh-CN"/>
              </w:rPr>
              <w:t>123.31</w:t>
            </w:r>
            <w:r>
              <w:rPr>
                <w:rFonts w:hint="default" w:ascii="Times New Roman" w:hAnsi="Times New Roman" w:eastAsia="仿宋" w:cs="Times New Roman"/>
                <w:snapToGrid w:val="0"/>
                <w:color w:val="auto"/>
                <w:kern w:val="0"/>
                <w:sz w:val="24"/>
                <w:szCs w:val="24"/>
                <w:highlight w:val="none"/>
              </w:rPr>
              <w:t>万元，占总投资的</w:t>
            </w:r>
            <w:r>
              <w:rPr>
                <w:rFonts w:hint="eastAsia" w:eastAsia="仿宋" w:cs="Times New Roman"/>
                <w:snapToGrid w:val="0"/>
                <w:color w:val="auto"/>
                <w:kern w:val="0"/>
                <w:sz w:val="24"/>
                <w:szCs w:val="24"/>
                <w:highlight w:val="none"/>
                <w:lang w:val="en-US" w:eastAsia="zh-CN"/>
              </w:rPr>
              <w:t>15.29</w:t>
            </w:r>
            <w:r>
              <w:rPr>
                <w:rFonts w:hint="default" w:ascii="Times New Roman" w:hAnsi="Times New Roman" w:eastAsia="仿宋" w:cs="Times New Roman"/>
                <w:snapToGrid w:val="0"/>
                <w:color w:val="auto"/>
                <w:kern w:val="0"/>
                <w:sz w:val="24"/>
                <w:szCs w:val="24"/>
                <w:highlight w:val="none"/>
              </w:rPr>
              <w:t>％，见表5-</w:t>
            </w:r>
            <w:r>
              <w:rPr>
                <w:rFonts w:hint="eastAsia" w:ascii="Times New Roman" w:hAnsi="Times New Roman" w:eastAsia="仿宋" w:cs="Times New Roman"/>
                <w:snapToGrid w:val="0"/>
                <w:color w:val="auto"/>
                <w:kern w:val="0"/>
                <w:sz w:val="24"/>
                <w:szCs w:val="24"/>
                <w:highlight w:val="none"/>
                <w:lang w:val="en-US" w:eastAsia="zh-CN"/>
              </w:rPr>
              <w:t>5</w:t>
            </w:r>
            <w:r>
              <w:rPr>
                <w:rFonts w:hint="default" w:ascii="Times New Roman" w:hAnsi="Times New Roman" w:eastAsia="仿宋" w:cs="Times New Roman"/>
                <w:snapToGrid w:val="0"/>
                <w:color w:val="auto"/>
                <w:kern w:val="0"/>
                <w:sz w:val="24"/>
                <w:szCs w:val="24"/>
                <w:highlight w:val="none"/>
              </w:rPr>
              <w:t>。</w:t>
            </w:r>
          </w:p>
          <w:p>
            <w:pPr>
              <w:adjustRightInd w:val="0"/>
              <w:snapToGrid w:val="0"/>
              <w:ind w:firstLine="462" w:firstLineChars="200"/>
              <w:jc w:val="center"/>
              <w:rPr>
                <w:rFonts w:hint="default" w:ascii="Times New Roman" w:hAnsi="Times New Roman" w:eastAsia="仿宋" w:cs="Times New Roman"/>
                <w:b/>
                <w:bCs w:val="0"/>
                <w:color w:val="auto"/>
                <w:spacing w:val="10"/>
                <w:szCs w:val="21"/>
              </w:rPr>
            </w:pPr>
            <w:r>
              <w:rPr>
                <w:rFonts w:hint="default" w:ascii="Times New Roman" w:hAnsi="Times New Roman" w:eastAsia="仿宋" w:cs="Times New Roman"/>
                <w:b/>
                <w:bCs w:val="0"/>
                <w:color w:val="auto"/>
                <w:spacing w:val="10"/>
                <w:szCs w:val="21"/>
              </w:rPr>
              <w:t>表5-</w:t>
            </w:r>
            <w:r>
              <w:rPr>
                <w:rFonts w:hint="eastAsia" w:ascii="Times New Roman" w:hAnsi="Times New Roman" w:eastAsia="仿宋" w:cs="Times New Roman"/>
                <w:b/>
                <w:bCs w:val="0"/>
                <w:color w:val="auto"/>
                <w:spacing w:val="10"/>
                <w:szCs w:val="21"/>
                <w:lang w:val="en-US" w:eastAsia="zh-CN"/>
              </w:rPr>
              <w:t>6</w:t>
            </w:r>
            <w:r>
              <w:rPr>
                <w:rFonts w:hint="default" w:ascii="Times New Roman" w:hAnsi="Times New Roman" w:eastAsia="仿宋" w:cs="Times New Roman"/>
                <w:b/>
                <w:bCs w:val="0"/>
                <w:color w:val="auto"/>
                <w:spacing w:val="10"/>
                <w:szCs w:val="21"/>
              </w:rPr>
              <w:t>环保投资估算一览表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16"/>
              <w:gridCol w:w="3318"/>
              <w:gridCol w:w="1236"/>
              <w:gridCol w:w="106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项目阶段</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治理措施</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治理对象</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数量（规格）</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投资</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35" w:type="pct"/>
                  <w:vMerge w:val="restar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运营期</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w:t>
                  </w:r>
                  <w:r>
                    <w:rPr>
                      <w:rFonts w:hint="default" w:ascii="Times New Roman" w:hAnsi="Times New Roman" w:eastAsia="仿宋" w:cs="Times New Roman"/>
                      <w:color w:val="auto"/>
                      <w:position w:val="6"/>
                      <w:sz w:val="21"/>
                      <w:szCs w:val="21"/>
                      <w:highlight w:val="none"/>
                      <w:lang w:val="zh-TW" w:eastAsia="zh-CN"/>
                    </w:rPr>
                    <w:t>对筛分工序进行局部密闭，无法密闭部位安装水喷淋降尘</w:t>
                  </w:r>
                  <w:r>
                    <w:rPr>
                      <w:rFonts w:hint="default" w:ascii="Times New Roman" w:hAnsi="Times New Roman" w:eastAsia="仿宋" w:cs="Times New Roman"/>
                      <w:color w:val="auto"/>
                      <w:position w:val="6"/>
                      <w:sz w:val="21"/>
                      <w:szCs w:val="21"/>
                      <w:highlight w:val="none"/>
                      <w:lang w:val="en-US" w:eastAsia="zh-CN"/>
                    </w:rPr>
                    <w:t>；</w:t>
                  </w:r>
                  <w:r>
                    <w:rPr>
                      <w:rFonts w:hint="default" w:ascii="Times New Roman" w:hAnsi="Times New Roman" w:eastAsia="仿宋" w:cs="Times New Roman"/>
                      <w:color w:val="auto"/>
                      <w:position w:val="6"/>
                      <w:sz w:val="21"/>
                      <w:szCs w:val="21"/>
                      <w:highlight w:val="none"/>
                    </w:rPr>
                    <w:t>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eastAsia" w:eastAsia="仿宋" w:cs="Times New Roman"/>
                      <w:color w:val="auto"/>
                      <w:position w:val="6"/>
                      <w:sz w:val="21"/>
                      <w:szCs w:val="21"/>
                      <w:highlight w:val="none"/>
                      <w:lang w:val="en-US" w:eastAsia="zh-CN"/>
                    </w:rPr>
                    <w:t>排土场采取防尘网苫盖</w:t>
                  </w:r>
                  <w:r>
                    <w:rPr>
                      <w:rFonts w:hint="default" w:ascii="Times New Roman" w:hAnsi="Times New Roman" w:eastAsia="仿宋" w:cs="Times New Roman"/>
                      <w:color w:val="auto"/>
                      <w:position w:val="6"/>
                      <w:sz w:val="21"/>
                      <w:szCs w:val="21"/>
                      <w:highlight w:val="none"/>
                    </w:rPr>
                    <w:t>，洒水保湿</w:t>
                  </w:r>
                  <w:r>
                    <w:rPr>
                      <w:rFonts w:hint="default" w:ascii="Times New Roman" w:hAnsi="Times New Roman" w:eastAsia="仿宋" w:cs="Times New Roman"/>
                      <w:color w:val="auto"/>
                      <w:position w:val="6"/>
                      <w:sz w:val="21"/>
                      <w:szCs w:val="21"/>
                      <w:highlight w:val="none"/>
                      <w:lang w:eastAsia="zh-CN"/>
                    </w:rPr>
                    <w:t>；</w:t>
                  </w:r>
                  <w:r>
                    <w:rPr>
                      <w:rFonts w:hint="default" w:ascii="Times New Roman" w:hAnsi="Times New Roman" w:eastAsia="仿宋" w:cs="Times New Roman"/>
                      <w:color w:val="auto"/>
                      <w:position w:val="6"/>
                      <w:sz w:val="21"/>
                      <w:szCs w:val="21"/>
                      <w:highlight w:val="none"/>
                      <w:lang w:val="en-US" w:eastAsia="zh-CN"/>
                    </w:rPr>
                    <w:t>食堂油烟经油烟净化器处理后排放。</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粉尘</w:t>
                  </w:r>
                  <w:r>
                    <w:rPr>
                      <w:rFonts w:hint="default" w:ascii="Times New Roman" w:hAnsi="Times New Roman" w:eastAsia="仿宋" w:cs="Times New Roman"/>
                      <w:bCs/>
                      <w:color w:val="auto"/>
                      <w:sz w:val="21"/>
                      <w:szCs w:val="21"/>
                      <w:highlight w:val="none"/>
                      <w:lang w:eastAsia="zh-CN"/>
                    </w:rPr>
                    <w:t>、</w:t>
                  </w:r>
                  <w:r>
                    <w:rPr>
                      <w:rFonts w:hint="eastAsia" w:eastAsia="仿宋" w:cs="Times New Roman"/>
                      <w:bCs/>
                      <w:color w:val="auto"/>
                      <w:sz w:val="21"/>
                      <w:szCs w:val="21"/>
                      <w:highlight w:val="none"/>
                      <w:lang w:val="en-US" w:eastAsia="zh-CN"/>
                    </w:rPr>
                    <w:t>食堂</w:t>
                  </w:r>
                  <w:r>
                    <w:rPr>
                      <w:rFonts w:hint="default" w:ascii="Times New Roman" w:hAnsi="Times New Roman" w:eastAsia="仿宋" w:cs="Times New Roman"/>
                      <w:bCs/>
                      <w:color w:val="auto"/>
                      <w:sz w:val="21"/>
                      <w:szCs w:val="21"/>
                      <w:highlight w:val="none"/>
                      <w:lang w:val="en-US" w:eastAsia="zh-CN"/>
                    </w:rPr>
                    <w:t>油烟</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雾炮机2台；洒水车1辆；</w:t>
                  </w:r>
                  <w:r>
                    <w:rPr>
                      <w:rFonts w:hint="default" w:ascii="Times New Roman" w:hAnsi="Times New Roman" w:eastAsia="仿宋" w:cs="Times New Roman"/>
                      <w:bCs/>
                      <w:color w:val="auto"/>
                      <w:sz w:val="21"/>
                      <w:szCs w:val="21"/>
                      <w:highlight w:val="none"/>
                      <w:lang w:val="en-US" w:eastAsia="zh-CN"/>
                    </w:rPr>
                    <w:t>油烟净化装置</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6.</w:t>
                  </w:r>
                  <w:r>
                    <w:rPr>
                      <w:rFonts w:hint="eastAsia"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eastAsia" w:eastAsia="仿宋" w:cs="Times New Roman"/>
                      <w:color w:val="auto"/>
                      <w:position w:val="6"/>
                      <w:sz w:val="21"/>
                      <w:szCs w:val="21"/>
                      <w:highlight w:val="none"/>
                      <w:lang w:val="en-US" w:eastAsia="zh-CN"/>
                    </w:rPr>
                    <w:t>沉淀池</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eastAsia" w:eastAsia="仿宋" w:cs="Times New Roman"/>
                      <w:bCs/>
                      <w:color w:val="auto"/>
                      <w:sz w:val="21"/>
                      <w:szCs w:val="21"/>
                      <w:highlight w:val="none"/>
                      <w:lang w:val="en-US" w:eastAsia="zh-CN"/>
                    </w:rPr>
                    <w:t>生产废水</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1套</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016" w:type="pct"/>
                  <w:vAlign w:val="center"/>
                </w:tcPr>
                <w:p>
                  <w:pPr>
                    <w:overflowPunct w:val="0"/>
                    <w:adjustRightInd w:val="0"/>
                    <w:snapToGrid w:val="0"/>
                    <w:spacing w:line="240" w:lineRule="auto"/>
                    <w:ind w:firstLine="0" w:firstLineChars="0"/>
                    <w:jc w:val="center"/>
                    <w:rPr>
                      <w:rFonts w:hint="eastAsia" w:eastAsia="仿宋" w:cs="Times New Roman"/>
                      <w:color w:val="auto"/>
                      <w:position w:val="6"/>
                      <w:sz w:val="21"/>
                      <w:szCs w:val="21"/>
                      <w:highlight w:val="none"/>
                      <w:lang w:val="en-US" w:eastAsia="zh-CN"/>
                    </w:rPr>
                  </w:pPr>
                  <w:r>
                    <w:rPr>
                      <w:rFonts w:hint="eastAsia" w:eastAsia="仿宋" w:cs="Times New Roman"/>
                      <w:color w:val="auto"/>
                      <w:position w:val="6"/>
                      <w:sz w:val="21"/>
                      <w:szCs w:val="21"/>
                      <w:highlight w:val="none"/>
                      <w:lang w:val="en-US" w:eastAsia="zh-CN"/>
                    </w:rPr>
                    <w:t>隔油池、化粪池、</w:t>
                  </w:r>
                  <w:r>
                    <w:rPr>
                      <w:rFonts w:hint="default" w:ascii="Times New Roman" w:hAnsi="Times New Roman" w:eastAsia="仿宋" w:cs="Times New Roman"/>
                      <w:color w:val="auto"/>
                      <w:position w:val="6"/>
                      <w:sz w:val="21"/>
                      <w:szCs w:val="21"/>
                      <w:highlight w:val="none"/>
                      <w:lang w:val="en-US" w:eastAsia="zh-CN"/>
                    </w:rPr>
                    <w:t>委托拉运处置</w:t>
                  </w:r>
                </w:p>
              </w:tc>
              <w:tc>
                <w:tcPr>
                  <w:tcW w:w="751" w:type="pct"/>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生活污水</w:t>
                  </w:r>
                </w:p>
              </w:tc>
              <w:tc>
                <w:tcPr>
                  <w:tcW w:w="645" w:type="pct"/>
                  <w:vAlign w:val="center"/>
                </w:tcPr>
                <w:p>
                  <w:pPr>
                    <w:overflowPunct w:val="0"/>
                    <w:adjustRightInd w:val="0"/>
                    <w:snapToGrid w:val="0"/>
                    <w:spacing w:line="240" w:lineRule="auto"/>
                    <w:ind w:firstLine="0" w:firstLineChars="0"/>
                    <w:jc w:val="center"/>
                    <w:rPr>
                      <w:rFonts w:hint="eastAsia"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1套</w:t>
                  </w:r>
                </w:p>
              </w:tc>
              <w:tc>
                <w:tcPr>
                  <w:tcW w:w="717" w:type="pct"/>
                  <w:vAlign w:val="center"/>
                </w:tcPr>
                <w:p>
                  <w:pPr>
                    <w:overflowPunct w:val="0"/>
                    <w:adjustRightInd w:val="0"/>
                    <w:snapToGrid w:val="0"/>
                    <w:spacing w:line="240" w:lineRule="auto"/>
                    <w:ind w:firstLine="0" w:firstLineChars="0"/>
                    <w:jc w:val="center"/>
                    <w:rPr>
                      <w:rFonts w:hint="default"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机械噪声</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交通噪声</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固废</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全部运至项目区采场用于回填采坑</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废石</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危废暂存间、委托处置</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废机油</w:t>
                  </w:r>
                  <w:r>
                    <w:rPr>
                      <w:rFonts w:hint="eastAsia" w:eastAsia="仿宋" w:cs="Times New Roman"/>
                      <w:bCs/>
                      <w:color w:val="auto"/>
                      <w:sz w:val="21"/>
                      <w:szCs w:val="21"/>
                      <w:highlight w:val="none"/>
                      <w:lang w:val="en-US" w:eastAsia="zh-CN"/>
                    </w:rPr>
                    <w:t>、废机油桶</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生态</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eastAsia="zh-CN"/>
                    </w:rPr>
                    <w:t>堆场</w:t>
                  </w:r>
                  <w:r>
                    <w:rPr>
                      <w:rFonts w:hint="default" w:ascii="Times New Roman" w:hAnsi="Times New Roman" w:eastAsia="仿宋" w:cs="Times New Roman"/>
                      <w:bCs/>
                      <w:color w:val="auto"/>
                      <w:sz w:val="21"/>
                      <w:szCs w:val="21"/>
                      <w:highlight w:val="none"/>
                    </w:rPr>
                    <w:t>周边设置导流沟，填土草袋围护，减少水土流失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水土流失</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kern w:val="2"/>
                      <w:sz w:val="21"/>
                      <w:szCs w:val="21"/>
                      <w:highlight w:val="none"/>
                      <w:lang w:val="en-US" w:eastAsia="zh-CN" w:bidi="ar-SA"/>
                    </w:rPr>
                  </w:pPr>
                  <w:r>
                    <w:rPr>
                      <w:rFonts w:hint="eastAsia" w:ascii="Times New Roman" w:hAnsi="Times New Roman" w:eastAsia="仿宋" w:cs="Times New Roman"/>
                      <w:bCs/>
                      <w:color w:val="auto"/>
                      <w:kern w:val="2"/>
                      <w:sz w:val="21"/>
                      <w:szCs w:val="21"/>
                      <w:highlight w:val="none"/>
                      <w:lang w:val="en-US" w:eastAsia="zh-CN" w:bidi="ar-SA"/>
                    </w:rPr>
                    <w:t xml:space="preserve">闭矿 </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eastAsia" w:ascii="Times New Roman" w:hAnsi="Times New Roman" w:eastAsia="仿宋" w:cs="Times New Roman"/>
                      <w:bCs/>
                      <w:color w:val="auto"/>
                      <w:kern w:val="2"/>
                      <w:sz w:val="21"/>
                      <w:szCs w:val="21"/>
                      <w:highlight w:val="none"/>
                      <w:lang w:val="en-US" w:eastAsia="zh-CN" w:bidi="ar-SA"/>
                    </w:rPr>
                    <w:t>期</w:t>
                  </w:r>
                </w:p>
              </w:tc>
              <w:tc>
                <w:tcPr>
                  <w:tcW w:w="3847" w:type="pct"/>
                  <w:gridSpan w:val="4"/>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kern w:val="2"/>
                      <w:sz w:val="21"/>
                      <w:szCs w:val="21"/>
                      <w:highlight w:val="none"/>
                      <w:lang w:val="en-US" w:eastAsia="zh-CN" w:bidi="ar-SA"/>
                    </w:rPr>
                    <w:t>闭矿期拆除建筑物，场地平整，覆土回填、</w:t>
                  </w:r>
                  <w:r>
                    <w:rPr>
                      <w:rFonts w:hint="default" w:ascii="Times New Roman" w:hAnsi="Times New Roman" w:eastAsia="仿宋" w:cs="Times New Roman"/>
                      <w:bCs/>
                      <w:color w:val="auto"/>
                      <w:sz w:val="21"/>
                      <w:szCs w:val="21"/>
                      <w:highlight w:val="none"/>
                      <w:lang w:val="en-US" w:eastAsia="zh-CN"/>
                    </w:rPr>
                    <w:t>采用机械、人工等方式对采场边坡进行清理</w:t>
                  </w:r>
                  <w:r>
                    <w:rPr>
                      <w:rFonts w:hint="eastAsia" w:eastAsia="仿宋" w:cs="Times New Roman"/>
                      <w:bCs/>
                      <w:color w:val="auto"/>
                      <w:sz w:val="21"/>
                      <w:szCs w:val="21"/>
                      <w:highlight w:val="none"/>
                      <w:lang w:val="en-US" w:eastAsia="zh-CN"/>
                    </w:rPr>
                    <w:t>，同时对采坑边坡进行削坡处理，保证边坡稳定，防止水土流失加剧；矿山道路清理、覆土，基本恢复原有地形地貌。</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98.51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82" w:type="pct"/>
                  <w:gridSpan w:val="5"/>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123.31</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eastAsia" w:ascii="Times New Roman" w:hAnsi="Times New Roman" w:eastAsia="仿宋" w:cs="Times New Roman"/>
                <w:b/>
                <w:color w:val="auto"/>
                <w:kern w:val="0"/>
                <w:sz w:val="24"/>
                <w:highlight w:val="none"/>
                <w:lang w:val="en-US" w:eastAsia="zh-CN"/>
              </w:rPr>
              <w:t>2、</w:t>
            </w:r>
            <w:r>
              <w:rPr>
                <w:rFonts w:hint="default" w:ascii="Times New Roman" w:hAnsi="Times New Roman" w:eastAsia="仿宋" w:cs="Times New Roman"/>
                <w:b/>
                <w:color w:val="auto"/>
                <w:kern w:val="0"/>
                <w:sz w:val="24"/>
                <w:highlight w:val="none"/>
              </w:rPr>
              <w:t>竣工验收</w:t>
            </w:r>
          </w:p>
          <w:p>
            <w:pPr>
              <w:adjustRightInd w:val="0"/>
              <w:snapToGrid w:val="0"/>
              <w:ind w:firstLine="460" w:firstLineChars="200"/>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建设单位在工程投产后试运行</w:t>
            </w:r>
            <w:r>
              <w:rPr>
                <w:rFonts w:hint="eastAsia" w:eastAsia="仿宋" w:cs="Times New Roman"/>
                <w:bCs/>
                <w:color w:val="auto"/>
                <w:spacing w:val="10"/>
                <w:szCs w:val="21"/>
                <w:lang w:val="en-US" w:eastAsia="zh-CN"/>
              </w:rPr>
              <w:t>3</w:t>
            </w:r>
            <w:r>
              <w:rPr>
                <w:rFonts w:hint="default" w:ascii="Times New Roman" w:hAnsi="Times New Roman" w:eastAsia="仿宋" w:cs="Times New Roman"/>
                <w:bCs/>
                <w:color w:val="auto"/>
                <w:spacing w:val="10"/>
                <w:szCs w:val="21"/>
              </w:rPr>
              <w:t>个月内，按照《建设项目环境保护设施竣工验收管理规定》中的有关要求，进行自主验收</w:t>
            </w:r>
            <w:r>
              <w:rPr>
                <w:rFonts w:hint="eastAsia" w:eastAsia="仿宋" w:cs="Times New Roman"/>
                <w:bCs/>
                <w:color w:val="auto"/>
                <w:spacing w:val="10"/>
                <w:szCs w:val="21"/>
                <w:lang w:eastAsia="zh-CN"/>
              </w:rPr>
              <w:t>并</w:t>
            </w:r>
            <w:r>
              <w:rPr>
                <w:rFonts w:hint="default" w:ascii="Times New Roman" w:hAnsi="Times New Roman" w:eastAsia="仿宋" w:cs="Times New Roman"/>
                <w:bCs/>
                <w:color w:val="auto"/>
                <w:spacing w:val="10"/>
                <w:szCs w:val="21"/>
              </w:rPr>
              <w:t>及时向项目环保主管部门备案。建设项目竣工环保“三同时”验收内容见下表。</w:t>
            </w:r>
          </w:p>
          <w:p>
            <w:pPr>
              <w:adjustRightInd w:val="0"/>
              <w:snapToGrid w:val="0"/>
              <w:ind w:firstLine="462" w:firstLineChars="200"/>
              <w:jc w:val="center"/>
              <w:rPr>
                <w:rFonts w:hint="default" w:ascii="Times New Roman" w:hAnsi="Times New Roman" w:eastAsia="仿宋" w:cs="Times New Roman"/>
                <w:b/>
                <w:bCs w:val="0"/>
                <w:color w:val="auto"/>
                <w:spacing w:val="10"/>
                <w:szCs w:val="21"/>
              </w:rPr>
            </w:pPr>
            <w:r>
              <w:rPr>
                <w:rFonts w:hint="default" w:ascii="Times New Roman" w:hAnsi="Times New Roman" w:eastAsia="仿宋" w:cs="Times New Roman"/>
                <w:b/>
                <w:bCs w:val="0"/>
                <w:color w:val="auto"/>
                <w:spacing w:val="10"/>
                <w:szCs w:val="21"/>
              </w:rPr>
              <w:t>表5-</w:t>
            </w:r>
            <w:r>
              <w:rPr>
                <w:rFonts w:hint="eastAsia" w:eastAsia="仿宋" w:cs="Times New Roman"/>
                <w:b/>
                <w:bCs w:val="0"/>
                <w:color w:val="auto"/>
                <w:spacing w:val="10"/>
                <w:szCs w:val="21"/>
                <w:lang w:val="en-US" w:eastAsia="zh-CN"/>
              </w:rPr>
              <w:t>7</w:t>
            </w:r>
            <w:r>
              <w:rPr>
                <w:rFonts w:hint="default" w:ascii="Times New Roman" w:hAnsi="Times New Roman" w:eastAsia="仿宋" w:cs="Times New Roman"/>
                <w:b/>
                <w:bCs w:val="0"/>
                <w:color w:val="auto"/>
                <w:spacing w:val="10"/>
                <w:szCs w:val="21"/>
              </w:rPr>
              <w:t>“三同时”验收一览表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928"/>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建设内容</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竣工验收要求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喷淋设备、洒水设备是否设置完善；无组织粉尘排放满足《大气污染物综合排放标准》（GB16297-96）表</w:t>
                  </w:r>
                  <w:r>
                    <w:rPr>
                      <w:rFonts w:hint="eastAsia" w:ascii="Times New Roman" w:hAnsi="Times New Roman" w:eastAsia="仿宋" w:cs="Times New Roman"/>
                      <w:bCs/>
                      <w:color w:val="auto"/>
                      <w:sz w:val="21"/>
                      <w:szCs w:val="21"/>
                      <w:highlight w:val="none"/>
                      <w:lang w:val="en-US" w:eastAsia="zh-CN"/>
                    </w:rPr>
                    <w:t>2</w:t>
                  </w:r>
                  <w:r>
                    <w:rPr>
                      <w:rFonts w:hint="default" w:ascii="Times New Roman" w:hAnsi="Times New Roman" w:eastAsia="仿宋" w:cs="Times New Roman"/>
                      <w:bCs/>
                      <w:color w:val="auto"/>
                      <w:sz w:val="21"/>
                      <w:szCs w:val="21"/>
                      <w:highlight w:val="none"/>
                      <w:lang w:val="en-US" w:eastAsia="zh-CN"/>
                    </w:rPr>
                    <w:t>中无组织排放监控浓度限值。</w:t>
                  </w:r>
                  <w:r>
                    <w:rPr>
                      <w:rFonts w:hint="eastAsia" w:ascii="Times New Roman" w:hAnsi="Times New Roman" w:eastAsia="仿宋" w:cs="Times New Roman"/>
                      <w:bCs/>
                      <w:color w:val="auto"/>
                      <w:sz w:val="21"/>
                      <w:szCs w:val="21"/>
                      <w:highlight w:val="none"/>
                      <w:lang w:val="en-US" w:eastAsia="zh-CN"/>
                    </w:rPr>
                    <w:t>食堂油烟满足《饮食业油烟排放标准》（GB18483-2001）中最高允许排放浓度为2.0mg/m</w:t>
                  </w:r>
                  <w:r>
                    <w:rPr>
                      <w:rFonts w:hint="eastAsia" w:ascii="Times New Roman" w:hAnsi="Times New Roman" w:eastAsia="仿宋" w:cs="Times New Roman"/>
                      <w:bCs/>
                      <w:color w:val="auto"/>
                      <w:sz w:val="21"/>
                      <w:szCs w:val="21"/>
                      <w:highlight w:val="none"/>
                      <w:vertAlign w:val="superscript"/>
                      <w:lang w:val="en-US" w:eastAsia="zh-CN"/>
                    </w:rPr>
                    <w:t>3</w:t>
                  </w:r>
                  <w:r>
                    <w:rPr>
                      <w:rFonts w:hint="eastAsia" w:ascii="Times New Roman" w:hAnsi="Times New Roman" w:eastAsia="仿宋" w:cs="Times New Roman"/>
                      <w:bCs/>
                      <w:color w:val="auto"/>
                      <w:sz w:val="21"/>
                      <w:szCs w:val="21"/>
                      <w:highlight w:val="none"/>
                      <w:lang w:val="en-US" w:eastAsia="zh-CN"/>
                    </w:rPr>
                    <w:t>的限值要求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废水</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default" w:ascii="Times New Roman" w:hAnsi="Times New Roman" w:eastAsia="仿宋" w:cs="Times New Roman"/>
                      <w:color w:val="auto"/>
                      <w:position w:val="6"/>
                      <w:sz w:val="21"/>
                      <w:szCs w:val="21"/>
                      <w:highlight w:val="none"/>
                      <w:lang w:val="en-US" w:eastAsia="zh-CN"/>
                    </w:rPr>
                    <w:t>食堂废水经隔油处理后与其他生活污水暂存于化粪池，定期委托个人由吸污泵车拉运至鄯善县污水处理厂处置</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49" w:type="pct"/>
                  <w:vAlign w:val="center"/>
                </w:tcPr>
                <w:p>
                  <w:pPr>
                    <w:overflowPunct w:val="0"/>
                    <w:adjustRightInd w:val="0"/>
                    <w:snapToGrid w:val="0"/>
                    <w:spacing w:line="240" w:lineRule="auto"/>
                    <w:ind w:firstLine="0" w:firstLineChars="0"/>
                    <w:jc w:val="center"/>
                    <w:rPr>
                      <w:rFonts w:hint="eastAsia" w:ascii="Times New Roman" w:hAnsi="Times New Roman" w:eastAsia="仿宋" w:cs="Times New Roman"/>
                      <w:bCs/>
                      <w:color w:val="auto"/>
                      <w:sz w:val="21"/>
                      <w:szCs w:val="21"/>
                      <w:highlight w:val="none"/>
                      <w:lang w:val="en-US" w:eastAsia="zh-CN"/>
                    </w:rPr>
                  </w:pPr>
                  <w:r>
                    <w:rPr>
                      <w:rFonts w:hint="eastAsia" w:eastAsia="仿宋" w:cs="Times New Roman"/>
                      <w:bCs/>
                      <w:color w:val="auto"/>
                      <w:sz w:val="21"/>
                      <w:szCs w:val="21"/>
                      <w:highlight w:val="none"/>
                      <w:lang w:val="en-US" w:eastAsia="zh-CN"/>
                    </w:rPr>
                    <w:t>固废</w:t>
                  </w:r>
                </w:p>
              </w:tc>
              <w:tc>
                <w:tcPr>
                  <w:tcW w:w="238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r>
                    <w:rPr>
                      <w:rFonts w:hint="eastAsia" w:eastAsia="仿宋" w:cs="Times New Roman"/>
                      <w:bCs/>
                      <w:color w:val="auto"/>
                      <w:sz w:val="21"/>
                      <w:szCs w:val="21"/>
                      <w:highlight w:val="none"/>
                      <w:lang w:eastAsia="zh-CN"/>
                    </w:rPr>
                    <w:t>、</w:t>
                  </w:r>
                  <w:r>
                    <w:rPr>
                      <w:rFonts w:hint="eastAsia" w:eastAsia="仿宋" w:cs="Times New Roman"/>
                      <w:bCs/>
                      <w:color w:val="auto"/>
                      <w:sz w:val="21"/>
                      <w:szCs w:val="21"/>
                      <w:highlight w:val="none"/>
                      <w:lang w:val="en-US" w:eastAsia="zh-CN"/>
                    </w:rPr>
                    <w:t>防渗沉淀池的泥沙自然风干后定期回填至采坑</w:t>
                  </w:r>
                </w:p>
              </w:tc>
              <w:tc>
                <w:tcPr>
                  <w:tcW w:w="2063" w:type="pct"/>
                  <w:vAlign w:val="center"/>
                </w:tcPr>
                <w:p>
                  <w:pPr>
                    <w:pStyle w:val="11"/>
                    <w:overflowPunct w:val="0"/>
                    <w:adjustRightInd w:val="0"/>
                    <w:spacing w:after="0" w:line="240" w:lineRule="auto"/>
                    <w:ind w:left="0" w:leftChars="0" w:firstLine="0" w:firstLineChars="0"/>
                    <w:jc w:val="center"/>
                    <w:rPr>
                      <w:rFonts w:hint="eastAsia" w:ascii="Times New Roman" w:hAnsi="Times New Roman" w:eastAsia="仿宋" w:cs="Times New Roman"/>
                      <w:bCs/>
                      <w:color w:val="auto"/>
                      <w:sz w:val="21"/>
                      <w:szCs w:val="21"/>
                      <w:highlight w:val="none"/>
                      <w:lang w:eastAsia="zh-CN"/>
                    </w:rPr>
                  </w:pPr>
                  <w:r>
                    <w:rPr>
                      <w:rFonts w:hint="eastAsia"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生态</w:t>
                  </w:r>
                </w:p>
              </w:tc>
              <w:tc>
                <w:tcPr>
                  <w:tcW w:w="238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kern w:val="2"/>
                      <w:sz w:val="21"/>
                      <w:szCs w:val="21"/>
                      <w:highlight w:val="none"/>
                      <w:lang w:val="en-US" w:eastAsia="zh-CN" w:bidi="ar-SA"/>
                    </w:rPr>
                    <w:t>闭矿期拆除建筑物，场地平整，覆土回填、</w:t>
                  </w:r>
                  <w:r>
                    <w:rPr>
                      <w:rFonts w:hint="default" w:ascii="Times New Roman" w:hAnsi="Times New Roman" w:eastAsia="仿宋" w:cs="Times New Roman"/>
                      <w:bCs/>
                      <w:color w:val="auto"/>
                      <w:sz w:val="21"/>
                      <w:szCs w:val="21"/>
                      <w:highlight w:val="none"/>
                      <w:lang w:val="en-US" w:eastAsia="zh-CN"/>
                    </w:rPr>
                    <w:t>采用机械、人工等方式对采场边坡进行清理</w:t>
                  </w:r>
                  <w:r>
                    <w:rPr>
                      <w:rFonts w:hint="eastAsia" w:eastAsia="仿宋" w:cs="Times New Roman"/>
                      <w:bCs/>
                      <w:color w:val="auto"/>
                      <w:sz w:val="21"/>
                      <w:szCs w:val="21"/>
                      <w:highlight w:val="none"/>
                      <w:lang w:val="en-US" w:eastAsia="zh-CN"/>
                    </w:rPr>
                    <w:t>，同时对采坑边坡进行削坡处理，保证边坡稳定，防止水土流失加剧；矿山道路清理、覆土，基本恢复原有地形地貌。</w:t>
                  </w:r>
                </w:p>
              </w:tc>
              <w:tc>
                <w:tcPr>
                  <w:tcW w:w="2063"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开采活动破坏或废弃土地及时整治和生态恢复，符合矿山生态环境</w:t>
                  </w:r>
                </w:p>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保护与恢复治理相关要求，恢复加工区原有地貌景观</w:t>
                  </w:r>
                </w:p>
              </w:tc>
            </w:tr>
          </w:tbl>
          <w:p>
            <w:pPr>
              <w:adjustRightInd w:val="0"/>
              <w:snapToGrid w:val="0"/>
              <w:ind w:firstLine="0" w:firstLineChars="0"/>
              <w:rPr>
                <w:rFonts w:hint="default" w:ascii="Times New Roman" w:hAnsi="Times New Roman" w:eastAsia="仿宋" w:cs="Times New Roman"/>
                <w:bCs/>
                <w:color w:val="auto"/>
                <w:spacing w:val="10"/>
                <w:szCs w:val="21"/>
              </w:rPr>
            </w:pPr>
          </w:p>
        </w:tc>
      </w:tr>
    </w:tbl>
    <w:p>
      <w:pPr>
        <w:ind w:firstLine="420"/>
        <w:rPr>
          <w:rFonts w:hint="default" w:ascii="Times New Roman" w:hAnsi="Times New Roman" w:eastAsia="仿宋"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b/>
          <w:bCs/>
          <w:snapToGrid w:val="0"/>
          <w:color w:val="auto"/>
          <w:sz w:val="30"/>
          <w:szCs w:val="30"/>
        </w:rPr>
      </w:pPr>
      <w:r>
        <w:rPr>
          <w:rFonts w:hint="default" w:ascii="Times New Roman" w:hAnsi="Times New Roman" w:eastAsia="仿宋" w:cs="Times New Roman"/>
          <w:b/>
          <w:bCs/>
          <w:snapToGrid w:val="0"/>
          <w:color w:val="auto"/>
          <w:sz w:val="30"/>
          <w:szCs w:val="30"/>
        </w:rPr>
        <w:t>六、生态环境保护措施监督检查清单</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982"/>
        <w:gridCol w:w="1116"/>
        <w:gridCol w:w="2144"/>
        <w:gridCol w:w="1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79" w:type="pct"/>
            <w:vMerge w:val="restart"/>
            <w:tcBorders>
              <w:tl2br w:val="single" w:color="auto" w:sz="4" w:space="0"/>
            </w:tcBorders>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内容</w:t>
            </w:r>
          </w:p>
          <w:p>
            <w:pPr>
              <w:pStyle w:val="20"/>
              <w:adjustRightInd w:val="0"/>
              <w:snapToGrid w:val="0"/>
              <w:spacing w:before="0" w:beforeAutospacing="0" w:after="0" w:afterAutospacing="0" w:line="240" w:lineRule="auto"/>
              <w:ind w:firstLine="0" w:firstLineChars="0"/>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要素</w:t>
            </w:r>
          </w:p>
        </w:tc>
        <w:tc>
          <w:tcPr>
            <w:tcW w:w="1817"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施工期</w:t>
            </w:r>
          </w:p>
        </w:tc>
        <w:tc>
          <w:tcPr>
            <w:tcW w:w="2203"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9" w:type="pct"/>
            <w:vMerge w:val="continue"/>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p>
        </w:tc>
        <w:tc>
          <w:tcPr>
            <w:tcW w:w="1162"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654"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c>
          <w:tcPr>
            <w:tcW w:w="1257"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945"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陆生生态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限制施工车辆及人员活动范围，减少占地；尽量缩短施工期，减少水土流失；施工物料、堆土、施工作业面雨天遮盖，避免雨水冲刷产生水土流失；加强施工人员教育，减少占地和植被破坏</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color w:val="auto"/>
              </w:rPr>
              <w:t>严格限制开采机械设备和作业人员的活动范围，合理划定开采和活动范围，减少地表扰动面积；</w:t>
            </w:r>
            <w:r>
              <w:rPr>
                <w:rFonts w:hint="default" w:ascii="Times New Roman" w:hAnsi="Times New Roman" w:eastAsia="仿宋" w:cs="Times New Roman"/>
                <w:bCs/>
                <w:color w:val="auto"/>
                <w:spacing w:val="10"/>
                <w:szCs w:val="21"/>
              </w:rPr>
              <w:t>道路出入口竖立保护植被警示牌，提醒区内人员勿破坏植被；道路铺筑避开植被，车辆在指定道路上行驶，严禁随意行驶以防碾压植被；闭矿期土地复垦面积。</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水生生态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地表水环境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施工废水经沉淀处理后回用于场地洒水降尘，不外排</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w:t>
            </w:r>
            <w:r>
              <w:rPr>
                <w:rFonts w:hint="default" w:ascii="Times New Roman" w:hAnsi="Times New Roman" w:eastAsia="仿宋" w:cs="Times New Roman"/>
                <w:color w:val="auto"/>
                <w:szCs w:val="21"/>
                <w:highlight w:val="none"/>
                <w:lang w:val="en-US" w:eastAsia="zh-CN"/>
              </w:rPr>
              <w:t>运营期</w:t>
            </w:r>
            <w:r>
              <w:rPr>
                <w:rFonts w:hint="default" w:ascii="Times New Roman" w:hAnsi="Times New Roman" w:eastAsia="仿宋" w:cs="Times New Roman"/>
                <w:color w:val="auto"/>
                <w:szCs w:val="21"/>
                <w:highlight w:val="none"/>
              </w:rPr>
              <w:t>不产生生产废水，</w:t>
            </w:r>
            <w:r>
              <w:rPr>
                <w:rFonts w:hint="default" w:ascii="Times New Roman" w:hAnsi="Times New Roman" w:eastAsia="仿宋" w:cs="Times New Roman"/>
                <w:color w:val="auto"/>
                <w:szCs w:val="21"/>
                <w:highlight w:val="none"/>
                <w:lang w:val="en-US" w:eastAsia="zh-CN"/>
              </w:rPr>
              <w:t>食堂废水经隔油处理后与其他生活污水暂存于化粪池，定期委托个人由吸污泵车拉运至鄯善县污水处理厂处置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不直接外排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地下水及土壤环境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声环境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合理安排布局，制定施工计划，禁止夜间施工，加强施工管理，必要时采取临时降噪措施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选用低噪声设备，设备定期维护；减震、隔声；合理安排作业时间；合理设置运输路线</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达到《工业企业厂界环境噪声排放标准》（GB12348-2008）2类标准要求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振动</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大气环境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定期对施工场地进行洒水降尘，采用商品混凝土，对原辅材料、运输车辆采取密闭措施，加盖篷布等措施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position w:val="6"/>
                <w:sz w:val="21"/>
                <w:szCs w:val="21"/>
                <w:highlight w:val="none"/>
              </w:rPr>
              <w:t>洒降尘措施；</w:t>
            </w:r>
            <w:r>
              <w:rPr>
                <w:rFonts w:hint="default" w:ascii="Times New Roman" w:hAnsi="Times New Roman" w:eastAsia="仿宋" w:cs="Times New Roman"/>
                <w:color w:val="auto"/>
                <w:position w:val="6"/>
                <w:sz w:val="21"/>
                <w:szCs w:val="21"/>
                <w:highlight w:val="none"/>
                <w:lang w:val="zh-TW" w:eastAsia="zh-CN"/>
              </w:rPr>
              <w:t>对筛分工序进行局部密闭，无法密闭部位安装水喷淋降尘</w:t>
            </w:r>
            <w:r>
              <w:rPr>
                <w:rFonts w:hint="default" w:ascii="Times New Roman" w:hAnsi="Times New Roman" w:eastAsia="仿宋" w:cs="Times New Roman"/>
                <w:color w:val="auto"/>
                <w:position w:val="6"/>
                <w:sz w:val="21"/>
                <w:szCs w:val="21"/>
                <w:highlight w:val="none"/>
                <w:lang w:val="en-US" w:eastAsia="zh-CN"/>
              </w:rPr>
              <w:t>；</w:t>
            </w:r>
            <w:r>
              <w:rPr>
                <w:rFonts w:hint="default" w:ascii="Times New Roman" w:hAnsi="Times New Roman" w:eastAsia="仿宋" w:cs="Times New Roman"/>
                <w:color w:val="auto"/>
                <w:position w:val="6"/>
                <w:sz w:val="21"/>
                <w:szCs w:val="21"/>
                <w:highlight w:val="none"/>
              </w:rPr>
              <w:t>矿区运输道路每日洒水</w:t>
            </w:r>
            <w:r>
              <w:rPr>
                <w:rFonts w:hint="eastAsia"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eastAsia" w:eastAsia="仿宋" w:cs="Times New Roman"/>
                <w:color w:val="auto"/>
                <w:position w:val="6"/>
                <w:sz w:val="21"/>
                <w:szCs w:val="21"/>
                <w:highlight w:val="none"/>
                <w:lang w:val="en-US" w:eastAsia="zh-CN"/>
              </w:rPr>
              <w:t>排土场采取防尘网苫盖</w:t>
            </w:r>
            <w:r>
              <w:rPr>
                <w:rFonts w:hint="default" w:ascii="Times New Roman" w:hAnsi="Times New Roman" w:eastAsia="仿宋" w:cs="Times New Roman"/>
                <w:color w:val="auto"/>
                <w:position w:val="6"/>
                <w:sz w:val="21"/>
                <w:szCs w:val="21"/>
                <w:highlight w:val="none"/>
              </w:rPr>
              <w:t>，洒水保湿</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lang w:val="en-US" w:eastAsia="zh-CN"/>
              </w:rPr>
              <w:t>食堂油烟经油烟净化器处理后排放。</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Cs w:val="21"/>
                <w:highlight w:val="none"/>
              </w:rPr>
              <w:t>《大气污染物综合排放标准》（GB16297-1996）中新污染源无组织排放限值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固体废物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生活垃圾统一收集后拉运附近乡镇垃圾中转站统一处理；开挖产生的土方用于道路及场地平整，做到土石方平衡；对施工过程中产生的建筑垃圾，运至</w:t>
            </w:r>
            <w:r>
              <w:rPr>
                <w:rFonts w:hint="default" w:ascii="Times New Roman" w:hAnsi="Times New Roman" w:eastAsia="仿宋" w:cs="Times New Roman"/>
                <w:color w:val="auto"/>
                <w:szCs w:val="21"/>
                <w:highlight w:val="none"/>
                <w:lang w:val="en-US" w:eastAsia="zh-CN"/>
              </w:rPr>
              <w:t>鄯善县</w:t>
            </w:r>
            <w:r>
              <w:rPr>
                <w:rFonts w:hint="default" w:ascii="Times New Roman" w:hAnsi="Times New Roman" w:eastAsia="仿宋" w:cs="Times New Roman"/>
                <w:color w:val="auto"/>
                <w:szCs w:val="21"/>
                <w:highlight w:val="none"/>
              </w:rPr>
              <w:t>建筑垃圾填埋场处置。</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生活垃圾集中收集至</w:t>
            </w:r>
            <w:r>
              <w:rPr>
                <w:rFonts w:hint="default" w:ascii="Times New Roman" w:hAnsi="Times New Roman" w:eastAsia="仿宋" w:cs="Times New Roman"/>
                <w:color w:val="auto"/>
                <w:szCs w:val="21"/>
                <w:highlight w:val="none"/>
                <w:lang w:val="en-US" w:eastAsia="zh-CN"/>
              </w:rPr>
              <w:t>鄯善县垃圾填埋场处置</w:t>
            </w:r>
            <w:r>
              <w:rPr>
                <w:rFonts w:hint="default" w:ascii="Times New Roman" w:hAnsi="Times New Roman" w:eastAsia="仿宋" w:cs="Times New Roman"/>
                <w:color w:val="auto"/>
                <w:szCs w:val="21"/>
                <w:highlight w:val="none"/>
              </w:rPr>
              <w:t>；开采废砂石暂存于</w:t>
            </w:r>
            <w:r>
              <w:rPr>
                <w:rFonts w:hint="eastAsia" w:eastAsia="仿宋" w:cs="Times New Roman"/>
                <w:color w:val="auto"/>
                <w:szCs w:val="21"/>
                <w:highlight w:val="none"/>
                <w:lang w:val="en-US" w:eastAsia="zh-CN"/>
              </w:rPr>
              <w:t>排土场</w:t>
            </w:r>
            <w:r>
              <w:rPr>
                <w:rFonts w:hint="default" w:ascii="Times New Roman" w:hAnsi="Times New Roman" w:eastAsia="仿宋" w:cs="Times New Roman"/>
                <w:color w:val="auto"/>
                <w:szCs w:val="21"/>
                <w:highlight w:val="none"/>
              </w:rPr>
              <w:t>，闭矿期用于矿坑回填及土地整治</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lang w:val="en-US" w:eastAsia="zh-CN"/>
              </w:rPr>
              <w:t>防渗沉淀池的泥沙自然风干后定期回填至采坑</w:t>
            </w:r>
            <w:r>
              <w:rPr>
                <w:rFonts w:hint="eastAsia" w:eastAsia="仿宋" w:cs="Times New Roman"/>
                <w:color w:val="auto"/>
                <w:szCs w:val="21"/>
                <w:highlight w:val="none"/>
                <w:lang w:val="en-US" w:eastAsia="zh-CN"/>
              </w:rPr>
              <w:t>；</w:t>
            </w:r>
            <w:r>
              <w:rPr>
                <w:rFonts w:hint="default" w:ascii="Times New Roman" w:hAnsi="Times New Roman" w:eastAsia="仿宋" w:cs="Times New Roman"/>
                <w:color w:val="auto"/>
                <w:szCs w:val="21"/>
                <w:highlight w:val="none"/>
                <w:lang w:val="en-US" w:eastAsia="zh-CN"/>
              </w:rPr>
              <w:t>废机油</w:t>
            </w:r>
            <w:r>
              <w:rPr>
                <w:rFonts w:hint="eastAsia" w:eastAsia="仿宋" w:cs="Times New Roman"/>
                <w:color w:val="auto"/>
                <w:szCs w:val="21"/>
                <w:highlight w:val="none"/>
                <w:lang w:val="en-US" w:eastAsia="zh-CN"/>
              </w:rPr>
              <w:t>、废机油桶</w:t>
            </w:r>
            <w:r>
              <w:rPr>
                <w:rFonts w:hint="default" w:ascii="Times New Roman" w:hAnsi="Times New Roman" w:eastAsia="仿宋" w:cs="Times New Roman"/>
                <w:color w:val="auto"/>
                <w:szCs w:val="21"/>
                <w:highlight w:val="none"/>
                <w:lang w:val="en-US" w:eastAsia="zh-CN"/>
              </w:rPr>
              <w:t>暂存于危废间后委托有资质单位处置。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电磁环境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环境风险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r>
              <w:rPr>
                <w:rFonts w:hint="default" w:ascii="Times New Roman" w:hAnsi="Times New Roman" w:eastAsia="仿宋" w:cs="Times New Roman"/>
                <w:color w:val="auto"/>
                <w:szCs w:val="21"/>
                <w:lang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环境监测</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监测项目：厂界噪声和粉尘；监测布点：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1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①</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粉尘：开采区</w:t>
            </w:r>
            <w:r>
              <w:rPr>
                <w:rFonts w:hint="default" w:ascii="Times New Roman" w:hAnsi="Times New Roman" w:eastAsia="仿宋" w:cs="Times New Roman"/>
                <w:color w:val="auto"/>
                <w:szCs w:val="21"/>
                <w:lang w:val="en-US" w:eastAsia="zh-CN"/>
              </w:rPr>
              <w:t>场区</w:t>
            </w:r>
            <w:r>
              <w:rPr>
                <w:rFonts w:hint="default" w:ascii="Times New Roman" w:hAnsi="Times New Roman" w:eastAsia="仿宋" w:cs="Times New Roman"/>
                <w:color w:val="auto"/>
                <w:szCs w:val="21"/>
              </w:rPr>
              <w:t>下风向各布设1个监测点；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2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②</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噪声：厂界四周各设1个噪声监测点。</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其他</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bl>
    <w:p>
      <w:pPr>
        <w:pStyle w:val="20"/>
        <w:spacing w:before="192" w:beforeLines="80" w:beforeAutospacing="0"/>
        <w:ind w:firstLine="600"/>
        <w:jc w:val="center"/>
        <w:outlineLvl w:val="0"/>
        <w:rPr>
          <w:rFonts w:hint="default" w:ascii="Times New Roman" w:hAnsi="Times New Roman" w:eastAsia="仿宋"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七、结论</w:t>
      </w:r>
    </w:p>
    <w:tbl>
      <w:tblPr>
        <w:tblStyle w:val="26"/>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2" w:hRule="atLeast"/>
          <w:jc w:val="center"/>
        </w:trPr>
        <w:tc>
          <w:tcPr>
            <w:tcW w:w="9289"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符合国家、地方的产业政策及相关规划政策，符合“三线一单”要求，选址合理，各项污染物能够稳定达标排放，在严格落实本次评价提出的生态环境保护措施和污染治理措施后，项目运行期间对区域环境影响不大。</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从环境保护角度来看，本项目的建设是可行的。</w:t>
            </w: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0" w:firstLineChars="0"/>
              <w:rPr>
                <w:rFonts w:hint="default" w:ascii="Times New Roman" w:hAnsi="Times New Roman" w:eastAsia="仿宋" w:cs="Times New Roman"/>
                <w:color w:val="auto"/>
              </w:rPr>
            </w:pPr>
          </w:p>
        </w:tc>
      </w:tr>
    </w:tbl>
    <w:p>
      <w:pPr>
        <w:adjustRightInd w:val="0"/>
        <w:snapToGrid w:val="0"/>
        <w:spacing w:before="192" w:beforeLines="80"/>
        <w:ind w:firstLine="0" w:firstLineChars="0"/>
        <w:rPr>
          <w:rFonts w:hint="default" w:ascii="Times New Roman" w:hAnsi="Times New Roman" w:eastAsia="仿宋" w:cs="Times New Roman"/>
          <w:color w:val="auto"/>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35"/>
        <w:rPr>
          <w:rFonts w:hint="default" w:ascii="Times New Roman" w:hAnsi="Times New Roman" w:eastAsia="仿宋" w:cs="Times New Roman"/>
          <w:color w:val="auto"/>
          <w:lang w:val="en-US" w:eastAsia="zh-CN"/>
        </w:rPr>
      </w:pPr>
    </w:p>
    <w:sectPr>
      <w:footerReference r:id="rId10"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22"/>
        <w:tab w:val="clear" w:pos="4153"/>
      </w:tabs>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A7B4C"/>
    <w:multiLevelType w:val="singleLevel"/>
    <w:tmpl w:val="8A3A7B4C"/>
    <w:lvl w:ilvl="0" w:tentative="0">
      <w:start w:val="1"/>
      <w:numFmt w:val="decimal"/>
      <w:suff w:val="nothing"/>
      <w:lvlText w:val="（%1）"/>
      <w:lvlJc w:val="left"/>
    </w:lvl>
  </w:abstractNum>
  <w:abstractNum w:abstractNumId="1">
    <w:nsid w:val="8D9454E1"/>
    <w:multiLevelType w:val="singleLevel"/>
    <w:tmpl w:val="8D9454E1"/>
    <w:lvl w:ilvl="0" w:tentative="0">
      <w:start w:val="5"/>
      <w:numFmt w:val="decimal"/>
      <w:suff w:val="nothing"/>
      <w:lvlText w:val="（%1）"/>
      <w:lvlJc w:val="left"/>
    </w:lvl>
  </w:abstractNum>
  <w:abstractNum w:abstractNumId="2">
    <w:nsid w:val="303B7C18"/>
    <w:multiLevelType w:val="singleLevel"/>
    <w:tmpl w:val="303B7C18"/>
    <w:lvl w:ilvl="0" w:tentative="0">
      <w:start w:val="2"/>
      <w:numFmt w:val="decimal"/>
      <w:suff w:val="nothing"/>
      <w:lvlText w:val="%1、"/>
      <w:lvlJc w:val="left"/>
    </w:lvl>
  </w:abstractNum>
  <w:abstractNum w:abstractNumId="3">
    <w:nsid w:val="4AC7D6EE"/>
    <w:multiLevelType w:val="singleLevel"/>
    <w:tmpl w:val="4AC7D6EE"/>
    <w:lvl w:ilvl="0" w:tentative="0">
      <w:start w:val="5"/>
      <w:numFmt w:val="decimal"/>
      <w:suff w:val="nothing"/>
      <w:lvlText w:val="（%1）"/>
      <w:lvlJc w:val="left"/>
    </w:lvl>
  </w:abstractNum>
  <w:abstractNum w:abstractNumId="4">
    <w:nsid w:val="67461E50"/>
    <w:multiLevelType w:val="singleLevel"/>
    <w:tmpl w:val="67461E50"/>
    <w:lvl w:ilvl="0" w:tentative="0">
      <w:start w:val="2"/>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mU3NGQ4MjYwMjAxODY5NmFjYWQxN2IzMDdlNDUifQ=="/>
  </w:docVars>
  <w:rsids>
    <w:rsidRoot w:val="00A14947"/>
    <w:rsid w:val="00001CED"/>
    <w:rsid w:val="00001E67"/>
    <w:rsid w:val="00003CD8"/>
    <w:rsid w:val="00014965"/>
    <w:rsid w:val="0001523A"/>
    <w:rsid w:val="00016ECB"/>
    <w:rsid w:val="000269F6"/>
    <w:rsid w:val="00031939"/>
    <w:rsid w:val="00032D25"/>
    <w:rsid w:val="00040835"/>
    <w:rsid w:val="0005219D"/>
    <w:rsid w:val="0005568F"/>
    <w:rsid w:val="0006153D"/>
    <w:rsid w:val="00061B1F"/>
    <w:rsid w:val="000664DB"/>
    <w:rsid w:val="0007127D"/>
    <w:rsid w:val="000717FE"/>
    <w:rsid w:val="00071AE5"/>
    <w:rsid w:val="00074783"/>
    <w:rsid w:val="000758F3"/>
    <w:rsid w:val="000801E0"/>
    <w:rsid w:val="00082A29"/>
    <w:rsid w:val="0008331D"/>
    <w:rsid w:val="00083C18"/>
    <w:rsid w:val="00092899"/>
    <w:rsid w:val="000A178E"/>
    <w:rsid w:val="000A557E"/>
    <w:rsid w:val="000B058F"/>
    <w:rsid w:val="000B693F"/>
    <w:rsid w:val="000C09AC"/>
    <w:rsid w:val="000C0A63"/>
    <w:rsid w:val="000C437E"/>
    <w:rsid w:val="000C49A3"/>
    <w:rsid w:val="000E3F5A"/>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870DB"/>
    <w:rsid w:val="0019146B"/>
    <w:rsid w:val="00194398"/>
    <w:rsid w:val="001A7D2A"/>
    <w:rsid w:val="001B574C"/>
    <w:rsid w:val="001C0AF9"/>
    <w:rsid w:val="001C155A"/>
    <w:rsid w:val="001C48C0"/>
    <w:rsid w:val="001D6726"/>
    <w:rsid w:val="001D7B7E"/>
    <w:rsid w:val="001F3347"/>
    <w:rsid w:val="001F4440"/>
    <w:rsid w:val="001F69E4"/>
    <w:rsid w:val="00206A65"/>
    <w:rsid w:val="00212D31"/>
    <w:rsid w:val="002130C7"/>
    <w:rsid w:val="002218A8"/>
    <w:rsid w:val="0022306D"/>
    <w:rsid w:val="00226574"/>
    <w:rsid w:val="002278EC"/>
    <w:rsid w:val="002357C7"/>
    <w:rsid w:val="002367C4"/>
    <w:rsid w:val="0025679E"/>
    <w:rsid w:val="0025761E"/>
    <w:rsid w:val="00260C68"/>
    <w:rsid w:val="002648B0"/>
    <w:rsid w:val="00275271"/>
    <w:rsid w:val="0027535E"/>
    <w:rsid w:val="00275AA6"/>
    <w:rsid w:val="00280737"/>
    <w:rsid w:val="002807D5"/>
    <w:rsid w:val="00282CCD"/>
    <w:rsid w:val="002A168C"/>
    <w:rsid w:val="002A2C48"/>
    <w:rsid w:val="002A3EED"/>
    <w:rsid w:val="002A4A39"/>
    <w:rsid w:val="002A5A17"/>
    <w:rsid w:val="002A6425"/>
    <w:rsid w:val="002A75BC"/>
    <w:rsid w:val="002B49E2"/>
    <w:rsid w:val="002B7B00"/>
    <w:rsid w:val="002B7C44"/>
    <w:rsid w:val="002C1388"/>
    <w:rsid w:val="002C14B8"/>
    <w:rsid w:val="002C3C6A"/>
    <w:rsid w:val="002D42DB"/>
    <w:rsid w:val="002E1F3A"/>
    <w:rsid w:val="002E298A"/>
    <w:rsid w:val="002F02A4"/>
    <w:rsid w:val="002F272B"/>
    <w:rsid w:val="002F7C6D"/>
    <w:rsid w:val="003027E4"/>
    <w:rsid w:val="0030332C"/>
    <w:rsid w:val="00312014"/>
    <w:rsid w:val="00312296"/>
    <w:rsid w:val="0031340E"/>
    <w:rsid w:val="00316464"/>
    <w:rsid w:val="0032073A"/>
    <w:rsid w:val="00321D8E"/>
    <w:rsid w:val="00334996"/>
    <w:rsid w:val="00336969"/>
    <w:rsid w:val="00336C52"/>
    <w:rsid w:val="00336CD3"/>
    <w:rsid w:val="00341B3E"/>
    <w:rsid w:val="00341B42"/>
    <w:rsid w:val="00345154"/>
    <w:rsid w:val="0034560E"/>
    <w:rsid w:val="00350523"/>
    <w:rsid w:val="00352975"/>
    <w:rsid w:val="00356868"/>
    <w:rsid w:val="0036485B"/>
    <w:rsid w:val="00371A72"/>
    <w:rsid w:val="00373B0D"/>
    <w:rsid w:val="00376988"/>
    <w:rsid w:val="00381A72"/>
    <w:rsid w:val="0039541D"/>
    <w:rsid w:val="003A1948"/>
    <w:rsid w:val="003B152A"/>
    <w:rsid w:val="003B545B"/>
    <w:rsid w:val="003D102E"/>
    <w:rsid w:val="003D3EE9"/>
    <w:rsid w:val="003E7681"/>
    <w:rsid w:val="003F0809"/>
    <w:rsid w:val="003F611C"/>
    <w:rsid w:val="003F755C"/>
    <w:rsid w:val="00406F01"/>
    <w:rsid w:val="00411B36"/>
    <w:rsid w:val="004121D7"/>
    <w:rsid w:val="00414708"/>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96244"/>
    <w:rsid w:val="004A0EB4"/>
    <w:rsid w:val="004A3823"/>
    <w:rsid w:val="004A59BB"/>
    <w:rsid w:val="004B43A3"/>
    <w:rsid w:val="004B4C49"/>
    <w:rsid w:val="004B58A5"/>
    <w:rsid w:val="004B63D9"/>
    <w:rsid w:val="004B73C3"/>
    <w:rsid w:val="004C0882"/>
    <w:rsid w:val="004C3F6E"/>
    <w:rsid w:val="004C4699"/>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84C86"/>
    <w:rsid w:val="00590AE3"/>
    <w:rsid w:val="005918F1"/>
    <w:rsid w:val="005A06B7"/>
    <w:rsid w:val="005A1759"/>
    <w:rsid w:val="005B3B4F"/>
    <w:rsid w:val="005D0369"/>
    <w:rsid w:val="005D53FE"/>
    <w:rsid w:val="005D7A0F"/>
    <w:rsid w:val="005E0438"/>
    <w:rsid w:val="005E124C"/>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0D55"/>
    <w:rsid w:val="0064250D"/>
    <w:rsid w:val="006535EB"/>
    <w:rsid w:val="0066156E"/>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3CAF"/>
    <w:rsid w:val="006E06AF"/>
    <w:rsid w:val="006F1789"/>
    <w:rsid w:val="00706C5D"/>
    <w:rsid w:val="007118E6"/>
    <w:rsid w:val="007225C9"/>
    <w:rsid w:val="00735CD7"/>
    <w:rsid w:val="00746919"/>
    <w:rsid w:val="00754034"/>
    <w:rsid w:val="00754BF1"/>
    <w:rsid w:val="00755A30"/>
    <w:rsid w:val="00755E1C"/>
    <w:rsid w:val="00756556"/>
    <w:rsid w:val="0076132B"/>
    <w:rsid w:val="007623AE"/>
    <w:rsid w:val="00770B19"/>
    <w:rsid w:val="00774FA0"/>
    <w:rsid w:val="00776620"/>
    <w:rsid w:val="00777B6D"/>
    <w:rsid w:val="00782E18"/>
    <w:rsid w:val="00784855"/>
    <w:rsid w:val="00784F39"/>
    <w:rsid w:val="0078545C"/>
    <w:rsid w:val="007858E8"/>
    <w:rsid w:val="007906C4"/>
    <w:rsid w:val="007940EA"/>
    <w:rsid w:val="007967E8"/>
    <w:rsid w:val="007A63F2"/>
    <w:rsid w:val="007B68DE"/>
    <w:rsid w:val="007C1857"/>
    <w:rsid w:val="007C514F"/>
    <w:rsid w:val="007D0F95"/>
    <w:rsid w:val="007D388C"/>
    <w:rsid w:val="007D7ECB"/>
    <w:rsid w:val="007E25A1"/>
    <w:rsid w:val="007E4BD2"/>
    <w:rsid w:val="007E7145"/>
    <w:rsid w:val="007F3916"/>
    <w:rsid w:val="00801179"/>
    <w:rsid w:val="00802479"/>
    <w:rsid w:val="00805372"/>
    <w:rsid w:val="00805B7B"/>
    <w:rsid w:val="008064E1"/>
    <w:rsid w:val="008124AE"/>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3C50"/>
    <w:rsid w:val="00894285"/>
    <w:rsid w:val="00894386"/>
    <w:rsid w:val="008A1921"/>
    <w:rsid w:val="008A40AE"/>
    <w:rsid w:val="008A4E19"/>
    <w:rsid w:val="008A67C5"/>
    <w:rsid w:val="008B22E1"/>
    <w:rsid w:val="008B3C78"/>
    <w:rsid w:val="008B4AE9"/>
    <w:rsid w:val="008C30AD"/>
    <w:rsid w:val="008D068E"/>
    <w:rsid w:val="008D0F7A"/>
    <w:rsid w:val="008D3490"/>
    <w:rsid w:val="008D63BE"/>
    <w:rsid w:val="008E0CFF"/>
    <w:rsid w:val="008E5D6B"/>
    <w:rsid w:val="008E689B"/>
    <w:rsid w:val="008E76F0"/>
    <w:rsid w:val="008E7C2A"/>
    <w:rsid w:val="008F15FE"/>
    <w:rsid w:val="008F2A94"/>
    <w:rsid w:val="008F5187"/>
    <w:rsid w:val="008F709C"/>
    <w:rsid w:val="0090312B"/>
    <w:rsid w:val="00904961"/>
    <w:rsid w:val="00912EF7"/>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5C23"/>
    <w:rsid w:val="009D0852"/>
    <w:rsid w:val="009D1FBF"/>
    <w:rsid w:val="009D3200"/>
    <w:rsid w:val="009D5F01"/>
    <w:rsid w:val="009E399C"/>
    <w:rsid w:val="009E43C1"/>
    <w:rsid w:val="009E63A7"/>
    <w:rsid w:val="009E7E95"/>
    <w:rsid w:val="009F116F"/>
    <w:rsid w:val="009F329E"/>
    <w:rsid w:val="009F7ED3"/>
    <w:rsid w:val="00A02645"/>
    <w:rsid w:val="00A03607"/>
    <w:rsid w:val="00A047FF"/>
    <w:rsid w:val="00A04FEF"/>
    <w:rsid w:val="00A122CD"/>
    <w:rsid w:val="00A12A32"/>
    <w:rsid w:val="00A14248"/>
    <w:rsid w:val="00A14947"/>
    <w:rsid w:val="00A23DC5"/>
    <w:rsid w:val="00A333FD"/>
    <w:rsid w:val="00A34028"/>
    <w:rsid w:val="00A35568"/>
    <w:rsid w:val="00A36646"/>
    <w:rsid w:val="00A37056"/>
    <w:rsid w:val="00A4358F"/>
    <w:rsid w:val="00A46F67"/>
    <w:rsid w:val="00A4795E"/>
    <w:rsid w:val="00A54AA1"/>
    <w:rsid w:val="00A568FF"/>
    <w:rsid w:val="00A61496"/>
    <w:rsid w:val="00A61833"/>
    <w:rsid w:val="00A624C6"/>
    <w:rsid w:val="00A63CEC"/>
    <w:rsid w:val="00A7031E"/>
    <w:rsid w:val="00A728B1"/>
    <w:rsid w:val="00A763DE"/>
    <w:rsid w:val="00A803D6"/>
    <w:rsid w:val="00A81282"/>
    <w:rsid w:val="00A8713F"/>
    <w:rsid w:val="00A91146"/>
    <w:rsid w:val="00A91167"/>
    <w:rsid w:val="00A9171C"/>
    <w:rsid w:val="00A92FFD"/>
    <w:rsid w:val="00A95975"/>
    <w:rsid w:val="00A9708D"/>
    <w:rsid w:val="00AA2C17"/>
    <w:rsid w:val="00AA4172"/>
    <w:rsid w:val="00AB1914"/>
    <w:rsid w:val="00AB5330"/>
    <w:rsid w:val="00AB58E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2B81"/>
    <w:rsid w:val="00B46BAA"/>
    <w:rsid w:val="00B50B5F"/>
    <w:rsid w:val="00B52A0F"/>
    <w:rsid w:val="00B54128"/>
    <w:rsid w:val="00B543BF"/>
    <w:rsid w:val="00B55826"/>
    <w:rsid w:val="00B60426"/>
    <w:rsid w:val="00B622DD"/>
    <w:rsid w:val="00B63522"/>
    <w:rsid w:val="00B63F0D"/>
    <w:rsid w:val="00B73B67"/>
    <w:rsid w:val="00B76F1D"/>
    <w:rsid w:val="00B92A19"/>
    <w:rsid w:val="00B937BA"/>
    <w:rsid w:val="00B9544C"/>
    <w:rsid w:val="00BA29E9"/>
    <w:rsid w:val="00BB3618"/>
    <w:rsid w:val="00BC0C9E"/>
    <w:rsid w:val="00BC32DC"/>
    <w:rsid w:val="00BD0F41"/>
    <w:rsid w:val="00BD1B51"/>
    <w:rsid w:val="00BD47F6"/>
    <w:rsid w:val="00BE312D"/>
    <w:rsid w:val="00BE3FCA"/>
    <w:rsid w:val="00BF0FFD"/>
    <w:rsid w:val="00C05719"/>
    <w:rsid w:val="00C07B9F"/>
    <w:rsid w:val="00C10578"/>
    <w:rsid w:val="00C17D62"/>
    <w:rsid w:val="00C21FDC"/>
    <w:rsid w:val="00C24EE7"/>
    <w:rsid w:val="00C2596A"/>
    <w:rsid w:val="00C271BE"/>
    <w:rsid w:val="00C27425"/>
    <w:rsid w:val="00C3144C"/>
    <w:rsid w:val="00C328FE"/>
    <w:rsid w:val="00C33A05"/>
    <w:rsid w:val="00C42500"/>
    <w:rsid w:val="00C4409D"/>
    <w:rsid w:val="00C455BE"/>
    <w:rsid w:val="00C470B8"/>
    <w:rsid w:val="00C51E5F"/>
    <w:rsid w:val="00C53C41"/>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28B6"/>
    <w:rsid w:val="00D15727"/>
    <w:rsid w:val="00D16332"/>
    <w:rsid w:val="00D24972"/>
    <w:rsid w:val="00D2515E"/>
    <w:rsid w:val="00D308ED"/>
    <w:rsid w:val="00D37059"/>
    <w:rsid w:val="00D42B8B"/>
    <w:rsid w:val="00D56178"/>
    <w:rsid w:val="00D56CF0"/>
    <w:rsid w:val="00D56F5C"/>
    <w:rsid w:val="00D704B1"/>
    <w:rsid w:val="00D70B63"/>
    <w:rsid w:val="00D72B92"/>
    <w:rsid w:val="00D72ED4"/>
    <w:rsid w:val="00D73F61"/>
    <w:rsid w:val="00D74842"/>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046"/>
    <w:rsid w:val="00E275B0"/>
    <w:rsid w:val="00E412D0"/>
    <w:rsid w:val="00E47CDB"/>
    <w:rsid w:val="00E566BC"/>
    <w:rsid w:val="00E60982"/>
    <w:rsid w:val="00E60C8D"/>
    <w:rsid w:val="00E6162F"/>
    <w:rsid w:val="00E6311B"/>
    <w:rsid w:val="00E65D97"/>
    <w:rsid w:val="00E6666B"/>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E30FF"/>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661F"/>
    <w:rsid w:val="00F57E5B"/>
    <w:rsid w:val="00F61097"/>
    <w:rsid w:val="00F74345"/>
    <w:rsid w:val="00F74441"/>
    <w:rsid w:val="00F76363"/>
    <w:rsid w:val="00F77F30"/>
    <w:rsid w:val="00F82589"/>
    <w:rsid w:val="00F82B19"/>
    <w:rsid w:val="00F90AA7"/>
    <w:rsid w:val="00F9212D"/>
    <w:rsid w:val="00F97133"/>
    <w:rsid w:val="00FA301A"/>
    <w:rsid w:val="00FA406A"/>
    <w:rsid w:val="00FA5CB6"/>
    <w:rsid w:val="00FB4038"/>
    <w:rsid w:val="00FC66AC"/>
    <w:rsid w:val="00FD18F4"/>
    <w:rsid w:val="00FD74B4"/>
    <w:rsid w:val="00FE79C1"/>
    <w:rsid w:val="00FF6FCE"/>
    <w:rsid w:val="00FF7518"/>
    <w:rsid w:val="00FF7FD8"/>
    <w:rsid w:val="014A271C"/>
    <w:rsid w:val="015B4B8A"/>
    <w:rsid w:val="01964551"/>
    <w:rsid w:val="01DD4DEC"/>
    <w:rsid w:val="02056800"/>
    <w:rsid w:val="02134C06"/>
    <w:rsid w:val="024F2D39"/>
    <w:rsid w:val="0252325B"/>
    <w:rsid w:val="0279565B"/>
    <w:rsid w:val="028C6E9D"/>
    <w:rsid w:val="02A534AA"/>
    <w:rsid w:val="02B22E1D"/>
    <w:rsid w:val="02E766C5"/>
    <w:rsid w:val="04336B0A"/>
    <w:rsid w:val="044B0E2F"/>
    <w:rsid w:val="048A306B"/>
    <w:rsid w:val="04B46CEB"/>
    <w:rsid w:val="04DA4936"/>
    <w:rsid w:val="051E602F"/>
    <w:rsid w:val="055801EF"/>
    <w:rsid w:val="05742AC8"/>
    <w:rsid w:val="057A6171"/>
    <w:rsid w:val="05925013"/>
    <w:rsid w:val="05CF13B8"/>
    <w:rsid w:val="05D45163"/>
    <w:rsid w:val="05D559C0"/>
    <w:rsid w:val="061A1DC9"/>
    <w:rsid w:val="06352F05"/>
    <w:rsid w:val="063E7D85"/>
    <w:rsid w:val="067F19F2"/>
    <w:rsid w:val="06864813"/>
    <w:rsid w:val="0687002C"/>
    <w:rsid w:val="06A12F4B"/>
    <w:rsid w:val="06DD01DF"/>
    <w:rsid w:val="070861A2"/>
    <w:rsid w:val="070875E0"/>
    <w:rsid w:val="07293586"/>
    <w:rsid w:val="07295285"/>
    <w:rsid w:val="074237C2"/>
    <w:rsid w:val="074E705D"/>
    <w:rsid w:val="07770C56"/>
    <w:rsid w:val="07F16472"/>
    <w:rsid w:val="08114688"/>
    <w:rsid w:val="082367FA"/>
    <w:rsid w:val="089F3763"/>
    <w:rsid w:val="08F00765"/>
    <w:rsid w:val="09011C7D"/>
    <w:rsid w:val="09070291"/>
    <w:rsid w:val="092217DD"/>
    <w:rsid w:val="093A7294"/>
    <w:rsid w:val="095C7FCE"/>
    <w:rsid w:val="09AF5A34"/>
    <w:rsid w:val="0A816998"/>
    <w:rsid w:val="0AC06D79"/>
    <w:rsid w:val="0AD95025"/>
    <w:rsid w:val="0B183664"/>
    <w:rsid w:val="0B275D03"/>
    <w:rsid w:val="0B332AA4"/>
    <w:rsid w:val="0BD27BF6"/>
    <w:rsid w:val="0C057D82"/>
    <w:rsid w:val="0C3E7B36"/>
    <w:rsid w:val="0CE64CD5"/>
    <w:rsid w:val="0CE8419D"/>
    <w:rsid w:val="0D2E38C2"/>
    <w:rsid w:val="0D730DD6"/>
    <w:rsid w:val="0D89043E"/>
    <w:rsid w:val="0D8D2FCD"/>
    <w:rsid w:val="0DEF598B"/>
    <w:rsid w:val="0E110D06"/>
    <w:rsid w:val="0E355698"/>
    <w:rsid w:val="0EA93331"/>
    <w:rsid w:val="0F13775A"/>
    <w:rsid w:val="0F1A75A3"/>
    <w:rsid w:val="0F3E5808"/>
    <w:rsid w:val="0F8269A8"/>
    <w:rsid w:val="0F8D19D0"/>
    <w:rsid w:val="0F92372B"/>
    <w:rsid w:val="0F9A112B"/>
    <w:rsid w:val="0FB86AD3"/>
    <w:rsid w:val="100B12A8"/>
    <w:rsid w:val="100D7522"/>
    <w:rsid w:val="101B5592"/>
    <w:rsid w:val="101C1C87"/>
    <w:rsid w:val="106D2F64"/>
    <w:rsid w:val="10AE55E8"/>
    <w:rsid w:val="10B63710"/>
    <w:rsid w:val="111C2F7A"/>
    <w:rsid w:val="111D5EF0"/>
    <w:rsid w:val="113013DE"/>
    <w:rsid w:val="11A50DA2"/>
    <w:rsid w:val="120C22A3"/>
    <w:rsid w:val="122B06C2"/>
    <w:rsid w:val="12511E83"/>
    <w:rsid w:val="12671A59"/>
    <w:rsid w:val="131C67E4"/>
    <w:rsid w:val="132A1E6A"/>
    <w:rsid w:val="13951726"/>
    <w:rsid w:val="14396509"/>
    <w:rsid w:val="1445506A"/>
    <w:rsid w:val="1447165C"/>
    <w:rsid w:val="148A60F7"/>
    <w:rsid w:val="14B9411C"/>
    <w:rsid w:val="14F77DEA"/>
    <w:rsid w:val="14FD63B5"/>
    <w:rsid w:val="15020F29"/>
    <w:rsid w:val="15404589"/>
    <w:rsid w:val="154F3947"/>
    <w:rsid w:val="157B2F1A"/>
    <w:rsid w:val="15800E39"/>
    <w:rsid w:val="15C66B95"/>
    <w:rsid w:val="15DC688B"/>
    <w:rsid w:val="16075080"/>
    <w:rsid w:val="1621693F"/>
    <w:rsid w:val="165121DE"/>
    <w:rsid w:val="165E2443"/>
    <w:rsid w:val="16640E72"/>
    <w:rsid w:val="16D54EC5"/>
    <w:rsid w:val="17073E53"/>
    <w:rsid w:val="17174F91"/>
    <w:rsid w:val="175945CC"/>
    <w:rsid w:val="17735226"/>
    <w:rsid w:val="1792671A"/>
    <w:rsid w:val="17E521D5"/>
    <w:rsid w:val="18913F7D"/>
    <w:rsid w:val="18AD2C55"/>
    <w:rsid w:val="18FE7ECF"/>
    <w:rsid w:val="19333399"/>
    <w:rsid w:val="19726C5F"/>
    <w:rsid w:val="1A1C66C0"/>
    <w:rsid w:val="1A42393B"/>
    <w:rsid w:val="1A434D96"/>
    <w:rsid w:val="1ABD42C8"/>
    <w:rsid w:val="1B046F80"/>
    <w:rsid w:val="1B2B1EFC"/>
    <w:rsid w:val="1B2D30F7"/>
    <w:rsid w:val="1B3267B5"/>
    <w:rsid w:val="1B4B4158"/>
    <w:rsid w:val="1B715A1C"/>
    <w:rsid w:val="1BAA43D2"/>
    <w:rsid w:val="1BC25DC8"/>
    <w:rsid w:val="1C2C51A2"/>
    <w:rsid w:val="1C5E7925"/>
    <w:rsid w:val="1C887FC8"/>
    <w:rsid w:val="1CA43BF8"/>
    <w:rsid w:val="1CAB68C2"/>
    <w:rsid w:val="1CC25491"/>
    <w:rsid w:val="1CDB4357"/>
    <w:rsid w:val="1CE142A5"/>
    <w:rsid w:val="1D00229E"/>
    <w:rsid w:val="1D5F6196"/>
    <w:rsid w:val="1D6132A5"/>
    <w:rsid w:val="1D7E3C2C"/>
    <w:rsid w:val="1D8E56D5"/>
    <w:rsid w:val="1D93419F"/>
    <w:rsid w:val="1D9C7812"/>
    <w:rsid w:val="1DA84D61"/>
    <w:rsid w:val="1DD33F18"/>
    <w:rsid w:val="1DDE6490"/>
    <w:rsid w:val="1DF77330"/>
    <w:rsid w:val="1E4703EB"/>
    <w:rsid w:val="1E596E19"/>
    <w:rsid w:val="1E7A43DA"/>
    <w:rsid w:val="1E7F0F7F"/>
    <w:rsid w:val="1EB277FE"/>
    <w:rsid w:val="1EC44443"/>
    <w:rsid w:val="1EC91133"/>
    <w:rsid w:val="1ECC3248"/>
    <w:rsid w:val="1EE021E6"/>
    <w:rsid w:val="1F1349D0"/>
    <w:rsid w:val="1F153F04"/>
    <w:rsid w:val="1F291AB2"/>
    <w:rsid w:val="1F345854"/>
    <w:rsid w:val="1F8217B4"/>
    <w:rsid w:val="1FDB3A52"/>
    <w:rsid w:val="1FDB58F3"/>
    <w:rsid w:val="1FE7539E"/>
    <w:rsid w:val="20483A8C"/>
    <w:rsid w:val="204F3126"/>
    <w:rsid w:val="20963CB8"/>
    <w:rsid w:val="20B07FB6"/>
    <w:rsid w:val="20CC054D"/>
    <w:rsid w:val="20EC2987"/>
    <w:rsid w:val="20FF46C9"/>
    <w:rsid w:val="213B74B1"/>
    <w:rsid w:val="21536418"/>
    <w:rsid w:val="215A2310"/>
    <w:rsid w:val="21B013FB"/>
    <w:rsid w:val="21B80FB6"/>
    <w:rsid w:val="21DE2ADE"/>
    <w:rsid w:val="21DE318A"/>
    <w:rsid w:val="21EF5B80"/>
    <w:rsid w:val="22576990"/>
    <w:rsid w:val="225C0083"/>
    <w:rsid w:val="229C4EAB"/>
    <w:rsid w:val="22BE6676"/>
    <w:rsid w:val="22C568B7"/>
    <w:rsid w:val="2337656F"/>
    <w:rsid w:val="23926B99"/>
    <w:rsid w:val="23A53D51"/>
    <w:rsid w:val="23BC2F2B"/>
    <w:rsid w:val="241A012C"/>
    <w:rsid w:val="24221A4D"/>
    <w:rsid w:val="243459E2"/>
    <w:rsid w:val="24A214D4"/>
    <w:rsid w:val="24B043D3"/>
    <w:rsid w:val="25290FD5"/>
    <w:rsid w:val="252D2EAC"/>
    <w:rsid w:val="252D53FE"/>
    <w:rsid w:val="253B7F66"/>
    <w:rsid w:val="256E1261"/>
    <w:rsid w:val="257035A7"/>
    <w:rsid w:val="25830A22"/>
    <w:rsid w:val="25D120C2"/>
    <w:rsid w:val="25EA5214"/>
    <w:rsid w:val="25EC2D81"/>
    <w:rsid w:val="25F56D12"/>
    <w:rsid w:val="25FD07EA"/>
    <w:rsid w:val="26416F70"/>
    <w:rsid w:val="26440A02"/>
    <w:rsid w:val="264528BD"/>
    <w:rsid w:val="26A420F1"/>
    <w:rsid w:val="26C13DCC"/>
    <w:rsid w:val="27170CAE"/>
    <w:rsid w:val="27621F0F"/>
    <w:rsid w:val="27A169A4"/>
    <w:rsid w:val="27AE564B"/>
    <w:rsid w:val="27D15DD1"/>
    <w:rsid w:val="27F55758"/>
    <w:rsid w:val="28146683"/>
    <w:rsid w:val="28663425"/>
    <w:rsid w:val="28A76295"/>
    <w:rsid w:val="28E054D5"/>
    <w:rsid w:val="29206EB8"/>
    <w:rsid w:val="29370320"/>
    <w:rsid w:val="294E159B"/>
    <w:rsid w:val="296F23CA"/>
    <w:rsid w:val="29871D9E"/>
    <w:rsid w:val="29BA6A52"/>
    <w:rsid w:val="29D92699"/>
    <w:rsid w:val="29E325E0"/>
    <w:rsid w:val="2A0A6E8D"/>
    <w:rsid w:val="2A4118E1"/>
    <w:rsid w:val="2A452503"/>
    <w:rsid w:val="2AB27589"/>
    <w:rsid w:val="2AB47253"/>
    <w:rsid w:val="2AD20970"/>
    <w:rsid w:val="2B9E0E08"/>
    <w:rsid w:val="2BA936A8"/>
    <w:rsid w:val="2BAD51F4"/>
    <w:rsid w:val="2C315A5A"/>
    <w:rsid w:val="2C892825"/>
    <w:rsid w:val="2C9038AC"/>
    <w:rsid w:val="2C9254B0"/>
    <w:rsid w:val="2CFA7656"/>
    <w:rsid w:val="2CFE58DB"/>
    <w:rsid w:val="2D074B11"/>
    <w:rsid w:val="2D142FA6"/>
    <w:rsid w:val="2D1F071D"/>
    <w:rsid w:val="2D366858"/>
    <w:rsid w:val="2D524879"/>
    <w:rsid w:val="2D89332C"/>
    <w:rsid w:val="2D9E56F5"/>
    <w:rsid w:val="2DE10C5E"/>
    <w:rsid w:val="2E045252"/>
    <w:rsid w:val="2E0949B3"/>
    <w:rsid w:val="2E361327"/>
    <w:rsid w:val="2E5B1DFC"/>
    <w:rsid w:val="2E667F96"/>
    <w:rsid w:val="2E8226AB"/>
    <w:rsid w:val="2E9F24AA"/>
    <w:rsid w:val="2EA128FD"/>
    <w:rsid w:val="2F7A4E49"/>
    <w:rsid w:val="2F832C79"/>
    <w:rsid w:val="2F8B4C8B"/>
    <w:rsid w:val="2FEF2D58"/>
    <w:rsid w:val="300A6ACB"/>
    <w:rsid w:val="301119F0"/>
    <w:rsid w:val="30527723"/>
    <w:rsid w:val="30580BC9"/>
    <w:rsid w:val="307D537B"/>
    <w:rsid w:val="30BD4E90"/>
    <w:rsid w:val="30EB6FCB"/>
    <w:rsid w:val="30FA36D3"/>
    <w:rsid w:val="311E2ED7"/>
    <w:rsid w:val="31232239"/>
    <w:rsid w:val="315C449C"/>
    <w:rsid w:val="3192727E"/>
    <w:rsid w:val="31A31BE1"/>
    <w:rsid w:val="31B82709"/>
    <w:rsid w:val="31E149B4"/>
    <w:rsid w:val="31EB4512"/>
    <w:rsid w:val="32400B34"/>
    <w:rsid w:val="325F5CE9"/>
    <w:rsid w:val="329E6876"/>
    <w:rsid w:val="331810BC"/>
    <w:rsid w:val="33712C48"/>
    <w:rsid w:val="337E068B"/>
    <w:rsid w:val="339C1369"/>
    <w:rsid w:val="33B66555"/>
    <w:rsid w:val="33D16BC5"/>
    <w:rsid w:val="33D934D4"/>
    <w:rsid w:val="33FE2F6A"/>
    <w:rsid w:val="34023C75"/>
    <w:rsid w:val="3469628E"/>
    <w:rsid w:val="34AC4FDD"/>
    <w:rsid w:val="34C268C9"/>
    <w:rsid w:val="34D75CB0"/>
    <w:rsid w:val="350D37A1"/>
    <w:rsid w:val="3513568A"/>
    <w:rsid w:val="35224758"/>
    <w:rsid w:val="352326FB"/>
    <w:rsid w:val="359237D9"/>
    <w:rsid w:val="35BD558D"/>
    <w:rsid w:val="35C25872"/>
    <w:rsid w:val="35CB7351"/>
    <w:rsid w:val="35D73574"/>
    <w:rsid w:val="36070A52"/>
    <w:rsid w:val="36074A7F"/>
    <w:rsid w:val="36923549"/>
    <w:rsid w:val="36AB6446"/>
    <w:rsid w:val="36AE2C36"/>
    <w:rsid w:val="36B75FBF"/>
    <w:rsid w:val="36B764B3"/>
    <w:rsid w:val="36DF0AC7"/>
    <w:rsid w:val="36FB4891"/>
    <w:rsid w:val="36FE1E75"/>
    <w:rsid w:val="37286788"/>
    <w:rsid w:val="3739716F"/>
    <w:rsid w:val="373E335A"/>
    <w:rsid w:val="389561D0"/>
    <w:rsid w:val="38B57EED"/>
    <w:rsid w:val="38DD0274"/>
    <w:rsid w:val="38EF576D"/>
    <w:rsid w:val="38F12CD3"/>
    <w:rsid w:val="38F94775"/>
    <w:rsid w:val="392971ED"/>
    <w:rsid w:val="3AA86C83"/>
    <w:rsid w:val="3AAF3301"/>
    <w:rsid w:val="3AB91C3C"/>
    <w:rsid w:val="3AE137F3"/>
    <w:rsid w:val="3B121DF1"/>
    <w:rsid w:val="3B3763D1"/>
    <w:rsid w:val="3B380AA5"/>
    <w:rsid w:val="3B3B5C40"/>
    <w:rsid w:val="3B507D70"/>
    <w:rsid w:val="3B531550"/>
    <w:rsid w:val="3B5370CF"/>
    <w:rsid w:val="3B691F16"/>
    <w:rsid w:val="3B86067D"/>
    <w:rsid w:val="3B9830F4"/>
    <w:rsid w:val="3C312C5A"/>
    <w:rsid w:val="3C956734"/>
    <w:rsid w:val="3CB55043"/>
    <w:rsid w:val="3CDA245A"/>
    <w:rsid w:val="3CEE0A37"/>
    <w:rsid w:val="3CF21C76"/>
    <w:rsid w:val="3CF8098B"/>
    <w:rsid w:val="3D3A07A0"/>
    <w:rsid w:val="3D7F4F41"/>
    <w:rsid w:val="3D8A10A6"/>
    <w:rsid w:val="3E234FE8"/>
    <w:rsid w:val="3E6F4006"/>
    <w:rsid w:val="3F660E74"/>
    <w:rsid w:val="3F8E4BED"/>
    <w:rsid w:val="3FA44796"/>
    <w:rsid w:val="3FE72EB0"/>
    <w:rsid w:val="40103AC8"/>
    <w:rsid w:val="403D1414"/>
    <w:rsid w:val="407A6407"/>
    <w:rsid w:val="40A04C05"/>
    <w:rsid w:val="40BC503C"/>
    <w:rsid w:val="40DB5DBE"/>
    <w:rsid w:val="40E925BE"/>
    <w:rsid w:val="41244463"/>
    <w:rsid w:val="41712A26"/>
    <w:rsid w:val="41A75088"/>
    <w:rsid w:val="42074F70"/>
    <w:rsid w:val="423A3BCC"/>
    <w:rsid w:val="4254246F"/>
    <w:rsid w:val="42586CC9"/>
    <w:rsid w:val="42682C1A"/>
    <w:rsid w:val="428924E6"/>
    <w:rsid w:val="428B0673"/>
    <w:rsid w:val="42EA26D7"/>
    <w:rsid w:val="42FF78D5"/>
    <w:rsid w:val="433706BC"/>
    <w:rsid w:val="433A6FE6"/>
    <w:rsid w:val="4350713C"/>
    <w:rsid w:val="435D361A"/>
    <w:rsid w:val="436653E0"/>
    <w:rsid w:val="440D40D5"/>
    <w:rsid w:val="4460765A"/>
    <w:rsid w:val="447913F5"/>
    <w:rsid w:val="44CD14E0"/>
    <w:rsid w:val="44CF21A0"/>
    <w:rsid w:val="457F28E4"/>
    <w:rsid w:val="458946E9"/>
    <w:rsid w:val="45A66202"/>
    <w:rsid w:val="45B11EE5"/>
    <w:rsid w:val="45E31757"/>
    <w:rsid w:val="45F607FE"/>
    <w:rsid w:val="46A231BA"/>
    <w:rsid w:val="46D955A7"/>
    <w:rsid w:val="46F654C8"/>
    <w:rsid w:val="46F75587"/>
    <w:rsid w:val="47133957"/>
    <w:rsid w:val="474F7526"/>
    <w:rsid w:val="4779329E"/>
    <w:rsid w:val="47A07E0C"/>
    <w:rsid w:val="48161124"/>
    <w:rsid w:val="4870272E"/>
    <w:rsid w:val="48AE56D3"/>
    <w:rsid w:val="48C714C9"/>
    <w:rsid w:val="48E3087C"/>
    <w:rsid w:val="48FA73DA"/>
    <w:rsid w:val="497F41A4"/>
    <w:rsid w:val="49DC7715"/>
    <w:rsid w:val="4A023139"/>
    <w:rsid w:val="4A2D5DDB"/>
    <w:rsid w:val="4A47698C"/>
    <w:rsid w:val="4A694EE0"/>
    <w:rsid w:val="4A7B576F"/>
    <w:rsid w:val="4B090E10"/>
    <w:rsid w:val="4B1965EC"/>
    <w:rsid w:val="4B637932"/>
    <w:rsid w:val="4B7B1AB0"/>
    <w:rsid w:val="4B805F36"/>
    <w:rsid w:val="4C1234F5"/>
    <w:rsid w:val="4C260310"/>
    <w:rsid w:val="4C4379B9"/>
    <w:rsid w:val="4C4A0649"/>
    <w:rsid w:val="4C56609F"/>
    <w:rsid w:val="4C756C31"/>
    <w:rsid w:val="4C7A693B"/>
    <w:rsid w:val="4C920FDC"/>
    <w:rsid w:val="4CCF0E5D"/>
    <w:rsid w:val="4CE470D3"/>
    <w:rsid w:val="4D155104"/>
    <w:rsid w:val="4D24673E"/>
    <w:rsid w:val="4D600B76"/>
    <w:rsid w:val="4D706AA0"/>
    <w:rsid w:val="4D955740"/>
    <w:rsid w:val="4DDB16B1"/>
    <w:rsid w:val="4DE82D3B"/>
    <w:rsid w:val="4DEC4FB0"/>
    <w:rsid w:val="4E075D8A"/>
    <w:rsid w:val="4E3E645B"/>
    <w:rsid w:val="4E6800BD"/>
    <w:rsid w:val="4EC8386B"/>
    <w:rsid w:val="4F024053"/>
    <w:rsid w:val="4F0911AA"/>
    <w:rsid w:val="4F3B5776"/>
    <w:rsid w:val="4FB97FEA"/>
    <w:rsid w:val="4FC62A8C"/>
    <w:rsid w:val="4FD22934"/>
    <w:rsid w:val="4FE20F0D"/>
    <w:rsid w:val="501C5A8D"/>
    <w:rsid w:val="503218FB"/>
    <w:rsid w:val="5037103E"/>
    <w:rsid w:val="50504C4B"/>
    <w:rsid w:val="50760209"/>
    <w:rsid w:val="509A6E95"/>
    <w:rsid w:val="509C6E7C"/>
    <w:rsid w:val="511A4016"/>
    <w:rsid w:val="51363D22"/>
    <w:rsid w:val="51434746"/>
    <w:rsid w:val="5162104E"/>
    <w:rsid w:val="52161F2B"/>
    <w:rsid w:val="52382D56"/>
    <w:rsid w:val="526263DB"/>
    <w:rsid w:val="52627A08"/>
    <w:rsid w:val="52687007"/>
    <w:rsid w:val="527C3C95"/>
    <w:rsid w:val="529A010B"/>
    <w:rsid w:val="529E55EB"/>
    <w:rsid w:val="53062C85"/>
    <w:rsid w:val="53584711"/>
    <w:rsid w:val="538A6B07"/>
    <w:rsid w:val="53972F44"/>
    <w:rsid w:val="53A039CC"/>
    <w:rsid w:val="53A1505A"/>
    <w:rsid w:val="53B1131F"/>
    <w:rsid w:val="54063E08"/>
    <w:rsid w:val="540E63C5"/>
    <w:rsid w:val="543437E8"/>
    <w:rsid w:val="54942503"/>
    <w:rsid w:val="54CB0A8F"/>
    <w:rsid w:val="54CB2022"/>
    <w:rsid w:val="5539634E"/>
    <w:rsid w:val="55401636"/>
    <w:rsid w:val="554B6139"/>
    <w:rsid w:val="556919D6"/>
    <w:rsid w:val="559B174B"/>
    <w:rsid w:val="55A75E7C"/>
    <w:rsid w:val="55CE0CF4"/>
    <w:rsid w:val="560C7F41"/>
    <w:rsid w:val="561C6B19"/>
    <w:rsid w:val="562D2817"/>
    <w:rsid w:val="568C1BA4"/>
    <w:rsid w:val="56B22A9C"/>
    <w:rsid w:val="56DF1125"/>
    <w:rsid w:val="56E76019"/>
    <w:rsid w:val="57392A49"/>
    <w:rsid w:val="573951A2"/>
    <w:rsid w:val="57740FE1"/>
    <w:rsid w:val="57B72A76"/>
    <w:rsid w:val="57C6116B"/>
    <w:rsid w:val="57FD47B5"/>
    <w:rsid w:val="590E7639"/>
    <w:rsid w:val="594B066C"/>
    <w:rsid w:val="598C76C6"/>
    <w:rsid w:val="59F04350"/>
    <w:rsid w:val="5A3C076A"/>
    <w:rsid w:val="5A3C747D"/>
    <w:rsid w:val="5A4216BF"/>
    <w:rsid w:val="5A486BE6"/>
    <w:rsid w:val="5AB346D5"/>
    <w:rsid w:val="5ABE2233"/>
    <w:rsid w:val="5B004649"/>
    <w:rsid w:val="5B1A3200"/>
    <w:rsid w:val="5B276D18"/>
    <w:rsid w:val="5B9A6493"/>
    <w:rsid w:val="5BDF5D95"/>
    <w:rsid w:val="5BE66C90"/>
    <w:rsid w:val="5C332B26"/>
    <w:rsid w:val="5C512772"/>
    <w:rsid w:val="5C8E60B2"/>
    <w:rsid w:val="5C9D7755"/>
    <w:rsid w:val="5CE03C10"/>
    <w:rsid w:val="5CE22A90"/>
    <w:rsid w:val="5D8C097A"/>
    <w:rsid w:val="5DAB661A"/>
    <w:rsid w:val="5DF87A0F"/>
    <w:rsid w:val="5E6E797B"/>
    <w:rsid w:val="5E89240F"/>
    <w:rsid w:val="5EB17CAA"/>
    <w:rsid w:val="5EEB60E6"/>
    <w:rsid w:val="5EF3152F"/>
    <w:rsid w:val="5F0F3430"/>
    <w:rsid w:val="5F1A2B43"/>
    <w:rsid w:val="5F9D4AF3"/>
    <w:rsid w:val="5FAF0F1A"/>
    <w:rsid w:val="5FB837BB"/>
    <w:rsid w:val="5FE80C15"/>
    <w:rsid w:val="5FF178B0"/>
    <w:rsid w:val="600A444F"/>
    <w:rsid w:val="60FB3C90"/>
    <w:rsid w:val="61026613"/>
    <w:rsid w:val="6126548C"/>
    <w:rsid w:val="61497D28"/>
    <w:rsid w:val="615302D8"/>
    <w:rsid w:val="61AE1836"/>
    <w:rsid w:val="61D1402C"/>
    <w:rsid w:val="61F86345"/>
    <w:rsid w:val="62161595"/>
    <w:rsid w:val="62364782"/>
    <w:rsid w:val="62E834B8"/>
    <w:rsid w:val="63143055"/>
    <w:rsid w:val="63182DD2"/>
    <w:rsid w:val="6321040B"/>
    <w:rsid w:val="633D5246"/>
    <w:rsid w:val="63651BB8"/>
    <w:rsid w:val="636B33CA"/>
    <w:rsid w:val="63841E9B"/>
    <w:rsid w:val="63AA1D87"/>
    <w:rsid w:val="63BF489D"/>
    <w:rsid w:val="63D40BE9"/>
    <w:rsid w:val="63E0211F"/>
    <w:rsid w:val="63FF37AF"/>
    <w:rsid w:val="640558DC"/>
    <w:rsid w:val="640B0BB1"/>
    <w:rsid w:val="64176213"/>
    <w:rsid w:val="64964BC1"/>
    <w:rsid w:val="64E70841"/>
    <w:rsid w:val="64F17233"/>
    <w:rsid w:val="64F2168E"/>
    <w:rsid w:val="65102634"/>
    <w:rsid w:val="65373578"/>
    <w:rsid w:val="655101BB"/>
    <w:rsid w:val="655F47BF"/>
    <w:rsid w:val="6595233D"/>
    <w:rsid w:val="65DB23C8"/>
    <w:rsid w:val="65E02B87"/>
    <w:rsid w:val="65E85474"/>
    <w:rsid w:val="66443A0C"/>
    <w:rsid w:val="66A157F2"/>
    <w:rsid w:val="66C65456"/>
    <w:rsid w:val="66EF3480"/>
    <w:rsid w:val="67040353"/>
    <w:rsid w:val="67193E9E"/>
    <w:rsid w:val="67246567"/>
    <w:rsid w:val="673F2C7A"/>
    <w:rsid w:val="6767129A"/>
    <w:rsid w:val="677E6B1C"/>
    <w:rsid w:val="678E6D4C"/>
    <w:rsid w:val="679262B1"/>
    <w:rsid w:val="679C7987"/>
    <w:rsid w:val="67A412FE"/>
    <w:rsid w:val="681F6961"/>
    <w:rsid w:val="682D6AFB"/>
    <w:rsid w:val="68453CCA"/>
    <w:rsid w:val="68517510"/>
    <w:rsid w:val="68562439"/>
    <w:rsid w:val="685C4A6A"/>
    <w:rsid w:val="68610A2F"/>
    <w:rsid w:val="68794992"/>
    <w:rsid w:val="68805514"/>
    <w:rsid w:val="689625FE"/>
    <w:rsid w:val="68B62212"/>
    <w:rsid w:val="68FF1BE9"/>
    <w:rsid w:val="691279DA"/>
    <w:rsid w:val="694E2071"/>
    <w:rsid w:val="6966491A"/>
    <w:rsid w:val="697A3B33"/>
    <w:rsid w:val="697D1983"/>
    <w:rsid w:val="699E2456"/>
    <w:rsid w:val="69CB47D7"/>
    <w:rsid w:val="6A000277"/>
    <w:rsid w:val="6A17166F"/>
    <w:rsid w:val="6A384F75"/>
    <w:rsid w:val="6A5C3C8C"/>
    <w:rsid w:val="6AED4140"/>
    <w:rsid w:val="6B322639"/>
    <w:rsid w:val="6B361299"/>
    <w:rsid w:val="6B8C03C7"/>
    <w:rsid w:val="6C165952"/>
    <w:rsid w:val="6C531B33"/>
    <w:rsid w:val="6C5F7897"/>
    <w:rsid w:val="6C636C38"/>
    <w:rsid w:val="6CAD5236"/>
    <w:rsid w:val="6CBA502B"/>
    <w:rsid w:val="6CDD6D0D"/>
    <w:rsid w:val="6CDF2D02"/>
    <w:rsid w:val="6D094E26"/>
    <w:rsid w:val="6D395938"/>
    <w:rsid w:val="6D3D4191"/>
    <w:rsid w:val="6D3D5201"/>
    <w:rsid w:val="6D551FF8"/>
    <w:rsid w:val="6DB34098"/>
    <w:rsid w:val="6DB4216C"/>
    <w:rsid w:val="6DB545B6"/>
    <w:rsid w:val="6DBF16F7"/>
    <w:rsid w:val="6E141DED"/>
    <w:rsid w:val="6E367E47"/>
    <w:rsid w:val="6E4375A0"/>
    <w:rsid w:val="6E514CED"/>
    <w:rsid w:val="6E79491A"/>
    <w:rsid w:val="6E984A82"/>
    <w:rsid w:val="6EB563D5"/>
    <w:rsid w:val="6EC4571B"/>
    <w:rsid w:val="6F225983"/>
    <w:rsid w:val="6F39114F"/>
    <w:rsid w:val="6F8A52BC"/>
    <w:rsid w:val="6FB806C3"/>
    <w:rsid w:val="6FB9078D"/>
    <w:rsid w:val="6FF17176"/>
    <w:rsid w:val="6FFC5590"/>
    <w:rsid w:val="70085EFA"/>
    <w:rsid w:val="702A3EE3"/>
    <w:rsid w:val="70301DA3"/>
    <w:rsid w:val="705907F3"/>
    <w:rsid w:val="705B649C"/>
    <w:rsid w:val="706D1DD0"/>
    <w:rsid w:val="707B50E7"/>
    <w:rsid w:val="70856B87"/>
    <w:rsid w:val="70BD0E5E"/>
    <w:rsid w:val="70D527EE"/>
    <w:rsid w:val="70E57D6B"/>
    <w:rsid w:val="70F87E6E"/>
    <w:rsid w:val="71133720"/>
    <w:rsid w:val="714F40FD"/>
    <w:rsid w:val="715B5300"/>
    <w:rsid w:val="715F4BD7"/>
    <w:rsid w:val="718B5548"/>
    <w:rsid w:val="71AC57AC"/>
    <w:rsid w:val="71D27F8A"/>
    <w:rsid w:val="71DB4001"/>
    <w:rsid w:val="71F744C6"/>
    <w:rsid w:val="71F960CF"/>
    <w:rsid w:val="720E69D8"/>
    <w:rsid w:val="72171F07"/>
    <w:rsid w:val="72306A71"/>
    <w:rsid w:val="72364D80"/>
    <w:rsid w:val="72495706"/>
    <w:rsid w:val="728503E5"/>
    <w:rsid w:val="729573CE"/>
    <w:rsid w:val="72B835F6"/>
    <w:rsid w:val="72E27B7F"/>
    <w:rsid w:val="731F5D5E"/>
    <w:rsid w:val="73525B92"/>
    <w:rsid w:val="741E793C"/>
    <w:rsid w:val="748613C2"/>
    <w:rsid w:val="74A11254"/>
    <w:rsid w:val="74B8349F"/>
    <w:rsid w:val="74D948FF"/>
    <w:rsid w:val="750F2085"/>
    <w:rsid w:val="7518300D"/>
    <w:rsid w:val="751910DC"/>
    <w:rsid w:val="75547FB2"/>
    <w:rsid w:val="757C3965"/>
    <w:rsid w:val="758D75E2"/>
    <w:rsid w:val="7595693A"/>
    <w:rsid w:val="75F3721B"/>
    <w:rsid w:val="76056FA2"/>
    <w:rsid w:val="762041F9"/>
    <w:rsid w:val="76373448"/>
    <w:rsid w:val="768D6A77"/>
    <w:rsid w:val="77762421"/>
    <w:rsid w:val="77C80A9A"/>
    <w:rsid w:val="77E5117B"/>
    <w:rsid w:val="77ED7B1F"/>
    <w:rsid w:val="780F09F4"/>
    <w:rsid w:val="783E1B79"/>
    <w:rsid w:val="789C4F47"/>
    <w:rsid w:val="78A90480"/>
    <w:rsid w:val="78E607FA"/>
    <w:rsid w:val="78F8351F"/>
    <w:rsid w:val="79292308"/>
    <w:rsid w:val="79811327"/>
    <w:rsid w:val="7A364017"/>
    <w:rsid w:val="7A77074E"/>
    <w:rsid w:val="7A8265E1"/>
    <w:rsid w:val="7A8A0CD0"/>
    <w:rsid w:val="7A9E431D"/>
    <w:rsid w:val="7ACA2AA1"/>
    <w:rsid w:val="7AEC406A"/>
    <w:rsid w:val="7B2D16BC"/>
    <w:rsid w:val="7B2F37C4"/>
    <w:rsid w:val="7B550BF1"/>
    <w:rsid w:val="7B686D42"/>
    <w:rsid w:val="7B75338D"/>
    <w:rsid w:val="7B833BB8"/>
    <w:rsid w:val="7B841746"/>
    <w:rsid w:val="7B9C3001"/>
    <w:rsid w:val="7C2519C9"/>
    <w:rsid w:val="7CC115B9"/>
    <w:rsid w:val="7CEF72D3"/>
    <w:rsid w:val="7CF667B9"/>
    <w:rsid w:val="7D0239FF"/>
    <w:rsid w:val="7D297335"/>
    <w:rsid w:val="7D5E40CD"/>
    <w:rsid w:val="7D693BED"/>
    <w:rsid w:val="7D8E640D"/>
    <w:rsid w:val="7D9D0F16"/>
    <w:rsid w:val="7DA5068D"/>
    <w:rsid w:val="7E285C5A"/>
    <w:rsid w:val="7ED8277A"/>
    <w:rsid w:val="7F141AF7"/>
    <w:rsid w:val="7F1E7B80"/>
    <w:rsid w:val="7F2053C5"/>
    <w:rsid w:val="7F250C19"/>
    <w:rsid w:val="7FB43FE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locked/>
    <w:uiPriority w:val="0"/>
    <w:pPr>
      <w:keepNext/>
      <w:keepLines/>
      <w:spacing w:line="500" w:lineRule="exact"/>
      <w:outlineLvl w:val="2"/>
    </w:pPr>
    <w:rPr>
      <w:b/>
      <w:bCs/>
      <w:sz w:val="28"/>
      <w:szCs w:val="32"/>
    </w:rPr>
  </w:style>
  <w:style w:type="paragraph" w:styleId="5">
    <w:name w:val="heading 4"/>
    <w:basedOn w:val="1"/>
    <w:next w:val="1"/>
    <w:autoRedefine/>
    <w:unhideWhenUsed/>
    <w:qFormat/>
    <w:locked/>
    <w:uiPriority w:val="9"/>
    <w:pPr>
      <w:spacing w:beforeLines="50" w:afterLines="50"/>
      <w:outlineLvl w:val="3"/>
    </w:pPr>
    <w:rPr>
      <w:rFonts w:eastAsia="黑体" w:cstheme="majorBidi"/>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rPr>
      <w:rFonts w:ascii="宋体"/>
      <w:sz w:val="24"/>
    </w:rPr>
  </w:style>
  <w:style w:type="paragraph" w:styleId="7">
    <w:name w:val="Normal Indent"/>
    <w:basedOn w:val="1"/>
    <w:next w:val="1"/>
    <w:autoRedefine/>
    <w:qFormat/>
    <w:uiPriority w:val="0"/>
    <w:pPr>
      <w:ind w:firstLine="420"/>
    </w:pPr>
  </w:style>
  <w:style w:type="paragraph" w:styleId="8">
    <w:name w:val="annotation text"/>
    <w:basedOn w:val="1"/>
    <w:link w:val="55"/>
    <w:autoRedefine/>
    <w:semiHidden/>
    <w:qFormat/>
    <w:uiPriority w:val="0"/>
    <w:pPr>
      <w:jc w:val="left"/>
    </w:pPr>
    <w:rPr>
      <w:kern w:val="0"/>
      <w:sz w:val="20"/>
    </w:rPr>
  </w:style>
  <w:style w:type="paragraph" w:styleId="9">
    <w:name w:val="Body Text"/>
    <w:basedOn w:val="1"/>
    <w:next w:val="10"/>
    <w:link w:val="54"/>
    <w:autoRedefine/>
    <w:qFormat/>
    <w:uiPriority w:val="0"/>
    <w:pPr>
      <w:widowControl/>
      <w:snapToGrid w:val="0"/>
      <w:spacing w:before="60" w:after="160" w:line="259" w:lineRule="auto"/>
      <w:ind w:right="113"/>
    </w:pPr>
    <w:rPr>
      <w:kern w:val="0"/>
      <w:sz w:val="18"/>
      <w:szCs w:val="18"/>
    </w:rPr>
  </w:style>
  <w:style w:type="paragraph" w:customStyle="1" w:styleId="10">
    <w:name w:val="Body Text 21"/>
    <w:basedOn w:val="1"/>
    <w:autoRedefine/>
    <w:qFormat/>
    <w:uiPriority w:val="0"/>
    <w:pPr>
      <w:spacing w:after="120" w:line="480" w:lineRule="auto"/>
    </w:pPr>
  </w:style>
  <w:style w:type="paragraph" w:styleId="11">
    <w:name w:val="Body Text Indent"/>
    <w:basedOn w:val="1"/>
    <w:next w:val="5"/>
    <w:link w:val="51"/>
    <w:autoRedefine/>
    <w:semiHidden/>
    <w:qFormat/>
    <w:uiPriority w:val="0"/>
    <w:pPr>
      <w:spacing w:after="120"/>
      <w:ind w:left="420" w:leftChars="200"/>
    </w:pPr>
  </w:style>
  <w:style w:type="paragraph" w:styleId="12">
    <w:name w:val="Plain Text"/>
    <w:basedOn w:val="1"/>
    <w:autoRedefine/>
    <w:qFormat/>
    <w:uiPriority w:val="0"/>
    <w:rPr>
      <w:rFonts w:ascii="宋体" w:hAnsi="Courier New"/>
    </w:rPr>
  </w:style>
  <w:style w:type="paragraph" w:styleId="13">
    <w:name w:val="Date"/>
    <w:basedOn w:val="1"/>
    <w:next w:val="1"/>
    <w:link w:val="61"/>
    <w:autoRedefine/>
    <w:qFormat/>
    <w:uiPriority w:val="0"/>
    <w:pPr>
      <w:ind w:left="100" w:leftChars="2500"/>
    </w:pPr>
    <w:rPr>
      <w:kern w:val="0"/>
      <w:sz w:val="20"/>
    </w:rPr>
  </w:style>
  <w:style w:type="paragraph" w:styleId="14">
    <w:name w:val="Body Text Indent 2"/>
    <w:basedOn w:val="1"/>
    <w:autoRedefine/>
    <w:qFormat/>
    <w:uiPriority w:val="0"/>
    <w:pPr>
      <w:spacing w:after="120" w:line="480" w:lineRule="auto"/>
      <w:ind w:left="420"/>
    </w:pPr>
  </w:style>
  <w:style w:type="paragraph" w:styleId="15">
    <w:name w:val="Balloon Text"/>
    <w:basedOn w:val="1"/>
    <w:link w:val="52"/>
    <w:autoRedefine/>
    <w:semiHidden/>
    <w:qFormat/>
    <w:uiPriority w:val="0"/>
    <w:rPr>
      <w:sz w:val="18"/>
      <w:szCs w:val="18"/>
    </w:rPr>
  </w:style>
  <w:style w:type="paragraph" w:styleId="16">
    <w:name w:val="footer"/>
    <w:basedOn w:val="1"/>
    <w:link w:val="58"/>
    <w:autoRedefine/>
    <w:qFormat/>
    <w:uiPriority w:val="0"/>
    <w:pPr>
      <w:tabs>
        <w:tab w:val="center" w:pos="4153"/>
        <w:tab w:val="right" w:pos="8306"/>
      </w:tabs>
      <w:snapToGrid w:val="0"/>
      <w:jc w:val="left"/>
    </w:pPr>
    <w:rPr>
      <w:sz w:val="18"/>
      <w:szCs w:val="18"/>
    </w:rPr>
  </w:style>
  <w:style w:type="paragraph" w:styleId="17">
    <w:name w:val="header"/>
    <w:basedOn w:val="1"/>
    <w:next w:val="6"/>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link w:val="56"/>
    <w:autoRedefine/>
    <w:qFormat/>
    <w:uiPriority w:val="0"/>
    <w:pPr>
      <w:widowControl/>
      <w:spacing w:before="100" w:beforeAutospacing="1" w:after="100" w:afterAutospacing="1"/>
      <w:jc w:val="left"/>
    </w:pPr>
    <w:rPr>
      <w:rFonts w:ascii="宋体" w:hAnsi="宋体"/>
      <w:kern w:val="0"/>
      <w:sz w:val="24"/>
    </w:rPr>
  </w:style>
  <w:style w:type="paragraph" w:styleId="21">
    <w:name w:val="index 1"/>
    <w:basedOn w:val="1"/>
    <w:next w:val="1"/>
    <w:autoRedefine/>
    <w:qFormat/>
    <w:uiPriority w:val="0"/>
    <w:pPr>
      <w:spacing w:line="320" w:lineRule="exact"/>
      <w:jc w:val="center"/>
    </w:pPr>
    <w:rPr>
      <w:color w:val="000000"/>
      <w:szCs w:val="21"/>
    </w:rPr>
  </w:style>
  <w:style w:type="paragraph" w:styleId="22">
    <w:name w:val="Title"/>
    <w:basedOn w:val="1"/>
    <w:autoRedefine/>
    <w:qFormat/>
    <w:locked/>
    <w:uiPriority w:val="0"/>
    <w:pPr>
      <w:spacing w:before="240" w:after="60"/>
      <w:jc w:val="center"/>
      <w:outlineLvl w:val="0"/>
    </w:pPr>
    <w:rPr>
      <w:rFonts w:ascii="Arial" w:hAnsi="Arial" w:cs="Arial"/>
      <w:bCs/>
      <w:sz w:val="32"/>
      <w:szCs w:val="32"/>
    </w:rPr>
  </w:style>
  <w:style w:type="paragraph" w:styleId="23">
    <w:name w:val="annotation subject"/>
    <w:basedOn w:val="8"/>
    <w:next w:val="8"/>
    <w:link w:val="57"/>
    <w:autoRedefine/>
    <w:semiHidden/>
    <w:qFormat/>
    <w:uiPriority w:val="0"/>
    <w:rPr>
      <w:b/>
      <w:bCs/>
    </w:rPr>
  </w:style>
  <w:style w:type="paragraph" w:styleId="24">
    <w:name w:val="Body Text First Indent"/>
    <w:basedOn w:val="1"/>
    <w:autoRedefine/>
    <w:unhideWhenUsed/>
    <w:qFormat/>
    <w:uiPriority w:val="0"/>
    <w:pPr>
      <w:adjustRightInd w:val="0"/>
      <w:snapToGrid w:val="0"/>
      <w:spacing w:line="360" w:lineRule="auto"/>
      <w:ind w:firstLine="200" w:firstLineChars="200"/>
    </w:pPr>
    <w:rPr>
      <w:sz w:val="24"/>
    </w:rPr>
  </w:style>
  <w:style w:type="paragraph" w:styleId="25">
    <w:name w:val="Body Text First Indent 2"/>
    <w:basedOn w:val="11"/>
    <w:next w:val="18"/>
    <w:autoRedefine/>
    <w:qFormat/>
    <w:uiPriority w:val="0"/>
    <w:pPr>
      <w:ind w:firstLine="42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annotation reference"/>
    <w:basedOn w:val="28"/>
    <w:autoRedefine/>
    <w:semiHidden/>
    <w:qFormat/>
    <w:uiPriority w:val="0"/>
    <w:rPr>
      <w:sz w:val="21"/>
    </w:rPr>
  </w:style>
  <w:style w:type="paragraph" w:customStyle="1" w:styleId="31">
    <w:name w:val="样式5"/>
    <w:basedOn w:val="32"/>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32">
    <w:name w:val="正文1"/>
    <w:basedOn w:val="1"/>
    <w:next w:val="1"/>
    <w:autoRedefine/>
    <w:qFormat/>
    <w:uiPriority w:val="0"/>
    <w:pPr>
      <w:snapToGrid w:val="0"/>
      <w:spacing w:line="270" w:lineRule="exact"/>
      <w:jc w:val="center"/>
    </w:pPr>
    <w:rPr>
      <w:spacing w:val="8"/>
      <w:kern w:val="21"/>
    </w:rPr>
  </w:style>
  <w:style w:type="paragraph" w:customStyle="1" w:styleId="33">
    <w:name w:val="样式 正文文本缩进 + 行距: 1.5 倍行距"/>
    <w:basedOn w:val="34"/>
    <w:next w:val="17"/>
    <w:autoRedefine/>
    <w:qFormat/>
    <w:uiPriority w:val="99"/>
    <w:pPr>
      <w:spacing w:after="120"/>
      <w:ind w:left="90" w:leftChars="32" w:firstLine="560"/>
    </w:pPr>
    <w:rPr>
      <w:rFonts w:cs="宋体"/>
    </w:rPr>
  </w:style>
  <w:style w:type="paragraph" w:customStyle="1" w:styleId="34">
    <w:name w:val="Body Text Indent"/>
    <w:basedOn w:val="1"/>
    <w:next w:val="33"/>
    <w:autoRedefine/>
    <w:qFormat/>
    <w:uiPriority w:val="0"/>
    <w:pPr>
      <w:spacing w:after="120" w:afterLines="0"/>
      <w:ind w:left="420" w:leftChars="200"/>
    </w:pPr>
    <w:rPr>
      <w:rFonts w:ascii="Times New Roman" w:hAnsi="Times New Roman" w:eastAsia="宋体"/>
      <w:sz w:val="24"/>
    </w:rPr>
  </w:style>
  <w:style w:type="paragraph" w:customStyle="1" w:styleId="35">
    <w:name w:val="样式 正文缩进 + 宋体 行距: 固定值 22 磅"/>
    <w:basedOn w:val="7"/>
    <w:autoRedefine/>
    <w:qFormat/>
    <w:uiPriority w:val="0"/>
    <w:pPr>
      <w:ind w:firstLine="0" w:firstLineChars="0"/>
    </w:pPr>
    <w:rPr>
      <w:rFonts w:ascii="Arial Unicode MS" w:hAnsi="Arial Unicode MS" w:cs="宋体"/>
      <w:szCs w:val="20"/>
    </w:rPr>
  </w:style>
  <w:style w:type="paragraph" w:customStyle="1" w:styleId="36">
    <w:name w:val="Z正文"/>
    <w:basedOn w:val="1"/>
    <w:next w:val="1"/>
    <w:autoRedefine/>
    <w:semiHidden/>
    <w:qFormat/>
    <w:uiPriority w:val="0"/>
    <w:rPr>
      <w:rFonts w:ascii="Calibri" w:hAnsi="Calibri"/>
      <w:szCs w:val="22"/>
    </w:rPr>
  </w:style>
  <w:style w:type="paragraph" w:customStyle="1" w:styleId="37">
    <w:name w:val="Default"/>
    <w:basedOn w:val="38"/>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纯文本1"/>
    <w:basedOn w:val="1"/>
    <w:autoRedefine/>
    <w:qFormat/>
    <w:uiPriority w:val="0"/>
    <w:rPr>
      <w:rFonts w:ascii="宋体" w:hAnsi="Courier New"/>
      <w:szCs w:val="20"/>
    </w:rPr>
  </w:style>
  <w:style w:type="paragraph" w:customStyle="1" w:styleId="39">
    <w:name w:val="表头"/>
    <w:basedOn w:val="1"/>
    <w:next w:val="40"/>
    <w:autoRedefine/>
    <w:qFormat/>
    <w:uiPriority w:val="0"/>
    <w:pPr>
      <w:overflowPunct w:val="0"/>
      <w:snapToGrid w:val="0"/>
      <w:ind w:firstLine="200"/>
    </w:pPr>
    <w:rPr>
      <w:b/>
    </w:rPr>
  </w:style>
  <w:style w:type="paragraph" w:customStyle="1" w:styleId="40">
    <w:name w:val="别动"/>
    <w:basedOn w:val="39"/>
    <w:autoRedefine/>
    <w:qFormat/>
    <w:uiPriority w:val="0"/>
    <w:pPr>
      <w:spacing w:line="340" w:lineRule="exact"/>
    </w:pPr>
    <w:rPr>
      <w:rFonts w:ascii="Times New Roman" w:hAnsi="Times New Roman" w:eastAsia="宋体"/>
      <w:b w:val="0"/>
      <w:sz w:val="21"/>
    </w:rPr>
  </w:style>
  <w:style w:type="paragraph" w:customStyle="1" w:styleId="41">
    <w:name w:val="表+五号"/>
    <w:basedOn w:val="1"/>
    <w:autoRedefine/>
    <w:qFormat/>
    <w:uiPriority w:val="0"/>
    <w:rPr>
      <w:szCs w:val="28"/>
    </w:rPr>
  </w:style>
  <w:style w:type="paragraph" w:customStyle="1" w:styleId="42">
    <w:name w:val="表头A"/>
    <w:basedOn w:val="39"/>
    <w:autoRedefine/>
    <w:qFormat/>
    <w:uiPriority w:val="0"/>
    <w:pPr>
      <w:snapToGrid/>
      <w:spacing w:line="400" w:lineRule="exact"/>
      <w:ind w:firstLine="0" w:firstLineChars="0"/>
      <w:jc w:val="center"/>
    </w:pPr>
    <w:rPr>
      <w:sz w:val="24"/>
    </w:rPr>
  </w:style>
  <w:style w:type="paragraph" w:customStyle="1" w:styleId="43">
    <w:name w:val="表格"/>
    <w:basedOn w:val="39"/>
    <w:next w:val="1"/>
    <w:link w:val="59"/>
    <w:autoRedefine/>
    <w:qFormat/>
    <w:uiPriority w:val="0"/>
    <w:pPr>
      <w:adjustRightInd w:val="0"/>
      <w:spacing w:beforeLines="10" w:afterLines="10" w:line="259" w:lineRule="auto"/>
      <w:jc w:val="center"/>
    </w:pPr>
    <w:rPr>
      <w:rFonts w:ascii="宋体"/>
      <w:kern w:val="0"/>
      <w:sz w:val="20"/>
      <w:szCs w:val="21"/>
    </w:rPr>
  </w:style>
  <w:style w:type="paragraph" w:customStyle="1" w:styleId="44">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5">
    <w:name w:val="表内字"/>
    <w:basedOn w:val="1"/>
    <w:autoRedefine/>
    <w:qFormat/>
    <w:uiPriority w:val="0"/>
    <w:pPr>
      <w:spacing w:line="320" w:lineRule="exact"/>
      <w:jc w:val="center"/>
    </w:pPr>
    <w:rPr>
      <w:kern w:val="0"/>
    </w:rPr>
  </w:style>
  <w:style w:type="paragraph" w:customStyle="1" w:styleId="46">
    <w:name w:val="文本"/>
    <w:basedOn w:val="1"/>
    <w:autoRedefine/>
    <w:qFormat/>
    <w:uiPriority w:val="0"/>
    <w:pPr>
      <w:adjustRightInd w:val="0"/>
      <w:snapToGrid w:val="0"/>
      <w:spacing w:line="440" w:lineRule="exact"/>
      <w:ind w:firstLine="480"/>
    </w:pPr>
    <w:rPr>
      <w:rFonts w:ascii="宋体" w:hAnsi="宋体"/>
    </w:rPr>
  </w:style>
  <w:style w:type="paragraph" w:customStyle="1" w:styleId="47">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paragraph" w:customStyle="1" w:styleId="48">
    <w:name w:val="正文A"/>
    <w:basedOn w:val="1"/>
    <w:autoRedefine/>
    <w:qFormat/>
    <w:uiPriority w:val="0"/>
    <w:pPr>
      <w:spacing w:line="500" w:lineRule="exact"/>
      <w:ind w:firstLine="200"/>
    </w:pPr>
    <w:rPr>
      <w:rFonts w:ascii="Calibri" w:hAnsi="Calibri"/>
      <w:kern w:val="0"/>
      <w:sz w:val="24"/>
    </w:rPr>
  </w:style>
  <w:style w:type="character" w:customStyle="1" w:styleId="49">
    <w:name w:val="页眉 Char"/>
    <w:basedOn w:val="28"/>
    <w:link w:val="17"/>
    <w:autoRedefine/>
    <w:qFormat/>
    <w:locked/>
    <w:uiPriority w:val="0"/>
    <w:rPr>
      <w:rFonts w:cs="Times New Roman"/>
      <w:sz w:val="18"/>
      <w:szCs w:val="18"/>
    </w:rPr>
  </w:style>
  <w:style w:type="character" w:customStyle="1" w:styleId="50">
    <w:name w:val="正文文本 字符1"/>
    <w:basedOn w:val="28"/>
    <w:autoRedefine/>
    <w:semiHidden/>
    <w:qFormat/>
    <w:uiPriority w:val="0"/>
    <w:rPr>
      <w:rFonts w:ascii="Times New Roman" w:hAnsi="Times New Roman" w:eastAsia="宋体" w:cs="Times New Roman"/>
      <w:sz w:val="24"/>
      <w:szCs w:val="24"/>
    </w:rPr>
  </w:style>
  <w:style w:type="character" w:customStyle="1" w:styleId="51">
    <w:name w:val="正文文本缩进 Char"/>
    <w:basedOn w:val="28"/>
    <w:link w:val="11"/>
    <w:autoRedefine/>
    <w:semiHidden/>
    <w:qFormat/>
    <w:locked/>
    <w:uiPriority w:val="0"/>
    <w:rPr>
      <w:rFonts w:ascii="Times New Roman" w:hAnsi="Times New Roman" w:eastAsia="宋体" w:cs="Times New Roman"/>
      <w:sz w:val="24"/>
      <w:szCs w:val="24"/>
    </w:rPr>
  </w:style>
  <w:style w:type="character" w:customStyle="1" w:styleId="52">
    <w:name w:val="批注框文本 Char"/>
    <w:basedOn w:val="28"/>
    <w:link w:val="15"/>
    <w:autoRedefine/>
    <w:semiHidden/>
    <w:qFormat/>
    <w:locked/>
    <w:uiPriority w:val="0"/>
    <w:rPr>
      <w:rFonts w:ascii="Times New Roman" w:hAnsi="Times New Roman" w:eastAsia="宋体" w:cs="Times New Roman"/>
      <w:sz w:val="18"/>
      <w:szCs w:val="18"/>
    </w:rPr>
  </w:style>
  <w:style w:type="character" w:customStyle="1" w:styleId="53">
    <w:name w:val="普通(网站) Char"/>
    <w:autoRedefine/>
    <w:qFormat/>
    <w:locked/>
    <w:uiPriority w:val="0"/>
    <w:rPr>
      <w:rFonts w:ascii="宋体" w:hAnsi="宋体" w:eastAsia="宋体"/>
      <w:sz w:val="24"/>
    </w:rPr>
  </w:style>
  <w:style w:type="character" w:customStyle="1" w:styleId="54">
    <w:name w:val="正文文本 Char"/>
    <w:link w:val="9"/>
    <w:autoRedefine/>
    <w:qFormat/>
    <w:locked/>
    <w:uiPriority w:val="0"/>
    <w:rPr>
      <w:sz w:val="18"/>
    </w:rPr>
  </w:style>
  <w:style w:type="character" w:customStyle="1" w:styleId="55">
    <w:name w:val="批注文字 Char"/>
    <w:link w:val="8"/>
    <w:autoRedefine/>
    <w:qFormat/>
    <w:locked/>
    <w:uiPriority w:val="0"/>
    <w:rPr>
      <w:rFonts w:ascii="Times New Roman" w:hAnsi="Times New Roman" w:eastAsia="宋体"/>
      <w:sz w:val="24"/>
    </w:rPr>
  </w:style>
  <w:style w:type="character" w:customStyle="1" w:styleId="56">
    <w:name w:val="普通(网站) Char1"/>
    <w:link w:val="20"/>
    <w:autoRedefine/>
    <w:qFormat/>
    <w:locked/>
    <w:uiPriority w:val="0"/>
    <w:rPr>
      <w:rFonts w:ascii="宋体" w:hAnsi="宋体" w:eastAsia="宋体"/>
      <w:sz w:val="24"/>
    </w:rPr>
  </w:style>
  <w:style w:type="character" w:customStyle="1" w:styleId="57">
    <w:name w:val="批注主题 Char"/>
    <w:basedOn w:val="55"/>
    <w:link w:val="23"/>
    <w:autoRedefine/>
    <w:semiHidden/>
    <w:qFormat/>
    <w:locked/>
    <w:uiPriority w:val="0"/>
    <w:rPr>
      <w:rFonts w:ascii="Times New Roman" w:hAnsi="Times New Roman" w:eastAsia="宋体" w:cs="Times New Roman"/>
      <w:b/>
      <w:bCs/>
      <w:kern w:val="2"/>
      <w:sz w:val="24"/>
      <w:szCs w:val="24"/>
    </w:rPr>
  </w:style>
  <w:style w:type="character" w:customStyle="1" w:styleId="58">
    <w:name w:val="页脚 Char"/>
    <w:basedOn w:val="28"/>
    <w:link w:val="16"/>
    <w:autoRedefine/>
    <w:qFormat/>
    <w:locked/>
    <w:uiPriority w:val="0"/>
    <w:rPr>
      <w:rFonts w:cs="Times New Roman"/>
      <w:sz w:val="18"/>
      <w:szCs w:val="18"/>
    </w:rPr>
  </w:style>
  <w:style w:type="character" w:customStyle="1" w:styleId="59">
    <w:name w:val="表格 Char"/>
    <w:link w:val="43"/>
    <w:autoRedefine/>
    <w:qFormat/>
    <w:locked/>
    <w:uiPriority w:val="0"/>
    <w:rPr>
      <w:rFonts w:ascii="宋体"/>
      <w:sz w:val="21"/>
    </w:rPr>
  </w:style>
  <w:style w:type="character" w:customStyle="1" w:styleId="60">
    <w:name w:val="日期 字符"/>
    <w:basedOn w:val="28"/>
    <w:autoRedefine/>
    <w:semiHidden/>
    <w:qFormat/>
    <w:uiPriority w:val="0"/>
    <w:rPr>
      <w:rFonts w:ascii="Times New Roman" w:hAnsi="Times New Roman" w:eastAsia="宋体" w:cs="Times New Roman"/>
      <w:sz w:val="24"/>
      <w:szCs w:val="24"/>
    </w:rPr>
  </w:style>
  <w:style w:type="character" w:customStyle="1" w:styleId="61">
    <w:name w:val="日期 Char"/>
    <w:link w:val="13"/>
    <w:autoRedefine/>
    <w:qFormat/>
    <w:locked/>
    <w:uiPriority w:val="0"/>
    <w:rPr>
      <w:rFonts w:ascii="Times New Roman" w:hAnsi="Times New Roman" w:eastAsia="宋体"/>
      <w:sz w:val="24"/>
    </w:rPr>
  </w:style>
  <w:style w:type="character" w:customStyle="1" w:styleId="62">
    <w:name w:val="批注文字 字符1"/>
    <w:basedOn w:val="28"/>
    <w:autoRedefine/>
    <w:semiHidden/>
    <w:qFormat/>
    <w:uiPriority w:val="0"/>
    <w:rPr>
      <w:rFonts w:ascii="Times New Roman" w:hAnsi="Times New Roman" w:eastAsia="宋体" w:cs="Times New Roman"/>
      <w:sz w:val="24"/>
      <w:szCs w:val="24"/>
    </w:rPr>
  </w:style>
  <w:style w:type="paragraph" w:customStyle="1" w:styleId="63">
    <w:name w:val="报告表正文"/>
    <w:basedOn w:val="64"/>
    <w:autoRedefine/>
    <w:qFormat/>
    <w:uiPriority w:val="0"/>
    <w:pPr>
      <w:adjustRightInd w:val="0"/>
      <w:ind w:left="113" w:right="113" w:firstLine="482"/>
      <w:jc w:val="left"/>
      <w:textAlignment w:val="baseline"/>
    </w:pPr>
    <w:rPr>
      <w:kern w:val="0"/>
      <w:szCs w:val="21"/>
    </w:rPr>
  </w:style>
  <w:style w:type="paragraph" w:customStyle="1" w:styleId="64">
    <w:name w:val="报告正文"/>
    <w:basedOn w:val="65"/>
    <w:autoRedefine/>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5">
    <w:name w:val="p17"/>
    <w:basedOn w:val="1"/>
    <w:autoRedefine/>
    <w:qFormat/>
    <w:uiPriority w:val="0"/>
    <w:pPr>
      <w:widowControl/>
    </w:pPr>
    <w:rPr>
      <w:rFonts w:ascii="宋体" w:hAnsi="宋体" w:cs="宋体"/>
      <w:kern w:val="0"/>
      <w:szCs w:val="21"/>
    </w:rPr>
  </w:style>
  <w:style w:type="paragraph" w:customStyle="1" w:styleId="66">
    <w:name w:val="标题表格"/>
    <w:basedOn w:val="1"/>
    <w:autoRedefine/>
    <w:qFormat/>
    <w:uiPriority w:val="0"/>
    <w:pPr>
      <w:spacing w:beforeLines="50"/>
      <w:jc w:val="center"/>
    </w:pPr>
    <w:rPr>
      <w:rFonts w:ascii="黑体" w:hAnsi="楷体_GB2312" w:eastAsia="黑体" w:cs="宋体"/>
    </w:rPr>
  </w:style>
  <w:style w:type="paragraph" w:customStyle="1" w:styleId="67">
    <w:name w:val="正文-ls"/>
    <w:basedOn w:val="1"/>
    <w:autoRedefine/>
    <w:qFormat/>
    <w:uiPriority w:val="0"/>
    <w:pPr>
      <w:ind w:firstLine="200"/>
    </w:pPr>
    <w:rPr>
      <w:rFonts w:hAnsi="宋体" w:cs="宋体"/>
      <w:sz w:val="24"/>
    </w:rPr>
  </w:style>
  <w:style w:type="paragraph" w:customStyle="1" w:styleId="68">
    <w:name w:val="1 Char"/>
    <w:basedOn w:val="1"/>
    <w:autoRedefine/>
    <w:qFormat/>
    <w:uiPriority w:val="0"/>
    <w:pPr>
      <w:adjustRightInd w:val="0"/>
      <w:spacing w:line="360" w:lineRule="atLeast"/>
      <w:textAlignment w:val="baseline"/>
    </w:pPr>
  </w:style>
  <w:style w:type="paragraph" w:customStyle="1" w:styleId="69">
    <w:name w:val="正文文本缩进1"/>
    <w:basedOn w:val="1"/>
    <w:autoRedefine/>
    <w:qFormat/>
    <w:uiPriority w:val="0"/>
    <w:pPr>
      <w:autoSpaceDE w:val="0"/>
      <w:autoSpaceDN w:val="0"/>
      <w:adjustRightInd w:val="0"/>
      <w:ind w:firstLine="480"/>
    </w:pPr>
    <w:rPr>
      <w:rFonts w:ascii="宋体" w:hAnsi="宋体"/>
      <w:kern w:val="0"/>
      <w:sz w:val="24"/>
    </w:rPr>
  </w:style>
  <w:style w:type="paragraph" w:customStyle="1" w:styleId="70">
    <w:name w:val="表格1"/>
    <w:basedOn w:val="1"/>
    <w:autoRedefine/>
    <w:qFormat/>
    <w:uiPriority w:val="0"/>
    <w:pPr>
      <w:widowControl/>
      <w:adjustRightInd w:val="0"/>
      <w:snapToGrid w:val="0"/>
      <w:ind w:firstLine="480"/>
    </w:pPr>
    <w:rPr>
      <w:rFonts w:ascii="宋体" w:hAnsi="宋体"/>
    </w:rPr>
  </w:style>
  <w:style w:type="paragraph" w:customStyle="1" w:styleId="71">
    <w:name w:val="书 正文"/>
    <w:basedOn w:val="1"/>
    <w:link w:val="74"/>
    <w:autoRedefine/>
    <w:qFormat/>
    <w:uiPriority w:val="0"/>
    <w:pPr>
      <w:ind w:firstLine="514"/>
    </w:pPr>
    <w:rPr>
      <w:kern w:val="24"/>
      <w:sz w:val="24"/>
    </w:rPr>
  </w:style>
  <w:style w:type="paragraph" w:customStyle="1" w:styleId="7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环评正文"/>
    <w:basedOn w:val="1"/>
    <w:autoRedefine/>
    <w:qFormat/>
    <w:uiPriority w:val="0"/>
    <w:rPr>
      <w:rFonts w:eastAsiaTheme="minorEastAsia"/>
      <w:lang w:val="zh-CN"/>
    </w:rPr>
  </w:style>
  <w:style w:type="character" w:customStyle="1" w:styleId="74">
    <w:name w:val="书 正文 Char"/>
    <w:link w:val="71"/>
    <w:autoRedefine/>
    <w:qFormat/>
    <w:uiPriority w:val="0"/>
    <w:rPr>
      <w:kern w:val="24"/>
      <w:sz w:val="24"/>
      <w:szCs w:val="24"/>
    </w:rPr>
  </w:style>
  <w:style w:type="paragraph" w:customStyle="1" w:styleId="75">
    <w:name w:val="正文(首行缩进)"/>
    <w:basedOn w:val="1"/>
    <w:next w:val="1"/>
    <w:autoRedefine/>
    <w:qFormat/>
    <w:uiPriority w:val="0"/>
    <w:pPr>
      <w:ind w:firstLine="540" w:firstLineChars="225"/>
    </w:pPr>
    <w:rPr>
      <w:snapToGrid w:val="0"/>
      <w:color w:val="000000"/>
      <w:kern w:val="0"/>
      <w:sz w:val="24"/>
    </w:rPr>
  </w:style>
  <w:style w:type="paragraph" w:styleId="76">
    <w:name w:val="No Spacing"/>
    <w:autoRedefine/>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77">
    <w:name w:val="页脚 字符"/>
    <w:autoRedefine/>
    <w:qFormat/>
    <w:uiPriority w:val="99"/>
    <w:rPr>
      <w:rFonts w:ascii="楷体" w:hAnsi="楷体" w:eastAsia="楷体"/>
      <w14:shadow w14:blurRad="50800" w14:dist="38100" w14:dir="2700000" w14:sx="100000" w14:sy="100000" w14:kx="0" w14:ky="0" w14:algn="tl">
        <w14:srgbClr w14:val="000000">
          <w14:alpha w14:val="60000"/>
        </w14:srgbClr>
      </w14:shadow>
    </w:rPr>
  </w:style>
  <w:style w:type="paragraph" w:customStyle="1" w:styleId="78">
    <w:name w:val="表头标题"/>
    <w:next w:val="12"/>
    <w:autoRedefine/>
    <w:qFormat/>
    <w:uiPriority w:val="0"/>
    <w:pPr>
      <w:spacing w:line="360" w:lineRule="auto"/>
      <w:jc w:val="center"/>
    </w:pPr>
    <w:rPr>
      <w:rFonts w:ascii="黑体" w:hAnsi="黑体" w:eastAsia="黑体" w:cs="Times New Roman"/>
      <w:b/>
      <w:color w:val="000000" w:themeColor="text1"/>
      <w:kern w:val="2"/>
      <w:sz w:val="24"/>
      <w:szCs w:val="24"/>
      <w:lang w:val="en-US" w:eastAsia="zh-CN" w:bidi="ar-SA"/>
      <w14:textFill>
        <w14:solidFill>
          <w14:schemeClr w14:val="tx1"/>
        </w14:solidFill>
      </w14:textFill>
    </w:rPr>
  </w:style>
  <w:style w:type="paragraph" w:customStyle="1" w:styleId="79">
    <w:name w:val="正文格式"/>
    <w:basedOn w:val="24"/>
    <w:next w:val="1"/>
    <w:autoRedefine/>
    <w:qFormat/>
    <w:uiPriority w:val="0"/>
    <w:rPr>
      <w:rFonts w:ascii="宋体"/>
      <w:szCs w:val="24"/>
    </w:rPr>
  </w:style>
  <w:style w:type="paragraph" w:customStyle="1" w:styleId="80">
    <w:name w:val="表中文字"/>
    <w:basedOn w:val="32"/>
    <w:autoRedefine/>
    <w:qFormat/>
    <w:uiPriority w:val="0"/>
    <w:pPr>
      <w:spacing w:line="320" w:lineRule="exact"/>
    </w:pPr>
  </w:style>
  <w:style w:type="paragraph" w:customStyle="1" w:styleId="81">
    <w:name w:val="表格内容1"/>
    <w:basedOn w:val="1"/>
    <w:autoRedefine/>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82">
    <w:name w:val="正文文本_"/>
    <w:link w:val="83"/>
    <w:autoRedefine/>
    <w:qFormat/>
    <w:uiPriority w:val="0"/>
    <w:rPr>
      <w:rFonts w:hint="eastAsia" w:ascii="微软雅黑" w:hAnsi="微软雅黑" w:eastAsia="微软雅黑"/>
      <w:sz w:val="22"/>
    </w:rPr>
  </w:style>
  <w:style w:type="paragraph" w:customStyle="1" w:styleId="83">
    <w:name w:val="正文文本1"/>
    <w:basedOn w:val="1"/>
    <w:link w:val="82"/>
    <w:autoRedefine/>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84">
    <w:name w:val="样式 宋体 小四 首行缩进:  0.85 厘米 行距: 1.5 倍行距"/>
    <w:basedOn w:val="1"/>
    <w:autoRedefine/>
    <w:qFormat/>
    <w:uiPriority w:val="0"/>
    <w:pPr>
      <w:spacing w:line="360" w:lineRule="auto"/>
      <w:ind w:firstLine="480" w:firstLineChars="200"/>
    </w:pPr>
    <w:rPr>
      <w:rFonts w:ascii="宋体" w:hAnsi="宋体" w:eastAsia="宋体" w:cs="宋体"/>
      <w:sz w:val="24"/>
    </w:rPr>
  </w:style>
  <w:style w:type="character" w:customStyle="1" w:styleId="85">
    <w:name w:val="font21"/>
    <w:basedOn w:val="28"/>
    <w:autoRedefine/>
    <w:qFormat/>
    <w:uiPriority w:val="0"/>
    <w:rPr>
      <w:rFonts w:hint="eastAsia" w:ascii="宋体" w:hAnsi="宋体" w:eastAsia="宋体" w:cs="宋体"/>
      <w:b/>
      <w:bCs/>
      <w:color w:val="000000"/>
      <w:sz w:val="21"/>
      <w:szCs w:val="21"/>
      <w:u w:val="none"/>
    </w:rPr>
  </w:style>
  <w:style w:type="paragraph" w:customStyle="1" w:styleId="86">
    <w:name w:val="Table Text"/>
    <w:basedOn w:val="1"/>
    <w:autoRedefine/>
    <w:semiHidden/>
    <w:qFormat/>
    <w:uiPriority w:val="0"/>
    <w:rPr>
      <w:rFonts w:ascii="宋体" w:hAnsi="宋体" w:eastAsia="宋体" w:cs="宋体"/>
      <w:sz w:val="24"/>
      <w:szCs w:val="24"/>
      <w:lang w:val="en-US" w:eastAsia="en-US" w:bidi="ar-SA"/>
    </w:rPr>
  </w:style>
  <w:style w:type="table" w:customStyle="1" w:styleId="87">
    <w:name w:val="Table Normal"/>
    <w:autoRedefine/>
    <w:semiHidden/>
    <w:unhideWhenUsed/>
    <w:qFormat/>
    <w:uiPriority w:val="0"/>
    <w:tblPr>
      <w:tblCellMar>
        <w:top w:w="0" w:type="dxa"/>
        <w:left w:w="0" w:type="dxa"/>
        <w:bottom w:w="0" w:type="dxa"/>
        <w:right w:w="0" w:type="dxa"/>
      </w:tblCellMar>
    </w:tblPr>
  </w:style>
  <w:style w:type="paragraph" w:customStyle="1" w:styleId="88">
    <w:name w:val="txt"/>
    <w:basedOn w:val="89"/>
    <w:autoRedefine/>
    <w:qFormat/>
    <w:uiPriority w:val="0"/>
    <w:rPr>
      <w:sz w:val="21"/>
      <w:szCs w:val="21"/>
    </w:rPr>
  </w:style>
  <w:style w:type="paragraph" w:customStyle="1" w:styleId="89">
    <w:name w:val="text"/>
    <w:basedOn w:val="1"/>
    <w:autoRedefine/>
    <w:qFormat/>
    <w:uiPriority w:val="0"/>
    <w:pPr>
      <w:wordWrap w:val="0"/>
      <w:spacing w:line="360" w:lineRule="auto"/>
      <w:ind w:firstLine="200" w:firstLineChars="200"/>
    </w:pPr>
    <w:rPr>
      <w:sz w:val="24"/>
      <w:szCs w:val="24"/>
    </w:rPr>
  </w:style>
  <w:style w:type="character" w:customStyle="1" w:styleId="90">
    <w:name w:val="font11"/>
    <w:basedOn w:val="28"/>
    <w:autoRedefine/>
    <w:qFormat/>
    <w:uiPriority w:val="0"/>
    <w:rPr>
      <w:rFonts w:hint="eastAsia" w:ascii="宋体" w:hAnsi="宋体" w:eastAsia="宋体" w:cs="宋体"/>
      <w:color w:val="000000"/>
      <w:sz w:val="21"/>
      <w:szCs w:val="21"/>
      <w:u w:val="none"/>
    </w:rPr>
  </w:style>
  <w:style w:type="paragraph" w:customStyle="1" w:styleId="91">
    <w:name w:val="Other|1"/>
    <w:basedOn w:val="1"/>
    <w:autoRedefine/>
    <w:qFormat/>
    <w:uiPriority w:val="0"/>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804A-4DB8-4C71-A2A0-3822057507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49445</Words>
  <Characters>53611</Characters>
  <Lines>327</Lines>
  <Paragraphs>92</Paragraphs>
  <TotalTime>1</TotalTime>
  <ScaleCrop>false</ScaleCrop>
  <LinksUpToDate>false</LinksUpToDate>
  <CharactersWithSpaces>54181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unfair。</cp:lastModifiedBy>
  <cp:lastPrinted>2020-12-24T01:50:00Z</cp:lastPrinted>
  <dcterms:modified xsi:type="dcterms:W3CDTF">2024-05-08T10:31:39Z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309238715_cloud</vt:lpwstr>
  </property>
  <property fmtid="{D5CDD505-2E9C-101B-9397-08002B2CF9AE}" pid="4" name="ICV">
    <vt:lpwstr>F54810F3F7AC457AB76FA444ACC34BF8_13</vt:lpwstr>
  </property>
</Properties>
</file>