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吐市环监函〔202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600" w:lineRule="exact"/>
        <w:jc w:val="both"/>
        <w:textAlignment w:val="auto"/>
        <w:outlineLvl w:val="0"/>
        <w:rPr>
          <w:rFonts w:hint="eastAsia" w:ascii="方正小标宋简体" w:hAnsi="方正小标宋简体" w:eastAsia="方正小标宋简体" w:cs="方正小标宋简体"/>
          <w:bCs/>
          <w:color w:val="000000"/>
          <w:spacing w:val="-6"/>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关于吐6井钻试工程环境影响报告表的批复</w:t>
      </w:r>
    </w:p>
    <w:p>
      <w:pPr>
        <w:pStyle w:val="18"/>
        <w:keepNext w:val="0"/>
        <w:keepLines w:val="0"/>
        <w:pageBreakBefore w:val="0"/>
        <w:kinsoku/>
        <w:wordWrap/>
        <w:overflowPunct/>
        <w:topLinePunct w:val="0"/>
        <w:autoSpaceDE/>
        <w:autoSpaceDN/>
        <w:bidi w:val="0"/>
        <w:adjustRightInd/>
        <w:snapToGrid/>
        <w:spacing w:after="0" w:line="600" w:lineRule="exact"/>
        <w:ind w:firstLine="320"/>
        <w:textAlignment w:val="auto"/>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spacing w:val="-20"/>
          <w:szCs w:val="32"/>
        </w:rPr>
      </w:pPr>
      <w:r>
        <w:rPr>
          <w:rFonts w:hint="eastAsia" w:ascii="仿宋_GB2312"/>
          <w:spacing w:val="-20"/>
          <w:szCs w:val="32"/>
        </w:rPr>
        <w:t>中国石油天然气股份有限公司吐哈油田分公司勘探事业部：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szCs w:val="32"/>
        </w:rPr>
      </w:pPr>
      <w:r>
        <w:rPr>
          <w:rFonts w:hint="eastAsia" w:ascii="仿宋_GB2312" w:hAnsi="仿宋_GB2312" w:eastAsia="仿宋_GB2312" w:cs="仿宋_GB2312"/>
          <w:szCs w:val="32"/>
        </w:rPr>
        <w:t>你单位《关于&lt;吐6井钻试工程环境影响报告表&gt;申请审批的请示》及相关附件收悉。经研究，批复如下：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一、</w:t>
      </w:r>
      <w:r>
        <w:rPr>
          <w:rFonts w:hint="eastAsia"/>
          <w:szCs w:val="21"/>
        </w:rPr>
        <w:t>吐</w:t>
      </w:r>
      <w:r>
        <w:rPr>
          <w:rFonts w:hint="eastAsia"/>
          <w:szCs w:val="21"/>
          <w:lang w:val="en-US" w:eastAsia="zh-CN"/>
        </w:rPr>
        <w:t>6</w:t>
      </w:r>
      <w:r>
        <w:rPr>
          <w:rFonts w:hint="eastAsia"/>
          <w:szCs w:val="21"/>
        </w:rPr>
        <w:t>井</w:t>
      </w:r>
      <w:r>
        <w:rPr>
          <w:rFonts w:hint="eastAsia"/>
          <w:szCs w:val="21"/>
          <w:lang w:val="en-US" w:eastAsia="zh-CN"/>
        </w:rPr>
        <w:t>钻试工程</w:t>
      </w:r>
      <w:r>
        <w:rPr>
          <w:rFonts w:hint="eastAsia" w:ascii="仿宋_GB2312"/>
          <w:szCs w:val="32"/>
        </w:rPr>
        <w:t>位于</w:t>
      </w:r>
      <w:r>
        <w:rPr>
          <w:rFonts w:hint="eastAsia"/>
          <w:szCs w:val="21"/>
        </w:rPr>
        <w:t>吐鲁番市</w:t>
      </w:r>
      <w:r>
        <w:rPr>
          <w:rFonts w:hint="eastAsia"/>
          <w:szCs w:val="21"/>
          <w:lang w:val="en-US" w:eastAsia="zh-CN"/>
        </w:rPr>
        <w:t>高昌区亚尔镇</w:t>
      </w:r>
      <w:r>
        <w:rPr>
          <w:rFonts w:hint="eastAsia" w:ascii="仿宋_GB2312"/>
          <w:szCs w:val="32"/>
          <w:lang w:eastAsia="zh-CN"/>
        </w:rPr>
        <w:t>，</w:t>
      </w:r>
      <w:r>
        <w:rPr>
          <w:rFonts w:hint="eastAsia" w:ascii="仿宋_GB2312"/>
          <w:szCs w:val="32"/>
          <w:lang w:val="en-US" w:eastAsia="zh-CN"/>
        </w:rPr>
        <w:t>吐6井位于吐鲁番市西侧，距吐鲁番市12.6km</w:t>
      </w:r>
      <w:r>
        <w:rPr>
          <w:rFonts w:hint="eastAsia" w:ascii="仿宋_GB2312"/>
          <w:szCs w:val="32"/>
        </w:rPr>
        <w:t>。本项目建设性质为</w:t>
      </w:r>
      <w:r>
        <w:rPr>
          <w:rFonts w:hint="eastAsia" w:ascii="仿宋_GB2312"/>
          <w:szCs w:val="32"/>
          <w:lang w:eastAsia="zh-CN"/>
        </w:rPr>
        <w:t>新</w:t>
      </w:r>
      <w:r>
        <w:rPr>
          <w:rFonts w:hint="eastAsia" w:ascii="仿宋_GB2312"/>
          <w:szCs w:val="32"/>
        </w:rPr>
        <w:t>建，主要建设内容</w:t>
      </w:r>
      <w:r>
        <w:rPr>
          <w:rFonts w:hint="eastAsia" w:ascii="仿宋_GB2312"/>
          <w:szCs w:val="32"/>
          <w:lang w:val="en-US" w:eastAsia="zh-CN"/>
        </w:rPr>
        <w:t>为</w:t>
      </w:r>
      <w:r>
        <w:rPr>
          <w:rFonts w:hint="eastAsia" w:ascii="仿宋_GB2312"/>
          <w:szCs w:val="32"/>
          <w:lang w:eastAsia="zh-CN"/>
        </w:rPr>
        <w:t>新</w:t>
      </w:r>
      <w:r>
        <w:rPr>
          <w:rFonts w:hint="eastAsia" w:ascii="仿宋_GB2312"/>
          <w:szCs w:val="32"/>
          <w:lang w:val="en-US" w:eastAsia="zh-CN"/>
        </w:rPr>
        <w:t>钻1</w:t>
      </w:r>
      <w:r>
        <w:rPr>
          <w:rFonts w:hint="eastAsia" w:ascii="仿宋_GB2312"/>
          <w:szCs w:val="32"/>
          <w:lang w:eastAsia="zh-CN"/>
        </w:rPr>
        <w:t>口</w:t>
      </w:r>
      <w:r>
        <w:rPr>
          <w:rFonts w:hint="eastAsia" w:ascii="仿宋_GB2312"/>
          <w:szCs w:val="32"/>
          <w:lang w:val="en-US" w:eastAsia="zh-CN"/>
        </w:rPr>
        <w:t>预探</w:t>
      </w:r>
      <w:r>
        <w:rPr>
          <w:rFonts w:hint="eastAsia" w:ascii="仿宋_GB2312"/>
          <w:szCs w:val="32"/>
          <w:lang w:eastAsia="zh-CN"/>
        </w:rPr>
        <w:t>井，</w:t>
      </w:r>
      <w:r>
        <w:rPr>
          <w:rFonts w:hint="eastAsia" w:ascii="仿宋_GB2312"/>
          <w:szCs w:val="32"/>
          <w:lang w:val="en-US" w:eastAsia="zh-CN"/>
        </w:rPr>
        <w:t>即吐6井，</w:t>
      </w:r>
      <w:r>
        <w:rPr>
          <w:rFonts w:hint="eastAsia" w:ascii="仿宋_GB2312"/>
          <w:szCs w:val="32"/>
          <w:lang w:eastAsia="zh-CN"/>
        </w:rPr>
        <w:t>钻井进尺</w:t>
      </w:r>
      <w:r>
        <w:rPr>
          <w:rFonts w:hint="eastAsia" w:ascii="仿宋_GB2312"/>
          <w:szCs w:val="32"/>
          <w:lang w:val="en-US" w:eastAsia="zh-CN"/>
        </w:rPr>
        <w:t>2256</w:t>
      </w:r>
      <w:r>
        <w:rPr>
          <w:rFonts w:hint="eastAsia" w:ascii="仿宋_GB2312"/>
          <w:szCs w:val="32"/>
          <w:lang w:eastAsia="zh-CN"/>
        </w:rPr>
        <w:t>m；采用二开</w:t>
      </w:r>
      <w:r>
        <w:rPr>
          <w:rFonts w:hint="eastAsia" w:ascii="仿宋_GB2312"/>
          <w:szCs w:val="32"/>
          <w:lang w:val="en-US" w:eastAsia="zh-CN"/>
        </w:rPr>
        <w:t>直</w:t>
      </w:r>
      <w:r>
        <w:rPr>
          <w:rFonts w:hint="eastAsia" w:ascii="仿宋_GB2312"/>
          <w:szCs w:val="32"/>
          <w:lang w:eastAsia="zh-CN"/>
        </w:rPr>
        <w:t>井井身结构、采用水基非磺化钻井液。</w:t>
      </w:r>
      <w:r>
        <w:rPr>
          <w:rFonts w:hint="eastAsia" w:ascii="仿宋_GB2312"/>
          <w:szCs w:val="32"/>
          <w:lang w:val="en-US" w:eastAsia="zh-CN"/>
        </w:rPr>
        <w:t>完井后进行试油，获取有关技术参数。项目临时占地42311m</w:t>
      </w:r>
      <w:r>
        <w:rPr>
          <w:rFonts w:hint="eastAsia" w:ascii="仿宋_GB2312"/>
          <w:szCs w:val="32"/>
          <w:vertAlign w:val="superscript"/>
          <w:lang w:val="en-US" w:eastAsia="zh-CN"/>
        </w:rPr>
        <w:t>2</w:t>
      </w:r>
      <w:r>
        <w:rPr>
          <w:rFonts w:hint="eastAsia" w:ascii="仿宋_GB2312"/>
          <w:szCs w:val="32"/>
          <w:lang w:val="en-US" w:eastAsia="zh-CN"/>
        </w:rPr>
        <w:t>，其中井场用地10056m</w:t>
      </w:r>
      <w:r>
        <w:rPr>
          <w:rFonts w:hint="eastAsia" w:ascii="仿宋_GB2312"/>
          <w:szCs w:val="32"/>
          <w:vertAlign w:val="superscript"/>
          <w:lang w:val="en-US" w:eastAsia="zh-CN"/>
        </w:rPr>
        <w:t>2</w:t>
      </w:r>
      <w:r>
        <w:rPr>
          <w:rFonts w:hint="eastAsia" w:ascii="仿宋_GB2312"/>
          <w:szCs w:val="32"/>
          <w:lang w:val="en-US" w:eastAsia="zh-CN"/>
        </w:rPr>
        <w:t>，井场道路用地29007m</w:t>
      </w:r>
      <w:r>
        <w:rPr>
          <w:rFonts w:hint="eastAsia" w:ascii="仿宋_GB2312"/>
          <w:szCs w:val="32"/>
          <w:vertAlign w:val="superscript"/>
          <w:lang w:val="en-US" w:eastAsia="zh-CN"/>
        </w:rPr>
        <w:t>2</w:t>
      </w:r>
      <w:r>
        <w:rPr>
          <w:rFonts w:hint="eastAsia" w:ascii="仿宋_GB2312"/>
          <w:szCs w:val="32"/>
          <w:lang w:val="en-US" w:eastAsia="zh-CN"/>
        </w:rPr>
        <w:t>，施工营地用地2998m</w:t>
      </w:r>
      <w:r>
        <w:rPr>
          <w:rFonts w:hint="eastAsia" w:ascii="仿宋_GB2312"/>
          <w:szCs w:val="32"/>
          <w:vertAlign w:val="superscript"/>
          <w:lang w:val="en-US" w:eastAsia="zh-CN"/>
        </w:rPr>
        <w:t>2</w:t>
      </w:r>
      <w:r>
        <w:rPr>
          <w:rFonts w:hint="eastAsia" w:ascii="仿宋_GB2312"/>
          <w:szCs w:val="32"/>
          <w:lang w:val="en-US" w:eastAsia="zh-CN"/>
        </w:rPr>
        <w:t>，井场放喷管线用地250m</w:t>
      </w:r>
      <w:r>
        <w:rPr>
          <w:rFonts w:hint="eastAsia" w:ascii="仿宋_GB2312"/>
          <w:szCs w:val="32"/>
          <w:vertAlign w:val="superscript"/>
          <w:lang w:val="en-US" w:eastAsia="zh-CN"/>
        </w:rPr>
        <w:t>2</w:t>
      </w:r>
      <w:r>
        <w:rPr>
          <w:rFonts w:hint="eastAsia" w:ascii="仿宋_GB2312"/>
          <w:szCs w:val="32"/>
          <w:lang w:eastAsia="zh-CN"/>
        </w:rPr>
        <w:t>。</w:t>
      </w:r>
      <w:r>
        <w:rPr>
          <w:rFonts w:hint="eastAsia" w:ascii="仿宋_GB2312"/>
          <w:szCs w:val="32"/>
        </w:rPr>
        <w:t>总投资</w:t>
      </w:r>
      <w:r>
        <w:rPr>
          <w:rFonts w:hint="eastAsia" w:ascii="仿宋_GB2312"/>
          <w:szCs w:val="32"/>
          <w:lang w:val="en-US" w:eastAsia="zh-CN"/>
        </w:rPr>
        <w:t>180.48</w:t>
      </w:r>
      <w:r>
        <w:rPr>
          <w:rFonts w:hint="eastAsia" w:ascii="仿宋_GB2312"/>
          <w:szCs w:val="32"/>
        </w:rPr>
        <w:t>万元，其中环保投资</w:t>
      </w:r>
      <w:r>
        <w:rPr>
          <w:rFonts w:hint="eastAsia" w:ascii="仿宋_GB2312"/>
          <w:szCs w:val="32"/>
          <w:lang w:val="en-US" w:eastAsia="zh-CN"/>
        </w:rPr>
        <w:t>51</w:t>
      </w:r>
      <w:r>
        <w:rPr>
          <w:rFonts w:hint="eastAsia" w:ascii="仿宋_GB2312"/>
          <w:szCs w:val="32"/>
        </w:rPr>
        <w:t>万元，占总投资的</w:t>
      </w:r>
      <w:r>
        <w:rPr>
          <w:rFonts w:hint="eastAsia" w:ascii="仿宋_GB2312"/>
          <w:szCs w:val="32"/>
          <w:lang w:val="en-US" w:eastAsia="zh-CN"/>
        </w:rPr>
        <w:t>28.26</w:t>
      </w:r>
      <w:r>
        <w:rPr>
          <w:rFonts w:ascii="仿宋_GB2312"/>
          <w:szCs w:val="32"/>
        </w:rPr>
        <w:t>%</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根据</w:t>
      </w:r>
      <w:r>
        <w:rPr>
          <w:rFonts w:hint="eastAsia" w:ascii="仿宋_GB2312" w:hAnsi="仿宋_GB2312" w:cs="仿宋_GB2312"/>
          <w:szCs w:val="32"/>
          <w:lang w:val="en-US" w:eastAsia="zh-CN"/>
        </w:rPr>
        <w:t>南京国环科技股份有</w:t>
      </w:r>
      <w:r>
        <w:rPr>
          <w:rFonts w:hint="eastAsia" w:ascii="仿宋_GB2312" w:hAnsi="仿宋_GB2312" w:eastAsia="仿宋_GB2312" w:cs="仿宋_GB2312"/>
          <w:szCs w:val="32"/>
          <w:lang w:val="en-US" w:eastAsia="zh-CN"/>
        </w:rPr>
        <w:t>限公司</w:t>
      </w:r>
      <w:r>
        <w:rPr>
          <w:rFonts w:hint="eastAsia" w:ascii="仿宋_GB2312" w:hAnsi="仿宋_GB2312" w:eastAsia="仿宋_GB2312" w:cs="仿宋_GB2312"/>
          <w:szCs w:val="32"/>
        </w:rPr>
        <w:t>编制的《</w:t>
      </w:r>
      <w:r>
        <w:rPr>
          <w:rFonts w:hint="eastAsia" w:ascii="仿宋_GB2312" w:hAnsi="仿宋_GB2312" w:eastAsia="仿宋_GB2312" w:cs="仿宋_GB2312"/>
          <w:color w:val="000000" w:themeColor="text1"/>
          <w:szCs w:val="21"/>
          <w14:textFill>
            <w14:solidFill>
              <w14:schemeClr w14:val="tx1"/>
            </w14:solidFill>
          </w14:textFill>
        </w:rPr>
        <w:t>吐6井钻试工程</w:t>
      </w:r>
      <w:r>
        <w:rPr>
          <w:rFonts w:hint="eastAsia" w:ascii="仿宋_GB2312" w:hAnsi="仿宋_GB2312" w:eastAsia="仿宋_GB2312" w:cs="仿宋_GB2312"/>
          <w:szCs w:val="32"/>
        </w:rPr>
        <w:t>环境影响报告表》评价结论、</w:t>
      </w:r>
      <w:r>
        <w:rPr>
          <w:rFonts w:hint="eastAsia" w:ascii="仿宋_GB2312" w:hAnsi="仿宋_GB2312" w:eastAsia="仿宋_GB2312" w:cs="仿宋_GB2312"/>
          <w:szCs w:val="32"/>
          <w:lang w:val="en-US" w:eastAsia="zh-CN"/>
        </w:rPr>
        <w:t>高昌区</w:t>
      </w:r>
      <w:r>
        <w:rPr>
          <w:rFonts w:hint="eastAsia" w:ascii="仿宋_GB2312" w:hAnsi="仿宋_GB2312" w:eastAsia="仿宋_GB2312" w:cs="仿宋_GB2312"/>
          <w:szCs w:val="32"/>
        </w:rPr>
        <w:t>分局《关于&lt;</w:t>
      </w:r>
      <w:r>
        <w:rPr>
          <w:rFonts w:hint="eastAsia" w:ascii="仿宋_GB2312" w:hAnsi="仿宋_GB2312" w:eastAsia="仿宋_GB2312" w:cs="仿宋_GB2312"/>
          <w:color w:val="000000" w:themeColor="text1"/>
          <w:szCs w:val="21"/>
          <w14:textFill>
            <w14:solidFill>
              <w14:schemeClr w14:val="tx1"/>
            </w14:solidFill>
          </w14:textFill>
        </w:rPr>
        <w:t>吐6井钻试工程</w:t>
      </w:r>
      <w:r>
        <w:rPr>
          <w:rFonts w:hint="eastAsia" w:ascii="仿宋_GB2312" w:hAnsi="仿宋_GB2312" w:eastAsia="仿宋_GB2312" w:cs="仿宋_GB2312"/>
          <w:szCs w:val="32"/>
        </w:rPr>
        <w:t>环境影响</w:t>
      </w:r>
      <w:r>
        <w:rPr>
          <w:rFonts w:hint="eastAsia" w:ascii="仿宋_GB2312" w:hAnsi="仿宋_GB2312" w:eastAsia="仿宋_GB2312" w:cs="仿宋_GB2312"/>
          <w:szCs w:val="32"/>
          <w:lang w:val="en-US" w:eastAsia="zh-CN"/>
        </w:rPr>
        <w:t>评价</w:t>
      </w:r>
      <w:r>
        <w:rPr>
          <w:rFonts w:hint="eastAsia" w:ascii="仿宋_GB2312" w:hAnsi="仿宋_GB2312" w:eastAsia="仿宋_GB2312" w:cs="仿宋_GB2312"/>
          <w:szCs w:val="32"/>
        </w:rPr>
        <w:t>报告表&gt;的初审意见》</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高区环监函</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2024</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01号</w:t>
      </w:r>
      <w:r>
        <w:rPr>
          <w:rFonts w:hint="eastAsia" w:ascii="仿宋_GB2312" w:hAnsi="仿宋_GB2312" w:eastAsia="仿宋_GB2312" w:cs="仿宋_GB2312"/>
          <w:szCs w:val="32"/>
        </w:rPr>
        <w:t>），</w:t>
      </w:r>
      <w:r>
        <w:rPr>
          <w:rFonts w:hint="eastAsia" w:ascii="仿宋_GB2312" w:hAnsi="仿宋_GB2312" w:eastAsia="仿宋_GB2312" w:cs="仿宋_GB2312"/>
          <w:color w:val="auto"/>
          <w:sz w:val="32"/>
          <w:szCs w:val="32"/>
        </w:rPr>
        <w:t>该项目在落实《报告表》提出的各</w:t>
      </w:r>
      <w:r>
        <w:rPr>
          <w:rFonts w:hint="eastAsia" w:ascii="仿宋_GB2312" w:eastAsia="仿宋_GB2312"/>
          <w:color w:val="auto"/>
          <w:sz w:val="32"/>
          <w:szCs w:val="32"/>
        </w:rPr>
        <w:t>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hAnsi="仿宋_GB2312" w:cs="仿宋_GB2312"/>
          <w:kern w:val="0"/>
          <w:szCs w:val="32"/>
          <w:lang w:val="en-US" w:eastAsia="zh-CN"/>
        </w:rPr>
        <w:t>三、</w:t>
      </w:r>
      <w:r>
        <w:rPr>
          <w:rFonts w:hint="eastAsia" w:ascii="仿宋_GB2312" w:hAnsi="仿宋_GB2312" w:eastAsia="仿宋_GB2312" w:cs="仿宋_GB2312"/>
          <w:kern w:val="0"/>
          <w:szCs w:val="32"/>
        </w:rPr>
        <w:t>在项目建设、运行和环境管理中要认真落实《报告表》提出的各项环保要求，严格执行环保“三同时”制度，并重点做好以下工作：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宋体"/>
          <w:kern w:val="0"/>
          <w:szCs w:val="32"/>
          <w:lang w:val="en-US" w:eastAsia="zh-CN"/>
        </w:rPr>
      </w:pPr>
      <w:r>
        <w:rPr>
          <w:rFonts w:hint="eastAsia" w:ascii="仿宋_GB2312" w:cs="宋体"/>
          <w:kern w:val="0"/>
          <w:szCs w:val="32"/>
        </w:rPr>
        <w:t>（</w:t>
      </w:r>
      <w:r>
        <w:rPr>
          <w:rFonts w:hint="eastAsia" w:ascii="仿宋_GB2312" w:cs="宋体"/>
          <w:kern w:val="0"/>
          <w:szCs w:val="32"/>
          <w:lang w:eastAsia="zh-CN"/>
        </w:rPr>
        <w:t>一</w:t>
      </w:r>
      <w:r>
        <w:rPr>
          <w:rFonts w:hint="eastAsia" w:ascii="仿宋_GB2312" w:cs="宋体"/>
          <w:kern w:val="0"/>
          <w:szCs w:val="32"/>
        </w:rPr>
        <w:t>）严格落实废气污染防治措施。项目</w:t>
      </w:r>
      <w:r>
        <w:rPr>
          <w:rFonts w:hint="eastAsia" w:ascii="仿宋_GB2312" w:cs="宋体"/>
          <w:kern w:val="0"/>
          <w:szCs w:val="32"/>
          <w:lang w:eastAsia="zh-CN"/>
        </w:rPr>
        <w:t>施工</w:t>
      </w:r>
      <w:r>
        <w:rPr>
          <w:rFonts w:hint="eastAsia" w:ascii="仿宋_GB2312" w:cs="宋体"/>
          <w:kern w:val="0"/>
          <w:szCs w:val="32"/>
        </w:rPr>
        <w:t>期使用达标油品，加强设备维护；试油期产生的伴生气，经排气管线充分燃烧后排放；加强车辆管理，避免大风时作业</w:t>
      </w:r>
      <w:r>
        <w:rPr>
          <w:rFonts w:hint="eastAsia" w:ascii="仿宋_GB2312" w:cs="宋体"/>
          <w:kern w:val="0"/>
          <w:szCs w:val="32"/>
          <w:lang w:eastAsia="zh-CN"/>
        </w:rPr>
        <w:t>，废气排放满足《大气污染物综合排放标准》（GB16297-1996）标准限值要求。试油期非甲烷总烃排放满足《陆上石油天然气开采工业大气污染物排放标准》（GB39728-2020）标准限值要求。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rPr>
      </w:pPr>
      <w:r>
        <w:rPr>
          <w:rFonts w:hint="eastAsia" w:ascii="仿宋_GB2312" w:cs="宋体"/>
          <w:kern w:val="0"/>
          <w:szCs w:val="32"/>
        </w:rPr>
        <w:t>（</w:t>
      </w:r>
      <w:r>
        <w:rPr>
          <w:rFonts w:hint="eastAsia" w:ascii="仿宋_GB2312" w:cs="宋体"/>
          <w:kern w:val="0"/>
          <w:szCs w:val="32"/>
          <w:lang w:eastAsia="zh-CN"/>
        </w:rPr>
        <w:t>二</w:t>
      </w:r>
      <w:r>
        <w:rPr>
          <w:rFonts w:hint="eastAsia" w:ascii="仿宋_GB2312" w:cs="宋体"/>
          <w:kern w:val="0"/>
          <w:szCs w:val="32"/>
        </w:rPr>
        <w:t>）落实水污染防治措施。项目</w:t>
      </w:r>
      <w:r>
        <w:rPr>
          <w:rFonts w:hint="eastAsia" w:ascii="仿宋_GB2312" w:cs="宋体"/>
          <w:kern w:val="0"/>
          <w:szCs w:val="32"/>
          <w:lang w:eastAsia="zh-CN"/>
        </w:rPr>
        <w:t>施工期</w:t>
      </w:r>
      <w:r>
        <w:rPr>
          <w:rFonts w:hint="eastAsia" w:ascii="仿宋_GB2312" w:cs="宋体"/>
          <w:kern w:val="0"/>
          <w:szCs w:val="32"/>
        </w:rPr>
        <w:t>生活污水经临时防渗收集池收集和暂存，定期由吸污车拉运至吐鲁番市高昌区生活污水处理厂；洗井废水和压裂返排液收集至专用储罐后由罐车拉运至神泉联合站的污水处理系统处理。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lang w:eastAsia="zh-CN"/>
        </w:rPr>
      </w:pPr>
      <w:r>
        <w:rPr>
          <w:rFonts w:hint="eastAsia" w:ascii="仿宋_GB2312" w:cs="宋体"/>
          <w:kern w:val="0"/>
          <w:szCs w:val="32"/>
        </w:rPr>
        <w:t>（</w:t>
      </w:r>
      <w:r>
        <w:rPr>
          <w:rFonts w:hint="eastAsia" w:ascii="仿宋_GB2312" w:cs="宋体"/>
          <w:kern w:val="0"/>
          <w:szCs w:val="32"/>
          <w:lang w:eastAsia="zh-CN"/>
        </w:rPr>
        <w:t>三</w:t>
      </w:r>
      <w:r>
        <w:rPr>
          <w:rFonts w:hint="eastAsia" w:ascii="仿宋_GB2312" w:cs="宋体"/>
          <w:kern w:val="0"/>
          <w:szCs w:val="32"/>
        </w:rPr>
        <w:t>）落实固体废物污染防治措施。项目</w:t>
      </w:r>
      <w:r>
        <w:rPr>
          <w:rFonts w:hint="eastAsia" w:ascii="仿宋_GB2312" w:cs="宋体"/>
          <w:kern w:val="0"/>
          <w:szCs w:val="32"/>
          <w:lang w:eastAsia="zh-CN"/>
        </w:rPr>
        <w:t>施工</w:t>
      </w:r>
      <w:r>
        <w:rPr>
          <w:rFonts w:hint="eastAsia" w:ascii="仿宋_GB2312" w:cs="宋体"/>
          <w:kern w:val="0"/>
          <w:szCs w:val="32"/>
        </w:rPr>
        <w:t>期产生</w:t>
      </w:r>
      <w:r>
        <w:rPr>
          <w:rFonts w:hint="eastAsia" w:ascii="仿宋_GB2312" w:cs="宋体"/>
          <w:kern w:val="0"/>
          <w:szCs w:val="32"/>
          <w:lang w:eastAsia="zh-CN"/>
        </w:rPr>
        <w:t>水基钻井岩屑经钻井液不落地设备处理后，检测各项因子均满足《油气田钻井固体废物综合利用污染控制要求》（DB65/T3997-2017）相关要求后部分用于铺垫井场、修筑井场道路，部分送至</w:t>
      </w:r>
      <w:r>
        <w:rPr>
          <w:rFonts w:hint="eastAsia" w:ascii="仿宋_GB2312" w:cs="宋体"/>
          <w:kern w:val="0"/>
          <w:szCs w:val="32"/>
          <w:lang w:val="en-US" w:eastAsia="zh-CN"/>
        </w:rPr>
        <w:t>葡北</w:t>
      </w:r>
      <w:r>
        <w:rPr>
          <w:rFonts w:hint="eastAsia" w:ascii="仿宋_GB2312" w:cs="宋体"/>
          <w:kern w:val="0"/>
          <w:szCs w:val="32"/>
          <w:lang w:eastAsia="zh-CN"/>
        </w:rPr>
        <w:t>废渣场；生活垃圾集中收集后定期清运至吐鲁番市生活垃圾填埋场处置。一般固废管理执行《一般工业固体废物贮存和填埋污染控制标准》（GB18599-2020）标准要求；</w:t>
      </w:r>
      <w:r>
        <w:rPr>
          <w:b w:val="0"/>
          <w:bCs w:val="0"/>
          <w:color w:val="000000" w:themeColor="text1"/>
          <w14:textFill>
            <w14:solidFill>
              <w14:schemeClr w14:val="tx1"/>
            </w14:solidFill>
          </w14:textFill>
        </w:rPr>
        <w:t>落地油100%回收</w:t>
      </w:r>
      <w:r>
        <w:rPr>
          <w:rFonts w:hint="eastAsia"/>
          <w:b w:val="0"/>
          <w:bCs w:val="0"/>
          <w:color w:val="000000" w:themeColor="text1"/>
          <w14:textFill>
            <w14:solidFill>
              <w14:schemeClr w14:val="tx1"/>
            </w14:solidFill>
          </w14:textFill>
        </w:rPr>
        <w:t>，定期拉运至葡北废渣场贮存，后期交由有资质的单位处置</w:t>
      </w:r>
      <w:r>
        <w:rPr>
          <w:rFonts w:hint="eastAsia"/>
          <w:b w:val="0"/>
          <w:bCs w:val="0"/>
          <w:color w:val="000000" w:themeColor="text1"/>
          <w:lang w:eastAsia="zh-CN"/>
          <w14:textFill>
            <w14:solidFill>
              <w14:schemeClr w14:val="tx1"/>
            </w14:solidFill>
          </w14:textFill>
        </w:rPr>
        <w:t>；</w:t>
      </w:r>
      <w:r>
        <w:rPr>
          <w:rFonts w:hint="eastAsia" w:ascii="仿宋_GB2312" w:cs="宋体"/>
          <w:kern w:val="0"/>
          <w:szCs w:val="32"/>
          <w:lang w:eastAsia="zh-CN"/>
        </w:rPr>
        <w:t>未沾油防渗材料由施工单位集中回收利用，沾油的废防渗材料委托具有相应危险废物处置资质的单位进行处置。危险废物的管理应满足《危险废物贮存污染控制标准》（GB18597-2023）、《危险废物收集贮存运输技术规范》（HJ2025-2012）及《危险废物转移管理办法》（部令第23号）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32"/>
          <w:lang w:eastAsia="zh-CN"/>
        </w:rPr>
      </w:pPr>
      <w:r>
        <w:rPr>
          <w:rFonts w:hint="eastAsia" w:ascii="仿宋_GB2312" w:cs="宋体"/>
          <w:szCs w:val="32"/>
        </w:rPr>
        <w:t>（</w:t>
      </w:r>
      <w:r>
        <w:rPr>
          <w:rFonts w:hint="eastAsia" w:ascii="仿宋_GB2312" w:cs="宋体"/>
          <w:szCs w:val="32"/>
          <w:lang w:eastAsia="zh-CN"/>
        </w:rPr>
        <w:t>四</w:t>
      </w:r>
      <w:r>
        <w:rPr>
          <w:rFonts w:hint="eastAsia" w:ascii="仿宋_GB2312" w:cs="宋体"/>
          <w:szCs w:val="32"/>
        </w:rPr>
        <w:t>）</w:t>
      </w:r>
      <w:r>
        <w:rPr>
          <w:rFonts w:hint="eastAsia" w:ascii="仿宋_GB2312"/>
          <w:szCs w:val="32"/>
        </w:rPr>
        <w:t>落实噪声防治措施。</w:t>
      </w:r>
      <w:r>
        <w:rPr>
          <w:rFonts w:hint="eastAsia" w:ascii="仿宋_GB2312"/>
          <w:szCs w:val="32"/>
          <w:lang w:val="en-US" w:eastAsia="zh-CN"/>
        </w:rPr>
        <w:t>项目应</w:t>
      </w:r>
      <w:r>
        <w:rPr>
          <w:rFonts w:hint="eastAsia" w:ascii="仿宋_GB2312"/>
          <w:szCs w:val="32"/>
        </w:rPr>
        <w:t>采用吸声、隔声、减震等防护措施，</w:t>
      </w:r>
      <w:r>
        <w:rPr>
          <w:rFonts w:hint="eastAsia" w:ascii="仿宋_GB2312"/>
          <w:szCs w:val="32"/>
          <w:lang w:eastAsia="zh-CN"/>
        </w:rPr>
        <w:t>施工期井场噪声满足</w:t>
      </w:r>
      <w:r>
        <w:rPr>
          <w:rFonts w:hint="eastAsia" w:ascii="仿宋_GB2312"/>
          <w:szCs w:val="32"/>
        </w:rPr>
        <w:t>《建筑施工场界环境噪声排放标准》（GB12523-2011）标准</w:t>
      </w:r>
      <w:r>
        <w:rPr>
          <w:rFonts w:hint="eastAsia" w:ascii="仿宋_GB2312"/>
          <w:szCs w:val="32"/>
          <w:lang w:eastAsia="zh-CN"/>
        </w:rPr>
        <w:t>要求</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szCs w:val="32"/>
          <w:lang w:eastAsia="zh-CN"/>
        </w:rPr>
        <w:t>（五）加强生态环境保护。</w:t>
      </w:r>
      <w:r>
        <w:rPr>
          <w:rFonts w:hint="eastAsia" w:ascii="仿宋_GB2312"/>
          <w:szCs w:val="32"/>
          <w:lang w:val="en-US" w:eastAsia="zh-CN"/>
        </w:rPr>
        <w:t>项目</w:t>
      </w:r>
      <w:r>
        <w:rPr>
          <w:rFonts w:hint="eastAsia" w:ascii="仿宋_GB2312"/>
          <w:szCs w:val="32"/>
          <w:lang w:eastAsia="zh-CN"/>
        </w:rPr>
        <w:t>施工期严格划定路线，禁止乱碾乱轧；确保各环保设施正常运行，避免各种污染物对土壤环境的影响；严格控制占地，严格规定各类工作人员的活动范围；完井后施工机械、设备及时撤离，废水和固体废物全部妥善处置，现场禁止遗留；建设单位按照相关要求办理临时占地经济补偿协议；施工结束后及时对场地进行清理、平整并压实。</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w:t>
      </w:r>
      <w:r>
        <w:rPr>
          <w:rFonts w:hint="eastAsia" w:ascii="仿宋_GB2312"/>
          <w:szCs w:val="32"/>
          <w:lang w:eastAsia="zh-CN"/>
        </w:rPr>
        <w:t>六</w:t>
      </w:r>
      <w:r>
        <w:rPr>
          <w:rFonts w:hint="eastAsia" w:ascii="仿宋_GB2312"/>
          <w:szCs w:val="32"/>
        </w:rPr>
        <w:t>）建立严格的环境管理体系。</w:t>
      </w:r>
      <w:r>
        <w:rPr>
          <w:rFonts w:hint="eastAsia" w:ascii="仿宋_GB2312"/>
          <w:szCs w:val="32"/>
          <w:lang w:val="en-US" w:eastAsia="zh-CN"/>
        </w:rPr>
        <w:t>项目应</w:t>
      </w:r>
      <w:r>
        <w:rPr>
          <w:rFonts w:hint="eastAsia" w:ascii="仿宋_GB2312"/>
          <w:szCs w:val="32"/>
        </w:rPr>
        <w:t>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lang w:val="en-US" w:eastAsia="zh-CN"/>
        </w:rPr>
        <w:t>四</w:t>
      </w:r>
      <w:r>
        <w:rPr>
          <w:rFonts w:hint="eastAsia" w:ascii="仿宋_GB2312"/>
          <w:szCs w:val="32"/>
        </w:rPr>
        <w:t>、本项目</w:t>
      </w:r>
      <w:r>
        <w:rPr>
          <w:rFonts w:hint="eastAsia" w:ascii="仿宋_GB2312"/>
          <w:szCs w:val="32"/>
          <w:lang w:eastAsia="zh-CN"/>
        </w:rPr>
        <w:t>不设</w:t>
      </w:r>
      <w:r>
        <w:rPr>
          <w:rFonts w:hint="eastAsia" w:ascii="仿宋_GB2312"/>
          <w:szCs w:val="32"/>
        </w:rPr>
        <w:t>污染物总量控制指标。本项目在发生实际排污行为之前，</w:t>
      </w:r>
      <w:r>
        <w:rPr>
          <w:rFonts w:hint="eastAsia" w:ascii="仿宋_GB2312" w:hAnsi="仿宋_GB2312" w:cs="仿宋_GB2312"/>
          <w:szCs w:val="32"/>
        </w:rPr>
        <w:t>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lang w:val="en-US" w:eastAsia="zh-CN"/>
        </w:rPr>
        <w:t>五</w:t>
      </w:r>
      <w:r>
        <w:rPr>
          <w:rFonts w:hint="eastAsia" w:ascii="仿宋_GB2312"/>
          <w:szCs w:val="32"/>
        </w:rPr>
        <w:t>、本项目施工期和运营期的环境监督管理由</w:t>
      </w:r>
      <w:r>
        <w:rPr>
          <w:rFonts w:hint="eastAsia" w:ascii="仿宋_GB2312"/>
          <w:szCs w:val="32"/>
          <w:lang w:val="en-US" w:eastAsia="zh-CN"/>
        </w:rPr>
        <w:t>高昌区</w:t>
      </w:r>
      <w:r>
        <w:rPr>
          <w:rFonts w:hint="eastAsia" w:ascii="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szCs w:val="32"/>
        </w:rPr>
      </w:pPr>
      <w:r>
        <w:rPr>
          <w:rFonts w:hint="eastAsia" w:ascii="仿宋_GB2312"/>
          <w:szCs w:val="32"/>
          <w:lang w:val="en-US" w:eastAsia="zh-CN"/>
        </w:rPr>
        <w:t>六</w:t>
      </w:r>
      <w:r>
        <w:rPr>
          <w:rFonts w:hint="eastAsia" w:ascii="仿宋_GB2312"/>
          <w:szCs w:val="32"/>
        </w:rPr>
        <w:t>、</w:t>
      </w:r>
      <w:r>
        <w:rPr>
          <w:rFonts w:hint="eastAsia" w:ascii="仿宋_GB2312" w:hAnsi="仿宋_GB2312" w:cs="仿宋_GB2312"/>
          <w:szCs w:val="32"/>
        </w:rPr>
        <w:t>你公司应在收到本批复后20个工作日内，将批准后的《报告表》分送至</w:t>
      </w:r>
      <w:r>
        <w:rPr>
          <w:rFonts w:hint="eastAsia" w:ascii="仿宋_GB2312" w:hAnsi="仿宋_GB2312" w:cs="仿宋_GB2312"/>
          <w:szCs w:val="32"/>
          <w:lang w:val="en-US" w:eastAsia="zh-CN"/>
        </w:rPr>
        <w:t>高昌区</w:t>
      </w:r>
      <w:r>
        <w:rPr>
          <w:rFonts w:hint="eastAsia" w:ascii="仿宋_GB2312"/>
          <w:szCs w:val="32"/>
        </w:rPr>
        <w:t>分局</w:t>
      </w:r>
      <w:r>
        <w:rPr>
          <w:rFonts w:hint="eastAsia" w:ascii="仿宋_GB2312" w:hAnsi="仿宋_GB2312" w:cs="仿宋_GB2312"/>
          <w:szCs w:val="32"/>
        </w:rPr>
        <w:t xml:space="preserve">，并按规定接受各级生态环境主管部门的监督检查。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bookmarkStart w:id="0" w:name="_GoBack"/>
      <w:bookmarkEnd w:id="0"/>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20</w:t>
      </w:r>
      <w:r>
        <w:rPr>
          <w:rFonts w:hint="eastAsia" w:ascii="仿宋_GB2312" w:hAnsi="仿宋_GB2312" w:cs="仿宋_GB231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r>
        <w:rPr>
          <w:rFonts w:hint="eastAsia" w:ascii="仿宋_GB2312" w:hAnsi="仿宋_GB2312" w:cs="仿宋_GB2312"/>
          <w:szCs w:val="32"/>
        </w:rPr>
        <w:t>抄送：</w:t>
      </w:r>
      <w:r>
        <w:rPr>
          <w:rFonts w:hint="eastAsia" w:ascii="仿宋_GB2312" w:hAnsi="仿宋_GB2312" w:cs="仿宋_GB2312"/>
          <w:szCs w:val="32"/>
          <w:lang w:eastAsia="zh-CN"/>
        </w:rPr>
        <w:t>吐鲁番</w:t>
      </w:r>
      <w:r>
        <w:rPr>
          <w:rFonts w:hint="eastAsia" w:ascii="仿宋_GB2312" w:hAnsi="仿宋_GB2312" w:cs="仿宋_GB2312"/>
          <w:spacing w:val="-20"/>
          <w:szCs w:val="32"/>
        </w:rPr>
        <w:t>市生态环境局</w:t>
      </w:r>
      <w:r>
        <w:rPr>
          <w:rFonts w:hint="eastAsia" w:ascii="仿宋_GB2312" w:hAnsi="仿宋_GB2312" w:cs="仿宋_GB2312"/>
          <w:spacing w:val="-20"/>
          <w:szCs w:val="32"/>
          <w:lang w:val="en-US" w:eastAsia="zh-CN"/>
        </w:rPr>
        <w:t>高昌区</w:t>
      </w:r>
      <w:r>
        <w:rPr>
          <w:rFonts w:hint="eastAsia" w:ascii="仿宋_GB2312" w:hAnsi="仿宋_GB2312" w:cs="仿宋_GB2312"/>
          <w:spacing w:val="-20"/>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E0511A8"/>
    <w:rsid w:val="0E21123B"/>
    <w:rsid w:val="0EDB39A1"/>
    <w:rsid w:val="0EF0248D"/>
    <w:rsid w:val="0F31473F"/>
    <w:rsid w:val="0F925C73"/>
    <w:rsid w:val="100F372D"/>
    <w:rsid w:val="10E8147E"/>
    <w:rsid w:val="110B2B14"/>
    <w:rsid w:val="113B2E9C"/>
    <w:rsid w:val="11471B69"/>
    <w:rsid w:val="11D83C50"/>
    <w:rsid w:val="13871C6A"/>
    <w:rsid w:val="14132147"/>
    <w:rsid w:val="14F34426"/>
    <w:rsid w:val="159535B3"/>
    <w:rsid w:val="15E82E53"/>
    <w:rsid w:val="16276BA3"/>
    <w:rsid w:val="170744E6"/>
    <w:rsid w:val="17680846"/>
    <w:rsid w:val="17F51B4E"/>
    <w:rsid w:val="18202BA6"/>
    <w:rsid w:val="18677510"/>
    <w:rsid w:val="1881634D"/>
    <w:rsid w:val="1A910094"/>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284BE7"/>
    <w:rsid w:val="265C67D3"/>
    <w:rsid w:val="274E23CA"/>
    <w:rsid w:val="2771557E"/>
    <w:rsid w:val="280244F4"/>
    <w:rsid w:val="2843212B"/>
    <w:rsid w:val="28814A83"/>
    <w:rsid w:val="28B279B4"/>
    <w:rsid w:val="28DB0A41"/>
    <w:rsid w:val="29FF142C"/>
    <w:rsid w:val="2AEA33A3"/>
    <w:rsid w:val="2B0D1D89"/>
    <w:rsid w:val="2B297934"/>
    <w:rsid w:val="2B522706"/>
    <w:rsid w:val="2BA50779"/>
    <w:rsid w:val="2BB541BF"/>
    <w:rsid w:val="2C677E7C"/>
    <w:rsid w:val="2D081019"/>
    <w:rsid w:val="2D155DE9"/>
    <w:rsid w:val="2D1B099D"/>
    <w:rsid w:val="2D46550B"/>
    <w:rsid w:val="2D99774B"/>
    <w:rsid w:val="2E884E15"/>
    <w:rsid w:val="2E8C1473"/>
    <w:rsid w:val="2EE02CED"/>
    <w:rsid w:val="2F5940C6"/>
    <w:rsid w:val="30034B0E"/>
    <w:rsid w:val="303B31BD"/>
    <w:rsid w:val="30DC6DFC"/>
    <w:rsid w:val="3301756A"/>
    <w:rsid w:val="33102644"/>
    <w:rsid w:val="339207B1"/>
    <w:rsid w:val="34B50EE4"/>
    <w:rsid w:val="356F2FDD"/>
    <w:rsid w:val="36F4783D"/>
    <w:rsid w:val="377203B8"/>
    <w:rsid w:val="37FF78CB"/>
    <w:rsid w:val="38A25E40"/>
    <w:rsid w:val="38A62207"/>
    <w:rsid w:val="39456A46"/>
    <w:rsid w:val="39AE6358"/>
    <w:rsid w:val="3B801C20"/>
    <w:rsid w:val="3BB12285"/>
    <w:rsid w:val="3C783F36"/>
    <w:rsid w:val="3C9A7261"/>
    <w:rsid w:val="3CE12F4D"/>
    <w:rsid w:val="3D123278"/>
    <w:rsid w:val="3D306D49"/>
    <w:rsid w:val="3D9F41EB"/>
    <w:rsid w:val="3E0A3243"/>
    <w:rsid w:val="3E69770C"/>
    <w:rsid w:val="3F764CA9"/>
    <w:rsid w:val="3FF95F26"/>
    <w:rsid w:val="408F0DDD"/>
    <w:rsid w:val="414D5F20"/>
    <w:rsid w:val="419C2F68"/>
    <w:rsid w:val="41D31183"/>
    <w:rsid w:val="42AD47DE"/>
    <w:rsid w:val="43D10B6C"/>
    <w:rsid w:val="43DB1093"/>
    <w:rsid w:val="442247E6"/>
    <w:rsid w:val="444530DF"/>
    <w:rsid w:val="44B72988"/>
    <w:rsid w:val="44D76B6A"/>
    <w:rsid w:val="45232E60"/>
    <w:rsid w:val="452D416E"/>
    <w:rsid w:val="454145FF"/>
    <w:rsid w:val="45C717F4"/>
    <w:rsid w:val="46C819FD"/>
    <w:rsid w:val="46EB5F4B"/>
    <w:rsid w:val="475C24EB"/>
    <w:rsid w:val="476834A9"/>
    <w:rsid w:val="478168F7"/>
    <w:rsid w:val="484F7E61"/>
    <w:rsid w:val="485727E6"/>
    <w:rsid w:val="48BC3CB4"/>
    <w:rsid w:val="492C6C09"/>
    <w:rsid w:val="4B27785C"/>
    <w:rsid w:val="4B3F3CD1"/>
    <w:rsid w:val="4B7D2042"/>
    <w:rsid w:val="4CCE3A8F"/>
    <w:rsid w:val="4D924016"/>
    <w:rsid w:val="4DFB264D"/>
    <w:rsid w:val="4E2B1980"/>
    <w:rsid w:val="4E887C97"/>
    <w:rsid w:val="502E4CE4"/>
    <w:rsid w:val="5036491C"/>
    <w:rsid w:val="51AA321A"/>
    <w:rsid w:val="51BB5F74"/>
    <w:rsid w:val="51D30789"/>
    <w:rsid w:val="51FC3859"/>
    <w:rsid w:val="529761EA"/>
    <w:rsid w:val="52B81A73"/>
    <w:rsid w:val="53130FEB"/>
    <w:rsid w:val="536F179E"/>
    <w:rsid w:val="53A02794"/>
    <w:rsid w:val="53A551A0"/>
    <w:rsid w:val="5411106D"/>
    <w:rsid w:val="543D7B60"/>
    <w:rsid w:val="551C59CE"/>
    <w:rsid w:val="55803AC7"/>
    <w:rsid w:val="56AE3064"/>
    <w:rsid w:val="584C73F4"/>
    <w:rsid w:val="585D60C3"/>
    <w:rsid w:val="58693CF0"/>
    <w:rsid w:val="58E05BE3"/>
    <w:rsid w:val="58E6094E"/>
    <w:rsid w:val="59454242"/>
    <w:rsid w:val="59962476"/>
    <w:rsid w:val="5A2140DC"/>
    <w:rsid w:val="5A3D61AC"/>
    <w:rsid w:val="5B920B35"/>
    <w:rsid w:val="5B9447E3"/>
    <w:rsid w:val="5BA04C44"/>
    <w:rsid w:val="5C6A7016"/>
    <w:rsid w:val="5CD45920"/>
    <w:rsid w:val="5D541F57"/>
    <w:rsid w:val="5E1A3D21"/>
    <w:rsid w:val="5F634B38"/>
    <w:rsid w:val="5FD70968"/>
    <w:rsid w:val="601D2D07"/>
    <w:rsid w:val="604D14A3"/>
    <w:rsid w:val="606377EC"/>
    <w:rsid w:val="60907D75"/>
    <w:rsid w:val="61455B72"/>
    <w:rsid w:val="62720811"/>
    <w:rsid w:val="62CA45A2"/>
    <w:rsid w:val="63546188"/>
    <w:rsid w:val="63B13956"/>
    <w:rsid w:val="6422105A"/>
    <w:rsid w:val="644E2D40"/>
    <w:rsid w:val="64572442"/>
    <w:rsid w:val="647B64A1"/>
    <w:rsid w:val="64E243FC"/>
    <w:rsid w:val="653E05DE"/>
    <w:rsid w:val="668D671F"/>
    <w:rsid w:val="67911F69"/>
    <w:rsid w:val="67D15A5F"/>
    <w:rsid w:val="67E9565E"/>
    <w:rsid w:val="6832145A"/>
    <w:rsid w:val="68E13002"/>
    <w:rsid w:val="692F4B2D"/>
    <w:rsid w:val="6A1324A1"/>
    <w:rsid w:val="6AF46054"/>
    <w:rsid w:val="6B1C21F3"/>
    <w:rsid w:val="6BA60F2C"/>
    <w:rsid w:val="6C9524DD"/>
    <w:rsid w:val="6D6B00E5"/>
    <w:rsid w:val="6D794D48"/>
    <w:rsid w:val="6DC721AC"/>
    <w:rsid w:val="6E691593"/>
    <w:rsid w:val="6E9804E8"/>
    <w:rsid w:val="6EDA6267"/>
    <w:rsid w:val="6EE75EE6"/>
    <w:rsid w:val="6F241191"/>
    <w:rsid w:val="6F686FC6"/>
    <w:rsid w:val="6FB5098B"/>
    <w:rsid w:val="70963436"/>
    <w:rsid w:val="715F724B"/>
    <w:rsid w:val="71BF4634"/>
    <w:rsid w:val="736F49C4"/>
    <w:rsid w:val="73FA40C7"/>
    <w:rsid w:val="74D95E13"/>
    <w:rsid w:val="74DA7762"/>
    <w:rsid w:val="74E760B5"/>
    <w:rsid w:val="750503BE"/>
    <w:rsid w:val="751172B8"/>
    <w:rsid w:val="75F33E51"/>
    <w:rsid w:val="764A076A"/>
    <w:rsid w:val="77427A58"/>
    <w:rsid w:val="776F4AC7"/>
    <w:rsid w:val="77CE0ABB"/>
    <w:rsid w:val="78541493"/>
    <w:rsid w:val="78A25126"/>
    <w:rsid w:val="78D554E1"/>
    <w:rsid w:val="7A004F1D"/>
    <w:rsid w:val="7A7244D9"/>
    <w:rsid w:val="7B9C6D7F"/>
    <w:rsid w:val="7BE8608C"/>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27"/>
    <w:qFormat/>
    <w:uiPriority w:val="0"/>
    <w:pPr>
      <w:keepNext/>
      <w:keepLines/>
      <w:spacing w:line="576" w:lineRule="auto"/>
      <w:outlineLvl w:val="0"/>
    </w:pPr>
    <w:rPr>
      <w:b/>
      <w:kern w:val="44"/>
      <w:sz w:val="44"/>
    </w:rPr>
  </w:style>
  <w:style w:type="paragraph" w:styleId="6">
    <w:name w:val="heading 3"/>
    <w:basedOn w:val="1"/>
    <w:next w:val="1"/>
    <w:autoRedefine/>
    <w:qFormat/>
    <w:uiPriority w:val="0"/>
    <w:pPr>
      <w:keepNext/>
      <w:keepLines/>
      <w:spacing w:before="260" w:after="260" w:line="416" w:lineRule="auto"/>
      <w:outlineLvl w:val="2"/>
    </w:pPr>
    <w:rPr>
      <w:b/>
      <w:bCs/>
      <w:szCs w:val="32"/>
    </w:rPr>
  </w:style>
  <w:style w:type="paragraph" w:styleId="7">
    <w:name w:val="heading 4"/>
    <w:basedOn w:val="1"/>
    <w:next w:val="1"/>
    <w:unhideWhenUsed/>
    <w:qFormat/>
    <w:uiPriority w:val="0"/>
    <w:pPr>
      <w:keepNext/>
      <w:keepLines/>
      <w:jc w:val="left"/>
      <w:outlineLvl w:val="3"/>
    </w:pPr>
    <w:rPr>
      <w:rFonts w:eastAsia="宋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next w:val="4"/>
    <w:autoRedefine/>
    <w:qFormat/>
    <w:uiPriority w:val="0"/>
    <w:pPr>
      <w:spacing w:line="360" w:lineRule="auto"/>
      <w:ind w:firstLine="495"/>
    </w:pPr>
    <w:rPr>
      <w:rFonts w:ascii="宋体" w:hAnsi="宋体"/>
      <w:sz w:val="24"/>
    </w:r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8">
    <w:name w:val="Normal Indent"/>
    <w:basedOn w:val="1"/>
    <w:autoRedefine/>
    <w:qFormat/>
    <w:uiPriority w:val="0"/>
    <w:pPr>
      <w:spacing w:line="240" w:lineRule="auto"/>
      <w:ind w:firstLine="420" w:firstLineChars="200"/>
    </w:pPr>
    <w:rPr>
      <w:rFonts w:ascii="宋体" w:hAnsi="宋体" w:cs="宋体" w:eastAsiaTheme="minorEastAsia"/>
      <w:sz w:val="21"/>
    </w:rPr>
  </w:style>
  <w:style w:type="paragraph" w:styleId="9">
    <w:name w:val="Body Text"/>
    <w:basedOn w:val="1"/>
    <w:link w:val="26"/>
    <w:autoRedefine/>
    <w:qFormat/>
    <w:uiPriority w:val="0"/>
    <w:pPr>
      <w:spacing w:after="120"/>
    </w:pPr>
  </w:style>
  <w:style w:type="paragraph" w:styleId="10">
    <w:name w:val="toc 3"/>
    <w:basedOn w:val="11"/>
    <w:next w:val="1"/>
    <w:autoRedefine/>
    <w:qFormat/>
    <w:uiPriority w:val="0"/>
    <w:pPr>
      <w:spacing w:line="240" w:lineRule="auto"/>
      <w:ind w:left="840" w:leftChars="400"/>
    </w:pPr>
    <w:rPr>
      <w:rFonts w:eastAsia="宋体"/>
      <w:sz w:val="21"/>
      <w:szCs w:val="20"/>
    </w:rPr>
  </w:style>
  <w:style w:type="paragraph" w:styleId="11">
    <w:name w:val="toc 1"/>
    <w:basedOn w:val="1"/>
    <w:next w:val="1"/>
    <w:autoRedefine/>
    <w:qFormat/>
    <w:uiPriority w:val="0"/>
  </w:style>
  <w:style w:type="paragraph" w:styleId="12">
    <w:name w:val="Plain Text"/>
    <w:basedOn w:val="1"/>
    <w:link w:val="34"/>
    <w:autoRedefine/>
    <w:qFormat/>
    <w:uiPriority w:val="0"/>
    <w:rPr>
      <w:rFonts w:ascii="宋体" w:hAnsi="Courier New" w:eastAsia="宋体" w:cs="Courier New"/>
      <w:sz w:val="21"/>
      <w:szCs w:val="21"/>
    </w:rPr>
  </w:style>
  <w:style w:type="paragraph" w:styleId="13">
    <w:name w:val="Date"/>
    <w:basedOn w:val="1"/>
    <w:next w:val="1"/>
    <w:autoRedefine/>
    <w:qFormat/>
    <w:uiPriority w:val="0"/>
    <w:pPr>
      <w:ind w:left="100" w:leftChars="2500"/>
    </w:pPr>
  </w:style>
  <w:style w:type="paragraph" w:styleId="14">
    <w:name w:val="Balloon Text"/>
    <w:basedOn w:val="1"/>
    <w:link w:val="31"/>
    <w:autoRedefine/>
    <w:qFormat/>
    <w:uiPriority w:val="0"/>
    <w:pPr>
      <w:spacing w:line="240" w:lineRule="auto"/>
    </w:pPr>
    <w:rPr>
      <w:sz w:val="18"/>
      <w:szCs w:val="18"/>
    </w:rPr>
  </w:style>
  <w:style w:type="paragraph" w:styleId="15">
    <w:name w:val="footer"/>
    <w:basedOn w:val="1"/>
    <w:link w:val="30"/>
    <w:autoRedefine/>
    <w:qFormat/>
    <w:uiPriority w:val="99"/>
    <w:pPr>
      <w:tabs>
        <w:tab w:val="center" w:pos="4153"/>
        <w:tab w:val="right" w:pos="8306"/>
      </w:tabs>
      <w:snapToGrid w:val="0"/>
      <w:jc w:val="left"/>
    </w:pPr>
    <w:rPr>
      <w:sz w:val="18"/>
      <w:szCs w:val="18"/>
    </w:rPr>
  </w:style>
  <w:style w:type="paragraph" w:styleId="16">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41"/>
    <w:autoRedefine/>
    <w:qFormat/>
    <w:uiPriority w:val="0"/>
    <w:pPr>
      <w:spacing w:before="240" w:after="60" w:line="480" w:lineRule="auto"/>
      <w:jc w:val="center"/>
      <w:outlineLvl w:val="0"/>
    </w:pPr>
    <w:rPr>
      <w:rFonts w:ascii="Cambria" w:hAnsi="Cambria" w:eastAsia="宋体"/>
      <w:b/>
      <w:bCs/>
      <w:szCs w:val="32"/>
    </w:rPr>
  </w:style>
  <w:style w:type="paragraph" w:styleId="18">
    <w:name w:val="Body Text First Indent"/>
    <w:basedOn w:val="9"/>
    <w:link w:val="37"/>
    <w:autoRedefine/>
    <w:qFormat/>
    <w:uiPriority w:val="0"/>
    <w:pPr>
      <w:ind w:firstLine="420" w:firstLineChars="100"/>
    </w:pPr>
  </w:style>
  <w:style w:type="character" w:styleId="21">
    <w:name w:val="page number"/>
    <w:basedOn w:val="20"/>
    <w:autoRedefine/>
    <w:qFormat/>
    <w:uiPriority w:val="0"/>
  </w:style>
  <w:style w:type="paragraph" w:customStyle="1" w:styleId="2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表格内"/>
    <w:basedOn w:val="1"/>
    <w:autoRedefine/>
    <w:qFormat/>
    <w:uiPriority w:val="0"/>
    <w:pPr>
      <w:spacing w:line="360" w:lineRule="exact"/>
      <w:jc w:val="center"/>
    </w:pPr>
    <w:rPr>
      <w:snapToGrid w:val="0"/>
      <w:szCs w:val="21"/>
    </w:rPr>
  </w:style>
  <w:style w:type="paragraph" w:styleId="24">
    <w:name w:val="List Paragraph"/>
    <w:basedOn w:val="1"/>
    <w:autoRedefine/>
    <w:qFormat/>
    <w:uiPriority w:val="34"/>
    <w:pPr>
      <w:ind w:firstLine="420" w:firstLineChars="200"/>
    </w:pPr>
  </w:style>
  <w:style w:type="character" w:customStyle="1" w:styleId="25">
    <w:name w:val="正文文本 Char"/>
    <w:basedOn w:val="20"/>
    <w:autoRedefine/>
    <w:qFormat/>
    <w:uiPriority w:val="0"/>
    <w:rPr>
      <w:kern w:val="2"/>
      <w:sz w:val="21"/>
      <w:szCs w:val="24"/>
    </w:rPr>
  </w:style>
  <w:style w:type="character" w:customStyle="1" w:styleId="26">
    <w:name w:val="正文文本 Char1"/>
    <w:basedOn w:val="20"/>
    <w:link w:val="9"/>
    <w:autoRedefine/>
    <w:qFormat/>
    <w:uiPriority w:val="0"/>
    <w:rPr>
      <w:kern w:val="2"/>
      <w:sz w:val="21"/>
      <w:szCs w:val="24"/>
    </w:rPr>
  </w:style>
  <w:style w:type="character" w:customStyle="1" w:styleId="27">
    <w:name w:val="标题 1 Char"/>
    <w:link w:val="5"/>
    <w:autoRedefine/>
    <w:qFormat/>
    <w:uiPriority w:val="0"/>
    <w:rPr>
      <w:b/>
      <w:kern w:val="44"/>
      <w:sz w:val="44"/>
    </w:rPr>
  </w:style>
  <w:style w:type="character" w:customStyle="1" w:styleId="28">
    <w:name w:val="样式 四号"/>
    <w:autoRedefine/>
    <w:qFormat/>
    <w:uiPriority w:val="0"/>
    <w:rPr>
      <w:sz w:val="28"/>
    </w:rPr>
  </w:style>
  <w:style w:type="character" w:customStyle="1" w:styleId="29">
    <w:name w:val="页眉 Char"/>
    <w:basedOn w:val="20"/>
    <w:link w:val="16"/>
    <w:autoRedefine/>
    <w:qFormat/>
    <w:uiPriority w:val="0"/>
    <w:rPr>
      <w:rFonts w:ascii="Times New Roman" w:hAnsi="Times New Roman" w:eastAsia="仿宋_GB2312"/>
      <w:kern w:val="2"/>
      <w:sz w:val="18"/>
      <w:szCs w:val="18"/>
    </w:rPr>
  </w:style>
  <w:style w:type="character" w:customStyle="1" w:styleId="30">
    <w:name w:val="页脚 Char"/>
    <w:basedOn w:val="20"/>
    <w:link w:val="15"/>
    <w:autoRedefine/>
    <w:qFormat/>
    <w:uiPriority w:val="99"/>
    <w:rPr>
      <w:rFonts w:ascii="Times New Roman" w:hAnsi="Times New Roman" w:eastAsia="仿宋_GB2312"/>
      <w:kern w:val="2"/>
      <w:sz w:val="18"/>
      <w:szCs w:val="18"/>
    </w:rPr>
  </w:style>
  <w:style w:type="character" w:customStyle="1" w:styleId="31">
    <w:name w:val="批注框文本 Char"/>
    <w:basedOn w:val="20"/>
    <w:link w:val="14"/>
    <w:autoRedefine/>
    <w:qFormat/>
    <w:uiPriority w:val="0"/>
    <w:rPr>
      <w:rFonts w:ascii="Times New Roman" w:hAnsi="Times New Roman" w:eastAsia="仿宋_GB2312"/>
      <w:kern w:val="2"/>
      <w:sz w:val="18"/>
      <w:szCs w:val="18"/>
    </w:rPr>
  </w:style>
  <w:style w:type="character" w:customStyle="1" w:styleId="32">
    <w:name w:val="报告书正文 Char"/>
    <w:link w:val="33"/>
    <w:autoRedefine/>
    <w:qFormat/>
    <w:uiPriority w:val="0"/>
    <w:rPr>
      <w:rFonts w:ascii="Times New Roman" w:hAnsi="Times New Roman"/>
      <w:sz w:val="24"/>
      <w:szCs w:val="21"/>
    </w:rPr>
  </w:style>
  <w:style w:type="paragraph" w:customStyle="1" w:styleId="33">
    <w:name w:val="报告书正文"/>
    <w:basedOn w:val="12"/>
    <w:link w:val="32"/>
    <w:autoRedefine/>
    <w:qFormat/>
    <w:uiPriority w:val="0"/>
    <w:pPr>
      <w:widowControl/>
      <w:spacing w:line="360" w:lineRule="auto"/>
      <w:ind w:firstLine="480" w:firstLineChars="200"/>
    </w:pPr>
    <w:rPr>
      <w:rFonts w:ascii="Times New Roman" w:hAnsi="Times New Roman" w:cs="Times New Roman"/>
      <w:kern w:val="0"/>
      <w:sz w:val="24"/>
    </w:rPr>
  </w:style>
  <w:style w:type="character" w:customStyle="1" w:styleId="34">
    <w:name w:val="纯文本 Char"/>
    <w:basedOn w:val="20"/>
    <w:link w:val="12"/>
    <w:autoRedefine/>
    <w:qFormat/>
    <w:uiPriority w:val="0"/>
    <w:rPr>
      <w:rFonts w:ascii="宋体" w:hAnsi="Courier New" w:cs="Courier New"/>
      <w:kern w:val="2"/>
      <w:sz w:val="21"/>
      <w:szCs w:val="21"/>
    </w:rPr>
  </w:style>
  <w:style w:type="character" w:customStyle="1" w:styleId="35">
    <w:name w:val="表内内容 Char Char"/>
    <w:link w:val="36"/>
    <w:autoRedefine/>
    <w:qFormat/>
    <w:uiPriority w:val="0"/>
    <w:rPr>
      <w:rFonts w:ascii="Times New Roman" w:hAnsi="Times New Roman"/>
      <w:kern w:val="2"/>
      <w:sz w:val="21"/>
      <w:szCs w:val="28"/>
    </w:rPr>
  </w:style>
  <w:style w:type="paragraph" w:customStyle="1" w:styleId="36">
    <w:name w:val="表内内容"/>
    <w:basedOn w:val="1"/>
    <w:link w:val="35"/>
    <w:autoRedefine/>
    <w:qFormat/>
    <w:uiPriority w:val="0"/>
    <w:pPr>
      <w:adjustRightInd w:val="0"/>
      <w:spacing w:line="240" w:lineRule="auto"/>
      <w:jc w:val="center"/>
    </w:pPr>
    <w:rPr>
      <w:rFonts w:eastAsia="宋体"/>
      <w:sz w:val="21"/>
      <w:szCs w:val="28"/>
    </w:rPr>
  </w:style>
  <w:style w:type="character" w:customStyle="1" w:styleId="37">
    <w:name w:val="正文首行缩进 Char"/>
    <w:basedOn w:val="26"/>
    <w:link w:val="18"/>
    <w:autoRedefine/>
    <w:qFormat/>
    <w:uiPriority w:val="0"/>
    <w:rPr>
      <w:rFonts w:ascii="Times New Roman" w:hAnsi="Times New Roman" w:eastAsia="仿宋_GB2312"/>
      <w:kern w:val="2"/>
      <w:sz w:val="32"/>
      <w:szCs w:val="24"/>
    </w:rPr>
  </w:style>
  <w:style w:type="character" w:customStyle="1" w:styleId="38">
    <w:name w:val="！正文 Char"/>
    <w:link w:val="39"/>
    <w:autoRedefine/>
    <w:qFormat/>
    <w:uiPriority w:val="0"/>
    <w:rPr>
      <w:rFonts w:ascii="Times New Roman" w:hAnsi="Times New Roman" w:eastAsia="Times New Roman"/>
      <w:sz w:val="24"/>
    </w:rPr>
  </w:style>
  <w:style w:type="paragraph" w:customStyle="1" w:styleId="39">
    <w:name w:val="！正文"/>
    <w:basedOn w:val="1"/>
    <w:link w:val="38"/>
    <w:autoRedefine/>
    <w:qFormat/>
    <w:uiPriority w:val="0"/>
    <w:pPr>
      <w:spacing w:line="360" w:lineRule="auto"/>
      <w:ind w:firstLine="643" w:firstLineChars="200"/>
    </w:pPr>
    <w:rPr>
      <w:rFonts w:eastAsia="Times New Roman"/>
      <w:kern w:val="0"/>
      <w:sz w:val="24"/>
      <w:szCs w:val="20"/>
    </w:rPr>
  </w:style>
  <w:style w:type="paragraph" w:customStyle="1" w:styleId="40">
    <w:name w:val="文本"/>
    <w:basedOn w:val="1"/>
    <w:autoRedefine/>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1">
    <w:name w:val="标题 Char"/>
    <w:link w:val="17"/>
    <w:autoRedefine/>
    <w:qFormat/>
    <w:uiPriority w:val="0"/>
    <w:rPr>
      <w:rFonts w:ascii="Cambria" w:hAnsi="Cambria"/>
      <w:b/>
      <w:bCs/>
      <w:kern w:val="2"/>
      <w:sz w:val="32"/>
      <w:szCs w:val="32"/>
    </w:rPr>
  </w:style>
  <w:style w:type="character" w:customStyle="1" w:styleId="42">
    <w:name w:val="标题 Char1"/>
    <w:basedOn w:val="20"/>
    <w:autoRedefine/>
    <w:qFormat/>
    <w:uiPriority w:val="0"/>
    <w:rPr>
      <w:rFonts w:asciiTheme="majorHAnsi" w:hAnsiTheme="majorHAnsi" w:cstheme="majorBidi"/>
      <w:b/>
      <w:bCs/>
      <w:kern w:val="2"/>
      <w:sz w:val="32"/>
      <w:szCs w:val="32"/>
    </w:rPr>
  </w:style>
  <w:style w:type="paragraph" w:customStyle="1" w:styleId="43">
    <w:name w:val="1-正文"/>
    <w:basedOn w:val="1"/>
    <w:autoRedefine/>
    <w:qFormat/>
    <w:uiPriority w:val="0"/>
    <w:pPr>
      <w:spacing w:line="360" w:lineRule="auto"/>
      <w:ind w:firstLine="200" w:firstLineChars="200"/>
    </w:pPr>
    <w:rPr>
      <w:rFonts w:eastAsia="宋体"/>
      <w:sz w:val="21"/>
      <w:szCs w:val="22"/>
    </w:rPr>
  </w:style>
  <w:style w:type="paragraph" w:customStyle="1" w:styleId="44">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1727</Words>
  <Characters>1853</Characters>
  <Lines>13</Lines>
  <Paragraphs>3</Paragraphs>
  <TotalTime>12</TotalTime>
  <ScaleCrop>false</ScaleCrop>
  <LinksUpToDate>false</LinksUpToDate>
  <CharactersWithSpaces>1921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2023-03-16T08:24:00Z</cp:lastPrinted>
  <dcterms:modified xsi:type="dcterms:W3CDTF">2024-02-20T09:56:12Z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A608FFE649B7498BBA55D2AF66512836_13</vt:lpwstr>
  </property>
</Properties>
</file>