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p>
    <w:p>
      <w:pPr>
        <w:pageBreakBefore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p>
    <w:p>
      <w:pPr>
        <w:pageBreakBefore w:val="0"/>
        <w:kinsoku/>
        <w:wordWrap/>
        <w:overflowPunct/>
        <w:topLinePunct w:val="0"/>
        <w:autoSpaceDE/>
        <w:autoSpaceDN/>
        <w:bidi w:val="0"/>
        <w:adjustRightInd/>
        <w:snapToGrid/>
        <w:spacing w:line="560" w:lineRule="exact"/>
        <w:ind w:firstLine="5120" w:firstLineChars="1600"/>
        <w:textAlignment w:val="auto"/>
        <w:rPr>
          <w:rFonts w:ascii="仿宋_GB2312"/>
          <w:szCs w:val="32"/>
        </w:rPr>
      </w:pPr>
      <w:r>
        <w:rPr>
          <w:rFonts w:hint="eastAsia" w:ascii="仿宋_GB2312"/>
          <w:szCs w:val="32"/>
        </w:rPr>
        <w:t>吐市环监函〔202</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14</w:t>
      </w:r>
      <w:r>
        <w:rPr>
          <w:rFonts w:hint="eastAsia" w:ascii="仿宋_GB2312"/>
          <w:szCs w:val="32"/>
        </w:rPr>
        <w:t>号</w:t>
      </w:r>
    </w:p>
    <w:p>
      <w:pPr>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bCs/>
          <w:color w:val="000000"/>
          <w:spacing w:val="-6"/>
          <w:sz w:val="44"/>
          <w:szCs w:val="44"/>
        </w:rPr>
      </w:pPr>
    </w:p>
    <w:p>
      <w:pPr>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000000"/>
          <w:spacing w:val="-6"/>
          <w:sz w:val="44"/>
          <w:szCs w:val="44"/>
          <w:lang w:val="de-DE" w:eastAsia="zh-CN"/>
        </w:rPr>
      </w:pPr>
      <w:r>
        <w:rPr>
          <w:rFonts w:hint="eastAsia" w:ascii="方正小标宋简体" w:hAnsi="方正小标宋简体" w:eastAsia="方正小标宋简体" w:cs="方正小标宋简体"/>
          <w:bCs/>
          <w:color w:val="000000"/>
          <w:spacing w:val="-6"/>
          <w:sz w:val="44"/>
          <w:szCs w:val="44"/>
        </w:rPr>
        <w:t>关于</w:t>
      </w:r>
      <w:r>
        <w:rPr>
          <w:rFonts w:hint="eastAsia" w:ascii="方正小标宋简体" w:hAnsi="方正小标宋简体" w:eastAsia="方正小标宋简体" w:cs="方正小标宋简体"/>
          <w:bCs/>
          <w:color w:val="000000"/>
          <w:spacing w:val="-6"/>
          <w:sz w:val="44"/>
          <w:szCs w:val="44"/>
          <w:lang w:val="de-DE" w:eastAsia="zh-CN"/>
        </w:rPr>
        <w:t>新疆金汇天成矿业有限公司新疆托克逊县阿拉沟南部水泥用石灰岩矿一区项目</w:t>
      </w:r>
    </w:p>
    <w:p>
      <w:pPr>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环境影响报告表的批复</w:t>
      </w:r>
    </w:p>
    <w:p>
      <w:pPr>
        <w:pStyle w:val="16"/>
        <w:pageBreakBefore w:val="0"/>
        <w:kinsoku/>
        <w:wordWrap/>
        <w:overflowPunct/>
        <w:topLinePunct w:val="0"/>
        <w:autoSpaceDE/>
        <w:autoSpaceDN/>
        <w:bidi w:val="0"/>
        <w:adjustRightInd/>
        <w:snapToGrid/>
        <w:spacing w:after="0" w:line="560" w:lineRule="exact"/>
        <w:ind w:firstLine="320"/>
        <w:textAlignment w:val="auto"/>
      </w:pPr>
    </w:p>
    <w:p>
      <w:pPr>
        <w:pageBreakBefore w:val="0"/>
        <w:kinsoku/>
        <w:wordWrap/>
        <w:overflowPunct/>
        <w:topLinePunct w:val="0"/>
        <w:autoSpaceDE/>
        <w:autoSpaceDN/>
        <w:bidi w:val="0"/>
        <w:adjustRightInd/>
        <w:snapToGrid/>
        <w:spacing w:line="560" w:lineRule="exact"/>
        <w:jc w:val="left"/>
        <w:textAlignment w:val="auto"/>
        <w:rPr>
          <w:rFonts w:ascii="仿宋_GB2312"/>
          <w:szCs w:val="32"/>
        </w:rPr>
      </w:pPr>
      <w:r>
        <w:rPr>
          <w:rFonts w:hint="eastAsia" w:ascii="仿宋_GB2312"/>
          <w:szCs w:val="32"/>
        </w:rPr>
        <w:t>新疆金汇天成矿业有限公司：</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szCs w:val="32"/>
        </w:rPr>
      </w:pPr>
      <w:r>
        <w:rPr>
          <w:rFonts w:hint="eastAsia" w:ascii="仿宋_GB2312"/>
          <w:szCs w:val="32"/>
        </w:rPr>
        <w:t>你单位《关于&lt;新疆金汇天成矿业有限公司</w:t>
      </w:r>
      <w:r>
        <w:rPr>
          <w:rFonts w:hint="eastAsia"/>
          <w:szCs w:val="21"/>
        </w:rPr>
        <w:t>新疆托克逊县阿拉沟南部水泥用石灰岩矿一区项目</w:t>
      </w:r>
      <w:r>
        <w:rPr>
          <w:rFonts w:hint="eastAsia" w:ascii="仿宋_GB2312"/>
          <w:szCs w:val="32"/>
        </w:rPr>
        <w:t>环境影响报告表&gt;申请审批的请示》及相关附件收悉。经研究，批复如下：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rPr>
        <w:t>一、新疆金汇天成矿业有限公司</w:t>
      </w:r>
      <w:r>
        <w:rPr>
          <w:rFonts w:hint="eastAsia"/>
          <w:szCs w:val="21"/>
        </w:rPr>
        <w:t>新疆托克逊县阿拉沟南部水泥用石灰岩矿一区项目</w:t>
      </w:r>
      <w:r>
        <w:rPr>
          <w:rFonts w:hint="eastAsia" w:ascii="仿宋_GB2312"/>
          <w:szCs w:val="32"/>
        </w:rPr>
        <w:t>位于托克逊县</w:t>
      </w:r>
      <w:r>
        <w:rPr>
          <w:rFonts w:hint="eastAsia" w:ascii="仿宋_GB2312"/>
          <w:szCs w:val="32"/>
          <w:lang w:val="en-US" w:eastAsia="zh-CN"/>
        </w:rPr>
        <w:t>阿乐惠镇，在</w:t>
      </w:r>
      <w:r>
        <w:rPr>
          <w:rFonts w:hint="eastAsia" w:ascii="仿宋_GB2312"/>
          <w:szCs w:val="32"/>
        </w:rPr>
        <w:t>托克逊县城以西270°方向，直距约77km处，矿区北距南疆铁路2.5km，距鱼儿沟火车站25km</w:t>
      </w:r>
      <w:r>
        <w:rPr>
          <w:rFonts w:hint="eastAsia" w:ascii="仿宋_GB2312"/>
          <w:szCs w:val="32"/>
          <w:lang w:eastAsia="zh-CN"/>
        </w:rPr>
        <w:t>，</w:t>
      </w:r>
      <w:r>
        <w:rPr>
          <w:rFonts w:hint="eastAsia" w:ascii="仿宋_GB2312"/>
          <w:szCs w:val="32"/>
        </w:rPr>
        <w:t>东距中泰化学水泥厂27km。本项目建设性质为新建，产品为水泥用石灰岩原矿，设计生产规模350万t/a，矿山服务年限约为9.52年</w:t>
      </w:r>
      <w:r>
        <w:rPr>
          <w:rFonts w:hint="eastAsia" w:ascii="仿宋_GB2312"/>
          <w:szCs w:val="32"/>
          <w:lang w:eastAsia="zh-CN"/>
        </w:rPr>
        <w:t>，</w:t>
      </w:r>
      <w:r>
        <w:rPr>
          <w:rFonts w:hint="eastAsia" w:ascii="仿宋_GB2312"/>
          <w:szCs w:val="32"/>
        </w:rPr>
        <w:t>采用自上而下水平分层、台阶式采矿方法。主要建设内容包括</w:t>
      </w:r>
      <w:r>
        <w:rPr>
          <w:rFonts w:hint="eastAsia" w:ascii="仿宋_GB2312"/>
          <w:szCs w:val="32"/>
          <w:lang w:val="en-US" w:eastAsia="zh-CN"/>
        </w:rPr>
        <w:t>4个</w:t>
      </w:r>
      <w:r>
        <w:rPr>
          <w:rFonts w:hint="eastAsia" w:ascii="仿宋_GB2312"/>
          <w:szCs w:val="32"/>
        </w:rPr>
        <w:t>露</w:t>
      </w:r>
      <w:r>
        <w:rPr>
          <w:rFonts w:hint="eastAsia" w:ascii="仿宋_GB2312" w:hAnsi="Times New Roman" w:cs="Times New Roman"/>
          <w:szCs w:val="32"/>
        </w:rPr>
        <w:t>天采矿场</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占</w:t>
      </w:r>
      <w:r>
        <w:rPr>
          <w:rFonts w:hint="eastAsia" w:ascii="仿宋_GB2312" w:hAnsi="Times New Roman" w:cs="Times New Roman"/>
          <w:szCs w:val="32"/>
        </w:rPr>
        <w:t>地面积总计为1.77万m</w:t>
      </w:r>
      <w:r>
        <w:rPr>
          <w:rFonts w:hint="eastAsia" w:ascii="仿宋_GB2312" w:hAnsi="Times New Roman" w:cs="Times New Roman"/>
          <w:szCs w:val="32"/>
          <w:vertAlign w:val="superscript"/>
        </w:rPr>
        <w:t>2</w:t>
      </w:r>
      <w:r>
        <w:rPr>
          <w:rFonts w:hint="eastAsia" w:ascii="仿宋_GB2312" w:hAnsi="Times New Roman" w:cs="Times New Roman"/>
          <w:szCs w:val="32"/>
        </w:rPr>
        <w:t>，开采标高1740-1894m</w:t>
      </w:r>
      <w:r>
        <w:rPr>
          <w:rFonts w:hint="eastAsia" w:ascii="仿宋_GB2312" w:hAnsi="Times New Roman" w:cs="Times New Roman"/>
          <w:szCs w:val="32"/>
          <w:lang w:eastAsia="zh-CN"/>
        </w:rPr>
        <w:t>）、</w:t>
      </w:r>
      <w:r>
        <w:rPr>
          <w:rFonts w:hint="eastAsia" w:ascii="仿宋_GB2312" w:hAnsi="Times New Roman" w:cs="Times New Roman"/>
          <w:szCs w:val="32"/>
        </w:rPr>
        <w:t>排土场</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破碎筛分车间以及辅助、公用、环保工程</w:t>
      </w:r>
      <w:r>
        <w:rPr>
          <w:rFonts w:hint="eastAsia" w:ascii="仿宋_GB2312"/>
          <w:szCs w:val="32"/>
        </w:rPr>
        <w:t>。</w:t>
      </w:r>
      <w:r>
        <w:rPr>
          <w:rFonts w:hint="eastAsia" w:ascii="仿宋_GB2312"/>
          <w:szCs w:val="32"/>
          <w:lang w:val="en-US" w:eastAsia="zh-CN"/>
        </w:rPr>
        <w:t>项目</w:t>
      </w:r>
      <w:r>
        <w:rPr>
          <w:rFonts w:hint="eastAsia" w:ascii="仿宋_GB2312"/>
          <w:szCs w:val="32"/>
        </w:rPr>
        <w:t>总占地面积为</w:t>
      </w:r>
      <w:r>
        <w:rPr>
          <w:rFonts w:hint="eastAsia" w:ascii="仿宋_GB2312" w:hAnsi="Times New Roman" w:cs="Times New Roman"/>
          <w:szCs w:val="32"/>
          <w:lang w:val="en-US" w:eastAsia="zh-CN"/>
        </w:rPr>
        <w:t>28300</w:t>
      </w:r>
      <w:r>
        <w:rPr>
          <w:rFonts w:hint="default" w:ascii="仿宋_GB2312" w:hAnsi="Times New Roman" w:cs="Times New Roman"/>
          <w:szCs w:val="32"/>
          <w:lang w:val="en-US" w:eastAsia="zh-CN"/>
        </w:rPr>
        <w:t>00</w:t>
      </w:r>
      <w:r>
        <w:rPr>
          <w:rFonts w:hint="eastAsia" w:ascii="仿宋_GB2312" w:hAnsi="Times New Roman" w:cs="Times New Roman"/>
          <w:szCs w:val="32"/>
        </w:rPr>
        <w:t>m</w:t>
      </w:r>
      <w:r>
        <w:rPr>
          <w:rFonts w:hint="eastAsia" w:ascii="仿宋_GB2312" w:hAnsi="Times New Roman" w:cs="Times New Roman"/>
          <w:szCs w:val="32"/>
          <w:vertAlign w:val="superscript"/>
        </w:rPr>
        <w:t>2</w:t>
      </w:r>
      <w:r>
        <w:rPr>
          <w:rFonts w:hint="eastAsia" w:ascii="仿宋_GB2312" w:hAnsi="Times New Roman" w:cs="Times New Roman"/>
          <w:szCs w:val="32"/>
        </w:rPr>
        <w:t>，总投资</w:t>
      </w:r>
      <w:r>
        <w:rPr>
          <w:rFonts w:hint="eastAsia" w:ascii="仿宋_GB2312"/>
          <w:szCs w:val="32"/>
        </w:rPr>
        <w:t>15005.24万元，其中环保</w:t>
      </w:r>
      <w:r>
        <w:rPr>
          <w:rFonts w:hint="eastAsia" w:ascii="仿宋_GB2312" w:hAnsi="Times New Roman" w:cs="Times New Roman"/>
          <w:szCs w:val="32"/>
        </w:rPr>
        <w:t>投资</w:t>
      </w:r>
      <w:r>
        <w:rPr>
          <w:rFonts w:hint="eastAsia" w:ascii="仿宋_GB2312" w:hAnsi="Times New Roman" w:cs="Times New Roman"/>
          <w:szCs w:val="32"/>
          <w:lang w:val="en-US" w:eastAsia="zh-CN"/>
        </w:rPr>
        <w:t>180</w:t>
      </w:r>
      <w:r>
        <w:rPr>
          <w:rFonts w:hint="eastAsia" w:ascii="仿宋_GB2312" w:hAnsi="Times New Roman" w:cs="Times New Roman"/>
          <w:szCs w:val="32"/>
        </w:rPr>
        <w:t>万元</w:t>
      </w:r>
      <w:r>
        <w:rPr>
          <w:rFonts w:hint="eastAsia" w:ascii="仿宋_GB2312"/>
          <w:szCs w:val="32"/>
        </w:rPr>
        <w:t>，占总投资的</w:t>
      </w:r>
      <w:r>
        <w:rPr>
          <w:rFonts w:hint="eastAsia" w:ascii="仿宋_GB2312"/>
          <w:szCs w:val="32"/>
          <w:lang w:val="en-US" w:eastAsia="zh-CN"/>
        </w:rPr>
        <w:t>1.2</w:t>
      </w:r>
      <w:r>
        <w:rPr>
          <w:rFonts w:ascii="仿宋_GB2312"/>
          <w:szCs w:val="32"/>
        </w:rPr>
        <w:t>%</w:t>
      </w:r>
      <w:r>
        <w:rPr>
          <w:rFonts w:hint="eastAsia" w:ascii="仿宋_GB231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lang w:val="en-US" w:eastAsia="zh-CN"/>
        </w:rPr>
        <w:t>二、</w:t>
      </w:r>
      <w:r>
        <w:rPr>
          <w:rFonts w:hint="eastAsia" w:ascii="仿宋_GB2312"/>
          <w:szCs w:val="32"/>
        </w:rPr>
        <w:t>根据新疆</w:t>
      </w:r>
      <w:r>
        <w:rPr>
          <w:rFonts w:hint="eastAsia" w:ascii="仿宋_GB2312"/>
          <w:szCs w:val="32"/>
          <w:lang w:val="en-US" w:eastAsia="zh-CN"/>
        </w:rPr>
        <w:t>润凯环保工程有限公司</w:t>
      </w:r>
      <w:r>
        <w:rPr>
          <w:rFonts w:hint="eastAsia" w:ascii="仿宋_GB2312"/>
          <w:szCs w:val="32"/>
        </w:rPr>
        <w:t>编制的《新疆金汇天成矿业有限公司</w:t>
      </w:r>
      <w:r>
        <w:rPr>
          <w:rFonts w:hint="eastAsia"/>
          <w:szCs w:val="21"/>
        </w:rPr>
        <w:t>新疆托克逊县阿拉沟南部水泥用石灰岩矿一区项目</w:t>
      </w:r>
      <w:r>
        <w:rPr>
          <w:rFonts w:hint="eastAsia" w:ascii="仿宋_GB2312"/>
          <w:szCs w:val="32"/>
        </w:rPr>
        <w:t>环境影响报告表》评价结论、托克逊县分局《关于</w:t>
      </w:r>
      <w:r>
        <w:rPr>
          <w:rFonts w:hint="eastAsia" w:ascii="仿宋_GB2312"/>
          <w:szCs w:val="32"/>
          <w:lang w:val="en-US" w:eastAsia="zh-CN"/>
        </w:rPr>
        <w:t>&lt;</w:t>
      </w:r>
      <w:r>
        <w:rPr>
          <w:rFonts w:hint="eastAsia" w:ascii="仿宋_GB2312"/>
          <w:szCs w:val="32"/>
        </w:rPr>
        <w:t>新疆金汇天成矿业有限公司</w:t>
      </w:r>
      <w:r>
        <w:rPr>
          <w:rFonts w:hint="eastAsia"/>
          <w:szCs w:val="21"/>
        </w:rPr>
        <w:t>新疆托克逊县阿拉沟南部水泥用石灰岩矿一区项目</w:t>
      </w:r>
      <w:r>
        <w:rPr>
          <w:rFonts w:hint="eastAsia" w:ascii="仿宋_GB2312"/>
          <w:szCs w:val="32"/>
        </w:rPr>
        <w:t>环境影响报告表</w:t>
      </w:r>
      <w:r>
        <w:rPr>
          <w:rFonts w:hint="eastAsia" w:ascii="仿宋_GB2312"/>
          <w:szCs w:val="32"/>
          <w:lang w:val="en-US" w:eastAsia="zh-CN"/>
        </w:rPr>
        <w:t>&gt;</w:t>
      </w:r>
      <w:r>
        <w:rPr>
          <w:rFonts w:hint="eastAsia" w:ascii="仿宋_GB2312"/>
          <w:szCs w:val="32"/>
        </w:rPr>
        <w:t>的初审意见》（托环监函</w:t>
      </w:r>
      <w:r>
        <w:rPr>
          <w:rFonts w:hint="eastAsia" w:ascii="仿宋_GB2312" w:hAnsi="仿宋_GB2312" w:eastAsia="仿宋_GB2312" w:cs="仿宋_GB2312"/>
          <w:szCs w:val="32"/>
        </w:rPr>
        <w:t>〔</w:t>
      </w:r>
      <w:r>
        <w:rPr>
          <w:rFonts w:hint="eastAsia" w:ascii="仿宋_GB2312"/>
          <w:szCs w:val="32"/>
        </w:rPr>
        <w:t>2023</w:t>
      </w:r>
      <w:r>
        <w:rPr>
          <w:rFonts w:hint="eastAsia" w:ascii="仿宋_GB2312" w:hAnsi="仿宋_GB2312" w:eastAsia="仿宋_GB2312" w:cs="仿宋_GB2312"/>
          <w:szCs w:val="32"/>
        </w:rPr>
        <w:t>〕</w:t>
      </w:r>
      <w:r>
        <w:rPr>
          <w:rFonts w:hint="eastAsia" w:ascii="仿宋_GB2312"/>
          <w:szCs w:val="32"/>
          <w:lang w:val="en-US" w:eastAsia="zh-CN"/>
        </w:rPr>
        <w:t>41</w:t>
      </w:r>
      <w:r>
        <w:rPr>
          <w:rFonts w:hint="eastAsia" w:ascii="仿宋_GB2312"/>
          <w:szCs w:val="32"/>
        </w:rPr>
        <w:t>号），该项目在落实《报告表》提出的各项环境保护措施后，项目所产生的不利影响可以得到缓解和控制。从环境保护的角度，原则同意该项目按照《报告表》中所列项目地点、性质、规模及拟采取的各项环境保护措施进行建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rPr>
        <w:t>三、在项目建设、运行和环境管理中要认真落实《报告表》提出的各项环保要求，严格执行环保“三同时”制度，并重点做好以下工作：</w:t>
      </w:r>
    </w:p>
    <w:p>
      <w:pPr>
        <w:pageBreakBefore w:val="0"/>
        <w:kinsoku/>
        <w:wordWrap/>
        <w:overflowPunct/>
        <w:topLinePunct w:val="0"/>
        <w:autoSpaceDE/>
        <w:autoSpaceDN/>
        <w:bidi w:val="0"/>
        <w:adjustRightInd/>
        <w:snapToGrid/>
        <w:spacing w:line="560" w:lineRule="exact"/>
        <w:ind w:firstLine="640" w:firstLineChars="200"/>
        <w:textAlignment w:val="auto"/>
      </w:pPr>
      <w:r>
        <w:rPr>
          <w:rFonts w:hint="eastAsia"/>
        </w:rPr>
        <w:t>（一）落实施工期各项环保措施。</w:t>
      </w:r>
      <w:r>
        <w:rPr>
          <w:rFonts w:hint="eastAsia"/>
          <w:lang w:val="en-US" w:eastAsia="zh-CN"/>
        </w:rPr>
        <w:t>项目应</w:t>
      </w:r>
      <w:r>
        <w:rPr>
          <w:rFonts w:hint="eastAsia"/>
        </w:rPr>
        <w:t>加强项目施工期间的环境保护管理工作，防止施工期废水、扬尘、固体废物和噪声对周围环境产生不利影响，施工结束后及时恢复。</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cs="宋体"/>
          <w:kern w:val="0"/>
          <w:szCs w:val="32"/>
        </w:rPr>
      </w:pPr>
      <w:r>
        <w:rPr>
          <w:rFonts w:hint="eastAsia" w:ascii="仿宋_GB2312" w:cs="宋体"/>
          <w:kern w:val="0"/>
          <w:szCs w:val="32"/>
        </w:rPr>
        <w:t>（二）严格落实废气污染防治措施。项目</w:t>
      </w:r>
      <w:r>
        <w:rPr>
          <w:rFonts w:hint="default" w:ascii="仿宋_GB2312" w:hAnsi="Times New Roman" w:cs="宋体"/>
          <w:kern w:val="0"/>
          <w:szCs w:val="32"/>
          <w:lang w:val="en-US" w:eastAsia="zh-CN"/>
        </w:rPr>
        <w:t>采矿</w:t>
      </w:r>
      <w:r>
        <w:rPr>
          <w:rFonts w:hint="eastAsia" w:ascii="仿宋_GB2312" w:hAnsi="Times New Roman" w:cs="宋体"/>
          <w:kern w:val="0"/>
          <w:szCs w:val="32"/>
          <w:lang w:val="en-US" w:eastAsia="zh-CN"/>
        </w:rPr>
        <w:t>粉尘</w:t>
      </w:r>
      <w:r>
        <w:rPr>
          <w:rFonts w:hint="eastAsia" w:ascii="仿宋_GB2312" w:hAnsi="Times New Roman" w:cs="宋体"/>
          <w:kern w:val="0"/>
          <w:szCs w:val="32"/>
        </w:rPr>
        <w:t>采用湿式防尘技术，采装时向矿爆堆喷雾注水增湿抑尘</w:t>
      </w:r>
      <w:r>
        <w:rPr>
          <w:rFonts w:hint="eastAsia" w:ascii="仿宋_GB2312" w:hAnsi="Times New Roman" w:cs="宋体"/>
          <w:kern w:val="0"/>
          <w:szCs w:val="32"/>
          <w:lang w:eastAsia="zh-CN"/>
        </w:rPr>
        <w:t>，</w:t>
      </w:r>
      <w:r>
        <w:rPr>
          <w:rFonts w:hint="eastAsia" w:ascii="仿宋_GB2312" w:hAnsi="Times New Roman" w:cs="宋体"/>
          <w:kern w:val="0"/>
          <w:szCs w:val="32"/>
          <w:lang w:val="en-US" w:eastAsia="zh-CN"/>
        </w:rPr>
        <w:t>及时</w:t>
      </w:r>
      <w:r>
        <w:rPr>
          <w:rFonts w:hint="eastAsia" w:ascii="仿宋_GB2312" w:hAnsi="Times New Roman" w:cs="宋体"/>
          <w:kern w:val="0"/>
          <w:szCs w:val="32"/>
        </w:rPr>
        <w:t>对产</w:t>
      </w:r>
      <w:r>
        <w:rPr>
          <w:rFonts w:hint="eastAsia" w:ascii="仿宋_GB2312" w:cs="宋体"/>
          <w:kern w:val="0"/>
          <w:szCs w:val="32"/>
        </w:rPr>
        <w:t>尘区域进行洒水降尘。排土场定期喷雾洒水降尘，实施多台阶分层压实、坡面防护等措施，减小堆场扬尘。装卸</w:t>
      </w:r>
      <w:r>
        <w:rPr>
          <w:rFonts w:hint="eastAsia" w:ascii="仿宋_GB2312" w:cs="宋体"/>
          <w:kern w:val="0"/>
          <w:szCs w:val="32"/>
          <w:lang w:val="en-US" w:eastAsia="zh-CN"/>
        </w:rPr>
        <w:t>过程中</w:t>
      </w:r>
      <w:r>
        <w:rPr>
          <w:rFonts w:hint="eastAsia" w:ascii="仿宋_GB2312" w:cs="宋体"/>
          <w:kern w:val="0"/>
          <w:szCs w:val="32"/>
        </w:rPr>
        <w:t>降低物料装卸高度并设挡板</w:t>
      </w:r>
      <w:r>
        <w:rPr>
          <w:rFonts w:hint="eastAsia" w:ascii="仿宋_GB2312" w:cs="宋体"/>
          <w:kern w:val="0"/>
          <w:szCs w:val="32"/>
          <w:lang w:eastAsia="zh-CN"/>
        </w:rPr>
        <w:t>，</w:t>
      </w:r>
      <w:r>
        <w:rPr>
          <w:rFonts w:hint="eastAsia" w:ascii="仿宋_GB2312" w:cs="宋体"/>
          <w:kern w:val="0"/>
          <w:szCs w:val="32"/>
        </w:rPr>
        <w:t>减少物料转运环节</w:t>
      </w:r>
      <w:r>
        <w:rPr>
          <w:rFonts w:hint="eastAsia" w:ascii="仿宋_GB2312" w:cs="宋体"/>
          <w:kern w:val="0"/>
          <w:szCs w:val="32"/>
          <w:lang w:eastAsia="zh-CN"/>
        </w:rPr>
        <w:t>，</w:t>
      </w:r>
      <w:r>
        <w:rPr>
          <w:rFonts w:hint="eastAsia" w:ascii="仿宋_GB2312" w:cs="宋体"/>
          <w:kern w:val="0"/>
          <w:szCs w:val="32"/>
        </w:rPr>
        <w:t>严禁大风</w:t>
      </w:r>
      <w:r>
        <w:rPr>
          <w:rFonts w:hint="eastAsia" w:ascii="仿宋_GB2312" w:cs="宋体"/>
          <w:kern w:val="0"/>
          <w:szCs w:val="32"/>
          <w:lang w:val="en-US" w:eastAsia="zh-CN"/>
        </w:rPr>
        <w:t>天气</w:t>
      </w:r>
      <w:r>
        <w:rPr>
          <w:rFonts w:hint="eastAsia" w:ascii="仿宋_GB2312" w:cs="宋体"/>
          <w:kern w:val="0"/>
          <w:szCs w:val="32"/>
        </w:rPr>
        <w:t>进行物料采装、运输作业</w:t>
      </w:r>
      <w:r>
        <w:rPr>
          <w:rFonts w:hint="eastAsia" w:ascii="仿宋_GB2312" w:cs="宋体"/>
          <w:kern w:val="0"/>
          <w:szCs w:val="32"/>
          <w:lang w:eastAsia="zh-CN"/>
        </w:rPr>
        <w:t>。</w:t>
      </w:r>
      <w:r>
        <w:rPr>
          <w:rFonts w:hint="eastAsia" w:ascii="仿宋_GB2312" w:cs="宋体"/>
          <w:kern w:val="0"/>
          <w:szCs w:val="32"/>
          <w:lang w:val="en-US" w:eastAsia="zh-CN"/>
        </w:rPr>
        <w:t>厂区</w:t>
      </w:r>
      <w:r>
        <w:rPr>
          <w:rFonts w:hint="eastAsia" w:ascii="仿宋_GB2312" w:cs="宋体"/>
          <w:kern w:val="0"/>
          <w:szCs w:val="32"/>
        </w:rPr>
        <w:t>道路洒水降尘、铺设道路碎石、控制运输车辆行驶速度</w:t>
      </w:r>
      <w:r>
        <w:rPr>
          <w:rFonts w:hint="eastAsia" w:ascii="仿宋_GB2312" w:cs="宋体"/>
          <w:kern w:val="0"/>
          <w:szCs w:val="32"/>
          <w:lang w:eastAsia="zh-CN"/>
        </w:rPr>
        <w:t>，</w:t>
      </w:r>
      <w:r>
        <w:rPr>
          <w:rFonts w:hint="eastAsia" w:ascii="仿宋_GB2312" w:cs="宋体"/>
          <w:kern w:val="0"/>
          <w:szCs w:val="32"/>
          <w:lang w:val="en-US" w:eastAsia="zh-CN"/>
        </w:rPr>
        <w:t>车辆采取封闭</w:t>
      </w:r>
      <w:r>
        <w:rPr>
          <w:rFonts w:hint="eastAsia" w:ascii="仿宋_GB2312" w:cs="宋体"/>
          <w:kern w:val="0"/>
          <w:szCs w:val="32"/>
        </w:rPr>
        <w:t>抑尘。废石装卸、堆存扬尘采取压实和洒水降尘、覆盖编织网等措施</w:t>
      </w:r>
      <w:r>
        <w:rPr>
          <w:rFonts w:hint="eastAsia" w:ascii="仿宋_GB2312" w:cs="宋体"/>
          <w:kern w:val="0"/>
          <w:szCs w:val="32"/>
          <w:lang w:eastAsia="zh-CN"/>
        </w:rPr>
        <w:t>。</w:t>
      </w:r>
      <w:r>
        <w:rPr>
          <w:rFonts w:hint="eastAsia" w:ascii="仿宋_GB2312" w:cs="宋体"/>
          <w:kern w:val="0"/>
          <w:szCs w:val="32"/>
        </w:rPr>
        <w:t>破</w:t>
      </w:r>
      <w:r>
        <w:rPr>
          <w:rFonts w:hint="eastAsia" w:ascii="仿宋_GB2312" w:cs="宋体"/>
          <w:kern w:val="0"/>
          <w:szCs w:val="32"/>
          <w:lang w:val="en-US" w:eastAsia="zh-CN"/>
        </w:rPr>
        <w:t>碎</w:t>
      </w:r>
      <w:bookmarkStart w:id="0" w:name="_GoBack"/>
      <w:bookmarkEnd w:id="0"/>
      <w:r>
        <w:rPr>
          <w:rFonts w:hint="eastAsia" w:ascii="仿宋_GB2312" w:cs="宋体"/>
          <w:kern w:val="0"/>
          <w:szCs w:val="32"/>
          <w:lang w:eastAsia="zh-CN"/>
        </w:rPr>
        <w:t>、</w:t>
      </w:r>
      <w:r>
        <w:rPr>
          <w:rFonts w:hint="eastAsia" w:ascii="仿宋_GB2312" w:cs="宋体"/>
          <w:kern w:val="0"/>
          <w:szCs w:val="32"/>
        </w:rPr>
        <w:t>筛分生产线通过“密闭廊道+设备密闭+布袋除尘+15m排气筒”措施进行收集处理，</w:t>
      </w:r>
      <w:r>
        <w:rPr>
          <w:rFonts w:hint="eastAsia" w:ascii="仿宋_GB2312" w:cs="宋体"/>
          <w:kern w:val="0"/>
          <w:szCs w:val="32"/>
          <w:lang w:val="en-US" w:eastAsia="zh-CN"/>
        </w:rPr>
        <w:t>废气</w:t>
      </w:r>
      <w:r>
        <w:rPr>
          <w:rFonts w:hint="eastAsia" w:ascii="仿宋_GB2312" w:cs="宋体"/>
          <w:kern w:val="0"/>
          <w:szCs w:val="32"/>
        </w:rPr>
        <w:t>排放浓度</w:t>
      </w:r>
      <w:r>
        <w:rPr>
          <w:rFonts w:hint="eastAsia" w:ascii="仿宋_GB2312" w:cs="宋体"/>
          <w:kern w:val="0"/>
          <w:szCs w:val="32"/>
          <w:lang w:val="en-US" w:eastAsia="zh-CN"/>
        </w:rPr>
        <w:t>须满足</w:t>
      </w:r>
      <w:r>
        <w:rPr>
          <w:rFonts w:hint="eastAsia" w:ascii="仿宋_GB2312" w:cs="宋体"/>
          <w:kern w:val="0"/>
          <w:szCs w:val="32"/>
        </w:rPr>
        <w:t>《水泥工业大气污染排放标准》（GB4915-2013）中大气污染物排放限值</w:t>
      </w:r>
      <w:r>
        <w:rPr>
          <w:rFonts w:hint="eastAsia" w:ascii="仿宋_GB2312" w:cs="宋体"/>
          <w:kern w:val="0"/>
          <w:szCs w:val="32"/>
          <w:lang w:eastAsia="zh-CN"/>
        </w:rPr>
        <w:t>。</w:t>
      </w:r>
      <w:r>
        <w:rPr>
          <w:rFonts w:hint="eastAsia" w:ascii="仿宋_GB2312" w:cs="宋体"/>
          <w:kern w:val="0"/>
          <w:szCs w:val="32"/>
        </w:rPr>
        <w:t>食堂安装油烟净化器，集中收集后经排气筒引至食堂房顶，满足《饮食业油烟排放标准》（GB18483-2001）中最高允许排放浓度2.0mg/m</w:t>
      </w:r>
      <w:r>
        <w:rPr>
          <w:rFonts w:hint="eastAsia" w:ascii="仿宋_GB2312" w:cs="宋体"/>
          <w:kern w:val="0"/>
          <w:szCs w:val="32"/>
          <w:vertAlign w:val="superscript"/>
        </w:rPr>
        <w:t>3</w:t>
      </w:r>
      <w:r>
        <w:rPr>
          <w:rFonts w:hint="eastAsia" w:ascii="仿宋_GB2312" w:cs="宋体"/>
          <w:kern w:val="0"/>
          <w:szCs w:val="32"/>
        </w:rPr>
        <w:t>的限值要求后高空排放。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s="宋体"/>
          <w:kern w:val="0"/>
          <w:szCs w:val="32"/>
        </w:rPr>
      </w:pPr>
      <w:r>
        <w:rPr>
          <w:rFonts w:hint="eastAsia" w:ascii="仿宋_GB2312" w:cs="宋体"/>
          <w:kern w:val="0"/>
          <w:szCs w:val="32"/>
        </w:rPr>
        <w:t>（三）落实水污染防治措施。项目</w:t>
      </w:r>
      <w:r>
        <w:rPr>
          <w:rFonts w:hint="eastAsia" w:ascii="仿宋_GB2312" w:cs="宋体"/>
          <w:kern w:val="0"/>
          <w:szCs w:val="32"/>
          <w:lang w:val="en-US" w:eastAsia="zh-CN"/>
        </w:rPr>
        <w:t>产生的</w:t>
      </w:r>
      <w:r>
        <w:rPr>
          <w:rFonts w:hint="eastAsia" w:ascii="仿宋_GB2312" w:cs="宋体"/>
          <w:kern w:val="0"/>
          <w:szCs w:val="32"/>
        </w:rPr>
        <w:t>生活污水</w:t>
      </w:r>
      <w:r>
        <w:rPr>
          <w:rFonts w:hint="eastAsia" w:ascii="仿宋_GB2312" w:cs="宋体"/>
          <w:kern w:val="0"/>
          <w:szCs w:val="32"/>
          <w:lang w:val="en-US" w:eastAsia="zh-CN"/>
        </w:rPr>
        <w:t>采取“</w:t>
      </w:r>
      <w:r>
        <w:rPr>
          <w:rFonts w:hint="eastAsia" w:ascii="仿宋_GB2312" w:cs="宋体"/>
          <w:kern w:val="0"/>
          <w:szCs w:val="32"/>
        </w:rPr>
        <w:t>隔油池+地埋式一体化污水处理设施</w:t>
      </w:r>
      <w:r>
        <w:rPr>
          <w:rFonts w:hint="eastAsia" w:ascii="仿宋_GB2312" w:cs="宋体"/>
          <w:kern w:val="0"/>
          <w:szCs w:val="32"/>
          <w:lang w:val="en-US" w:eastAsia="zh-CN"/>
        </w:rPr>
        <w:t>”措施</w:t>
      </w:r>
      <w:r>
        <w:rPr>
          <w:rFonts w:hint="eastAsia" w:ascii="仿宋_GB2312" w:cs="宋体"/>
          <w:kern w:val="0"/>
          <w:szCs w:val="32"/>
        </w:rPr>
        <w:t>收集处理</w:t>
      </w:r>
      <w:r>
        <w:rPr>
          <w:rFonts w:hint="eastAsia" w:ascii="仿宋_GB2312" w:cs="宋体"/>
          <w:kern w:val="0"/>
          <w:szCs w:val="32"/>
          <w:lang w:eastAsia="zh-CN"/>
        </w:rPr>
        <w:t>，</w:t>
      </w:r>
      <w:r>
        <w:rPr>
          <w:rFonts w:hint="eastAsia" w:ascii="仿宋_GB2312" w:cs="宋体"/>
          <w:kern w:val="0"/>
          <w:szCs w:val="32"/>
        </w:rPr>
        <w:t>满足《农村生活污水处理排放标准》（DB65 4275-2019）表2中C级标准后，用于矿区及周边绿化。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s="宋体"/>
          <w:kern w:val="0"/>
          <w:szCs w:val="32"/>
        </w:rPr>
      </w:pPr>
      <w:r>
        <w:rPr>
          <w:rFonts w:hint="eastAsia" w:ascii="仿宋_GB2312" w:cs="宋体"/>
          <w:kern w:val="0"/>
          <w:szCs w:val="32"/>
        </w:rPr>
        <w:t>（四）落实固体废物污染防治措施。</w:t>
      </w:r>
      <w:r>
        <w:rPr>
          <w:rFonts w:hint="eastAsia" w:ascii="仿宋_GB2312" w:cs="宋体"/>
          <w:kern w:val="0"/>
          <w:szCs w:val="32"/>
          <w:lang w:val="en-US" w:eastAsia="zh-CN"/>
        </w:rPr>
        <w:t>项目产生的废石，部分用于修筑和维护矿区运输道路，剩余的后期用于回填露天采坑；袋式除尘器收集的粉尘，作为产品外售；生活垃圾经集中收集后，定期清运至阿乐惠镇生活垃圾填埋场进行集中处理，</w:t>
      </w:r>
      <w:r>
        <w:rPr>
          <w:rFonts w:hint="eastAsia" w:ascii="仿宋_GB2312" w:cs="宋体"/>
          <w:kern w:val="0"/>
          <w:szCs w:val="32"/>
        </w:rPr>
        <w:t>一般固废管理满足《一般工业固体废物贮存和填埋污染控制标准》</w:t>
      </w:r>
      <w:r>
        <w:rPr>
          <w:rFonts w:hint="eastAsia" w:ascii="仿宋_GB2312" w:cs="宋体"/>
          <w:kern w:val="0"/>
          <w:szCs w:val="32"/>
          <w:lang w:eastAsia="zh-CN"/>
        </w:rPr>
        <w:t>（</w:t>
      </w:r>
      <w:r>
        <w:rPr>
          <w:rFonts w:hint="eastAsia" w:ascii="仿宋_GB2312" w:cs="宋体"/>
          <w:kern w:val="0"/>
          <w:szCs w:val="32"/>
        </w:rPr>
        <w:t>GB18599-2020</w:t>
      </w:r>
      <w:r>
        <w:rPr>
          <w:rFonts w:hint="eastAsia" w:ascii="仿宋_GB2312" w:cs="宋体"/>
          <w:kern w:val="0"/>
          <w:szCs w:val="32"/>
          <w:lang w:eastAsia="zh-CN"/>
        </w:rPr>
        <w:t>）</w:t>
      </w:r>
      <w:r>
        <w:rPr>
          <w:rFonts w:hint="eastAsia" w:ascii="仿宋_GB2312" w:cs="宋体"/>
          <w:kern w:val="0"/>
          <w:szCs w:val="32"/>
        </w:rPr>
        <w:t>中规定要求。产生的废矿物油</w:t>
      </w:r>
      <w:r>
        <w:rPr>
          <w:rFonts w:hint="eastAsia" w:ascii="仿宋_GB2312" w:cs="宋体"/>
          <w:kern w:val="0"/>
          <w:szCs w:val="32"/>
          <w:lang w:val="en-US" w:eastAsia="zh-CN"/>
        </w:rPr>
        <w:t>经</w:t>
      </w:r>
      <w:r>
        <w:rPr>
          <w:rFonts w:hint="eastAsia" w:ascii="仿宋_GB2312" w:cs="宋体"/>
          <w:kern w:val="0"/>
          <w:szCs w:val="32"/>
        </w:rPr>
        <w:t>桶装收集后暂存于危废间，定期委托有资质单位处理</w:t>
      </w:r>
      <w:r>
        <w:rPr>
          <w:rFonts w:hint="eastAsia" w:ascii="仿宋_GB2312" w:cs="宋体"/>
          <w:kern w:val="0"/>
          <w:szCs w:val="32"/>
          <w:lang w:eastAsia="zh-CN"/>
        </w:rPr>
        <w:t>，危险废物的管理应满足《危险废物贮存污染控制标准》（GB18597-2023）、《危险废物收集贮存运输技术规范》（HJ2025-2012）及《危险废物转移管理办法》（部令第23号）要求。</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cs="宋体"/>
          <w:szCs w:val="32"/>
        </w:rPr>
        <w:t>（五）</w:t>
      </w:r>
      <w:r>
        <w:rPr>
          <w:rFonts w:hint="eastAsia" w:ascii="仿宋_GB2312"/>
          <w:szCs w:val="32"/>
        </w:rPr>
        <w:t>落实噪声防治措施。</w:t>
      </w:r>
      <w:r>
        <w:rPr>
          <w:rFonts w:hint="eastAsia" w:ascii="仿宋_GB2312"/>
          <w:szCs w:val="32"/>
          <w:lang w:val="en-US" w:eastAsia="zh-CN"/>
        </w:rPr>
        <w:t>项目应</w:t>
      </w:r>
      <w:r>
        <w:rPr>
          <w:rFonts w:hint="eastAsia" w:ascii="仿宋_GB2312"/>
          <w:szCs w:val="32"/>
        </w:rPr>
        <w:t>采用吸声、隔声、减震等防护措施，运营期厂界噪声达到《工业企业厂界环境噪声排放标准》2类标准。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Cs w:val="32"/>
          <w:lang w:eastAsia="zh-CN"/>
        </w:rPr>
      </w:pPr>
      <w:r>
        <w:rPr>
          <w:rFonts w:hint="eastAsia" w:ascii="仿宋_GB2312"/>
          <w:szCs w:val="32"/>
        </w:rPr>
        <w:t>（六）加强生态环境保护。</w:t>
      </w:r>
      <w:r>
        <w:rPr>
          <w:rFonts w:hint="eastAsia" w:ascii="仿宋_GB2312"/>
          <w:szCs w:val="32"/>
          <w:lang w:val="en-US" w:eastAsia="zh-CN"/>
        </w:rPr>
        <w:t>项目应</w:t>
      </w:r>
      <w:r>
        <w:rPr>
          <w:rFonts w:hint="eastAsia" w:ascii="仿宋_GB2312"/>
          <w:szCs w:val="32"/>
        </w:rPr>
        <w:t>按照开采范围进行开采，贯彻“边开采、边治理、边恢复”原则，及时治理恢复矿山地质环境，减少开采、废石和运输等活动对土壤表层及植被的破坏和扰动，严禁采挖荒漠植被的行为。排土场设置围栏并悬挂警示牌，采取防洪、排水、边坡防护、工程拦挡等水土保持措施，定期对废石堆场挡土墙、拦渣坝以及截排水沟进行巡检，及时发现隐患并安全处置</w:t>
      </w:r>
      <w:r>
        <w:rPr>
          <w:rFonts w:hint="eastAsia" w:ascii="仿宋_GB2312"/>
          <w:szCs w:val="32"/>
          <w:lang w:eastAsia="zh-CN"/>
        </w:rPr>
        <w:t>。</w:t>
      </w:r>
    </w:p>
    <w:p>
      <w:pPr>
        <w:pageBreakBefore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szCs w:val="32"/>
        </w:rPr>
        <w:t>（七）建立严格的环境管理体系。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szCs w:val="32"/>
        </w:rPr>
      </w:pPr>
      <w:r>
        <w:rPr>
          <w:rFonts w:hint="eastAsia" w:ascii="仿宋_GB2312"/>
          <w:szCs w:val="32"/>
          <w:lang w:val="en-US" w:eastAsia="zh-CN"/>
        </w:rPr>
        <w:t>四</w:t>
      </w:r>
      <w:r>
        <w:rPr>
          <w:rFonts w:hint="eastAsia" w:ascii="仿宋_GB2312"/>
          <w:szCs w:val="32"/>
        </w:rPr>
        <w:t>、项目运行排放污染物前，要按照相关规定申请取得排污许可证，在排污许可证中载明批准的《报告表》中各项环境保护措施、污染物排放清单等的执行情况及其他有关内容，并按证排污。项目运行期必须严格执行区域污染物排放总量控制要求，确保项目实施后各类污染物排放总量控制在核定的指标内且稳定达标排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rPr>
        <w:t>五、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rPr>
        <w:t>六、</w:t>
      </w:r>
      <w:r>
        <w:rPr>
          <w:rFonts w:hint="eastAsia" w:ascii="仿宋_GB2312"/>
          <w:szCs w:val="32"/>
          <w:lang w:val="en-US" w:eastAsia="zh-CN"/>
        </w:rPr>
        <w:t>托克逊县</w:t>
      </w:r>
      <w:r>
        <w:rPr>
          <w:rFonts w:hint="eastAsia" w:ascii="仿宋_GB2312"/>
          <w:szCs w:val="32"/>
        </w:rPr>
        <w:t>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吐鲁番市生态环境保护综合行政执法支队要加强对“三同时”及自主验收工作的监督指导。</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仿宋_GB2312"/>
          <w:szCs w:val="32"/>
        </w:rPr>
        <w:t>七、你公司应在收到本批复后20个工作日内，将批准后的《报告</w:t>
      </w:r>
      <w:r>
        <w:rPr>
          <w:rFonts w:hint="eastAsia" w:ascii="仿宋_GB2312"/>
          <w:szCs w:val="32"/>
          <w:lang w:eastAsia="zh-CN"/>
        </w:rPr>
        <w:t>表</w:t>
      </w:r>
      <w:r>
        <w:rPr>
          <w:rFonts w:hint="eastAsia" w:ascii="仿宋_GB2312"/>
          <w:szCs w:val="32"/>
        </w:rPr>
        <w:t>》送</w:t>
      </w:r>
      <w:r>
        <w:rPr>
          <w:rFonts w:hint="eastAsia" w:ascii="仿宋_GB2312"/>
          <w:szCs w:val="32"/>
          <w:lang w:val="en-US" w:eastAsia="zh-CN"/>
        </w:rPr>
        <w:t>托克逊县</w:t>
      </w:r>
      <w:r>
        <w:rPr>
          <w:rFonts w:hint="eastAsia" w:ascii="仿宋_GB2312"/>
          <w:szCs w:val="32"/>
        </w:rPr>
        <w:t>分局，并按规定接受各级生态环境主管部门的监督检查。</w:t>
      </w:r>
    </w:p>
    <w:p>
      <w:pPr>
        <w:pageBreakBefore w:val="0"/>
        <w:kinsoku/>
        <w:wordWrap/>
        <w:overflowPunct/>
        <w:topLinePunct w:val="0"/>
        <w:autoSpaceDE/>
        <w:autoSpaceDN/>
        <w:bidi w:val="0"/>
        <w:adjustRightInd/>
        <w:snapToGrid/>
        <w:spacing w:line="560" w:lineRule="exact"/>
        <w:jc w:val="both"/>
        <w:textAlignment w:val="auto"/>
        <w:rPr>
          <w:rFonts w:ascii="仿宋_GB2312" w:hAnsi="仿宋_GB2312" w:cs="仿宋_GB2312"/>
          <w:szCs w:val="32"/>
        </w:rPr>
      </w:pPr>
      <w:r>
        <w:rPr>
          <w:rFonts w:hint="eastAsia" w:ascii="仿宋_GB2312" w:hAnsi="仿宋_GB2312" w:cs="仿宋_GB2312"/>
          <w:szCs w:val="32"/>
        </w:rPr>
        <w:t xml:space="preserve">                       </w:t>
      </w:r>
    </w:p>
    <w:p>
      <w:pPr>
        <w:pageBreakBefore w:val="0"/>
        <w:kinsoku/>
        <w:wordWrap/>
        <w:overflowPunct/>
        <w:topLinePunct w:val="0"/>
        <w:autoSpaceDE/>
        <w:autoSpaceDN/>
        <w:bidi w:val="0"/>
        <w:adjustRightInd/>
        <w:snapToGrid/>
        <w:spacing w:line="56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吐鲁番市生态环境局</w:t>
      </w:r>
    </w:p>
    <w:p>
      <w:pPr>
        <w:pageBreakBefore w:val="0"/>
        <w:kinsoku/>
        <w:wordWrap/>
        <w:overflowPunct/>
        <w:topLinePunct w:val="0"/>
        <w:autoSpaceDE/>
        <w:autoSpaceDN/>
        <w:bidi w:val="0"/>
        <w:adjustRightInd/>
        <w:snapToGrid/>
        <w:spacing w:line="560" w:lineRule="exact"/>
        <w:jc w:val="center"/>
        <w:textAlignment w:val="auto"/>
        <w:outlineLvl w:val="0"/>
        <w:rPr>
          <w:rFonts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 xml:space="preserve"> 20 </w:t>
      </w:r>
      <w:r>
        <w:rPr>
          <w:rFonts w:hint="eastAsia" w:ascii="仿宋_GB2312" w:hAnsi="仿宋_GB2312" w:cs="仿宋_GB2312"/>
          <w:szCs w:val="32"/>
        </w:rPr>
        <w:t>日</w:t>
      </w:r>
    </w:p>
    <w:p>
      <w:pPr>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p>
    <w:p>
      <w:pPr>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32"/>
          <w:szCs w:val="32"/>
        </w:rPr>
        <w:t>吐鲁番</w:t>
      </w:r>
      <w:r>
        <w:rPr>
          <w:rFonts w:hint="eastAsia" w:ascii="仿宋_GB2312" w:hAnsi="仿宋_GB2312" w:eastAsia="仿宋_GB2312" w:cs="仿宋_GB2312"/>
          <w:spacing w:val="-20"/>
          <w:sz w:val="32"/>
          <w:szCs w:val="32"/>
        </w:rPr>
        <w:t>市生态环境局托克逊县分局，市生态环境保护综合行政执法支队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0C87"/>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0F5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E7623"/>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3E1080D"/>
    <w:rsid w:val="04782A92"/>
    <w:rsid w:val="067326F7"/>
    <w:rsid w:val="07A13635"/>
    <w:rsid w:val="08101DB2"/>
    <w:rsid w:val="081E50D6"/>
    <w:rsid w:val="08A17FE2"/>
    <w:rsid w:val="08BA4909"/>
    <w:rsid w:val="0B3D6DBF"/>
    <w:rsid w:val="0B5310FE"/>
    <w:rsid w:val="0B591DA9"/>
    <w:rsid w:val="0B592086"/>
    <w:rsid w:val="0C3D6A94"/>
    <w:rsid w:val="0C5817A4"/>
    <w:rsid w:val="0CD148A7"/>
    <w:rsid w:val="0D6E42F3"/>
    <w:rsid w:val="0DB45986"/>
    <w:rsid w:val="0E0511A8"/>
    <w:rsid w:val="0E0F4479"/>
    <w:rsid w:val="0E21123B"/>
    <w:rsid w:val="0E995268"/>
    <w:rsid w:val="0EDB39A1"/>
    <w:rsid w:val="0EF0248D"/>
    <w:rsid w:val="0F31473F"/>
    <w:rsid w:val="0F925C73"/>
    <w:rsid w:val="10E8147E"/>
    <w:rsid w:val="10F90377"/>
    <w:rsid w:val="110B2B14"/>
    <w:rsid w:val="111A2327"/>
    <w:rsid w:val="113B2E9C"/>
    <w:rsid w:val="11D83C50"/>
    <w:rsid w:val="13871C6A"/>
    <w:rsid w:val="14132147"/>
    <w:rsid w:val="14F34426"/>
    <w:rsid w:val="159535B3"/>
    <w:rsid w:val="15E82E53"/>
    <w:rsid w:val="16276BA3"/>
    <w:rsid w:val="170744E6"/>
    <w:rsid w:val="17680846"/>
    <w:rsid w:val="17D56529"/>
    <w:rsid w:val="17F51B4E"/>
    <w:rsid w:val="18202BA6"/>
    <w:rsid w:val="18677510"/>
    <w:rsid w:val="1881634D"/>
    <w:rsid w:val="19C94803"/>
    <w:rsid w:val="1A910094"/>
    <w:rsid w:val="1B4A31BA"/>
    <w:rsid w:val="1BBF57A3"/>
    <w:rsid w:val="1CBB3234"/>
    <w:rsid w:val="1E386095"/>
    <w:rsid w:val="1E9D2F50"/>
    <w:rsid w:val="1F6E0254"/>
    <w:rsid w:val="1F846FD2"/>
    <w:rsid w:val="1F8C1DF0"/>
    <w:rsid w:val="20B415FA"/>
    <w:rsid w:val="20DA3519"/>
    <w:rsid w:val="211903B5"/>
    <w:rsid w:val="21AF6086"/>
    <w:rsid w:val="21D7200F"/>
    <w:rsid w:val="21FF1EE9"/>
    <w:rsid w:val="224C4814"/>
    <w:rsid w:val="22F7744E"/>
    <w:rsid w:val="230439E3"/>
    <w:rsid w:val="23AC703D"/>
    <w:rsid w:val="25417661"/>
    <w:rsid w:val="25AD7DBF"/>
    <w:rsid w:val="25C41A79"/>
    <w:rsid w:val="25D01CF0"/>
    <w:rsid w:val="25D21F9B"/>
    <w:rsid w:val="264C7B38"/>
    <w:rsid w:val="265C67D3"/>
    <w:rsid w:val="274E23CA"/>
    <w:rsid w:val="2771557E"/>
    <w:rsid w:val="280244F4"/>
    <w:rsid w:val="28B279B4"/>
    <w:rsid w:val="28DB0A41"/>
    <w:rsid w:val="29FF142C"/>
    <w:rsid w:val="2AEA33A3"/>
    <w:rsid w:val="2B297934"/>
    <w:rsid w:val="2BA50779"/>
    <w:rsid w:val="2C677E7C"/>
    <w:rsid w:val="2D1B099D"/>
    <w:rsid w:val="2D46550B"/>
    <w:rsid w:val="2D99774B"/>
    <w:rsid w:val="2E884E15"/>
    <w:rsid w:val="2E8C1473"/>
    <w:rsid w:val="2EE02CED"/>
    <w:rsid w:val="2F5940C6"/>
    <w:rsid w:val="2FB92DE9"/>
    <w:rsid w:val="30034B0E"/>
    <w:rsid w:val="303B31BD"/>
    <w:rsid w:val="30DC6DFC"/>
    <w:rsid w:val="3301756A"/>
    <w:rsid w:val="33102644"/>
    <w:rsid w:val="339207B1"/>
    <w:rsid w:val="34B50EE4"/>
    <w:rsid w:val="356F2FDD"/>
    <w:rsid w:val="36F4783D"/>
    <w:rsid w:val="37FF78CB"/>
    <w:rsid w:val="38A25E40"/>
    <w:rsid w:val="38A62207"/>
    <w:rsid w:val="39AE6358"/>
    <w:rsid w:val="3A5F274A"/>
    <w:rsid w:val="3BB12285"/>
    <w:rsid w:val="3C783F36"/>
    <w:rsid w:val="3C9A7261"/>
    <w:rsid w:val="3D123278"/>
    <w:rsid w:val="3D306D49"/>
    <w:rsid w:val="3D9F41EB"/>
    <w:rsid w:val="3E0A3243"/>
    <w:rsid w:val="3E69770C"/>
    <w:rsid w:val="3F764CA9"/>
    <w:rsid w:val="3F985D41"/>
    <w:rsid w:val="3FF95F26"/>
    <w:rsid w:val="408F0DDD"/>
    <w:rsid w:val="419C2F68"/>
    <w:rsid w:val="41D31183"/>
    <w:rsid w:val="42AD47DE"/>
    <w:rsid w:val="43D10B6C"/>
    <w:rsid w:val="43DB1093"/>
    <w:rsid w:val="44B72988"/>
    <w:rsid w:val="44D76B6A"/>
    <w:rsid w:val="452D416E"/>
    <w:rsid w:val="454145FF"/>
    <w:rsid w:val="45C717F4"/>
    <w:rsid w:val="46C819FD"/>
    <w:rsid w:val="46EB5F4B"/>
    <w:rsid w:val="476834A9"/>
    <w:rsid w:val="478168F7"/>
    <w:rsid w:val="484F7E61"/>
    <w:rsid w:val="485727E6"/>
    <w:rsid w:val="48BC3CB4"/>
    <w:rsid w:val="492C6C09"/>
    <w:rsid w:val="4B3F3CD1"/>
    <w:rsid w:val="4B7D2042"/>
    <w:rsid w:val="4CCE3A8F"/>
    <w:rsid w:val="4DDE6498"/>
    <w:rsid w:val="4DFB264D"/>
    <w:rsid w:val="4E887C97"/>
    <w:rsid w:val="502E4CE4"/>
    <w:rsid w:val="5036491C"/>
    <w:rsid w:val="51AA321A"/>
    <w:rsid w:val="51BB5F74"/>
    <w:rsid w:val="51D30789"/>
    <w:rsid w:val="51FC3859"/>
    <w:rsid w:val="52B81A73"/>
    <w:rsid w:val="536F179E"/>
    <w:rsid w:val="53A02794"/>
    <w:rsid w:val="53A551A0"/>
    <w:rsid w:val="5411106D"/>
    <w:rsid w:val="543D7B60"/>
    <w:rsid w:val="544D1B39"/>
    <w:rsid w:val="551C59CE"/>
    <w:rsid w:val="56AE3064"/>
    <w:rsid w:val="585D60C3"/>
    <w:rsid w:val="58693CF0"/>
    <w:rsid w:val="58E05BE3"/>
    <w:rsid w:val="58E6094E"/>
    <w:rsid w:val="59454242"/>
    <w:rsid w:val="597D2932"/>
    <w:rsid w:val="59962476"/>
    <w:rsid w:val="5A2140DC"/>
    <w:rsid w:val="5AB15886"/>
    <w:rsid w:val="5B920B35"/>
    <w:rsid w:val="5B9447E3"/>
    <w:rsid w:val="5BA04C44"/>
    <w:rsid w:val="5C6A6A28"/>
    <w:rsid w:val="5C6A7016"/>
    <w:rsid w:val="5CD45920"/>
    <w:rsid w:val="5D541F57"/>
    <w:rsid w:val="5E1A3D21"/>
    <w:rsid w:val="5ED65151"/>
    <w:rsid w:val="5F614E68"/>
    <w:rsid w:val="5F634B38"/>
    <w:rsid w:val="5FD70968"/>
    <w:rsid w:val="604D14A3"/>
    <w:rsid w:val="606377EC"/>
    <w:rsid w:val="60907D75"/>
    <w:rsid w:val="62720811"/>
    <w:rsid w:val="62CA45A2"/>
    <w:rsid w:val="63546188"/>
    <w:rsid w:val="637A38A1"/>
    <w:rsid w:val="63B13956"/>
    <w:rsid w:val="6422105A"/>
    <w:rsid w:val="644E2D40"/>
    <w:rsid w:val="64572442"/>
    <w:rsid w:val="647B64A1"/>
    <w:rsid w:val="653E05DE"/>
    <w:rsid w:val="668D671F"/>
    <w:rsid w:val="67911F69"/>
    <w:rsid w:val="67D15A5F"/>
    <w:rsid w:val="67E9565E"/>
    <w:rsid w:val="6832145A"/>
    <w:rsid w:val="68E13002"/>
    <w:rsid w:val="6A1324A1"/>
    <w:rsid w:val="6AF46054"/>
    <w:rsid w:val="6B1C21F3"/>
    <w:rsid w:val="6BA60F2C"/>
    <w:rsid w:val="6BC12311"/>
    <w:rsid w:val="6C9524DD"/>
    <w:rsid w:val="6D6B00E5"/>
    <w:rsid w:val="6D794D48"/>
    <w:rsid w:val="6DC721AC"/>
    <w:rsid w:val="6E691593"/>
    <w:rsid w:val="6E9804E8"/>
    <w:rsid w:val="6F686FC6"/>
    <w:rsid w:val="70963436"/>
    <w:rsid w:val="715F724B"/>
    <w:rsid w:val="71BF4634"/>
    <w:rsid w:val="736F49C4"/>
    <w:rsid w:val="73FA40C7"/>
    <w:rsid w:val="74B57B53"/>
    <w:rsid w:val="74D95E13"/>
    <w:rsid w:val="74DA7762"/>
    <w:rsid w:val="74E760B5"/>
    <w:rsid w:val="750503BE"/>
    <w:rsid w:val="751172B8"/>
    <w:rsid w:val="75DC0AA3"/>
    <w:rsid w:val="75F33E51"/>
    <w:rsid w:val="764A076A"/>
    <w:rsid w:val="77427A58"/>
    <w:rsid w:val="776F4AC7"/>
    <w:rsid w:val="77CE0ABB"/>
    <w:rsid w:val="78541493"/>
    <w:rsid w:val="78A25126"/>
    <w:rsid w:val="78D554E1"/>
    <w:rsid w:val="7A7244D9"/>
    <w:rsid w:val="7D741AB5"/>
    <w:rsid w:val="7F28622A"/>
    <w:rsid w:val="7F362D77"/>
    <w:rsid w:val="7FC632C4"/>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0"/>
    <w:pPr>
      <w:keepNext/>
      <w:keepLines/>
      <w:spacing w:line="576" w:lineRule="auto"/>
      <w:outlineLvl w:val="0"/>
    </w:pPr>
    <w:rPr>
      <w:b/>
      <w:kern w:val="44"/>
      <w:sz w:val="44"/>
    </w:rPr>
  </w:style>
  <w:style w:type="paragraph" w:styleId="2">
    <w:name w:val="heading 3"/>
    <w:basedOn w:val="1"/>
    <w:next w:val="1"/>
    <w:autoRedefine/>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jc w:val="left"/>
      <w:outlineLvl w:val="3"/>
    </w:pPr>
    <w:rPr>
      <w:rFonts w:eastAsia="宋体"/>
      <w:b/>
      <w:bCs/>
      <w:sz w:val="28"/>
      <w:szCs w:val="28"/>
    </w:rPr>
  </w:style>
  <w:style w:type="character" w:default="1" w:styleId="19">
    <w:name w:val="Default Paragraph Font"/>
    <w:autoRedefine/>
    <w:semiHidden/>
    <w:unhideWhenUsed/>
    <w:uiPriority w:val="1"/>
  </w:style>
  <w:style w:type="table" w:default="1" w:styleId="18">
    <w:name w:val="Normal Table"/>
    <w:autoRedefine/>
    <w:semiHidden/>
    <w:unhideWhenUsed/>
    <w:uiPriority w:val="99"/>
    <w:tblPr>
      <w:tblCellMar>
        <w:top w:w="0" w:type="dxa"/>
        <w:left w:w="108" w:type="dxa"/>
        <w:bottom w:w="0" w:type="dxa"/>
        <w:right w:w="108" w:type="dxa"/>
      </w:tblCellMar>
    </w:tblPr>
  </w:style>
  <w:style w:type="paragraph" w:styleId="5">
    <w:name w:val="Normal Indent"/>
    <w:basedOn w:val="1"/>
    <w:autoRedefine/>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5"/>
    <w:autoRedefine/>
    <w:qFormat/>
    <w:uiPriority w:val="0"/>
    <w:pPr>
      <w:spacing w:after="120"/>
    </w:pPr>
  </w:style>
  <w:style w:type="paragraph" w:styleId="7">
    <w:name w:val="Body Text Indent"/>
    <w:basedOn w:val="1"/>
    <w:autoRedefine/>
    <w:qFormat/>
    <w:uiPriority w:val="0"/>
    <w:pPr>
      <w:spacing w:line="360" w:lineRule="auto"/>
      <w:ind w:firstLine="495"/>
    </w:pPr>
    <w:rPr>
      <w:rFonts w:ascii="宋体" w:hAnsi="宋体"/>
      <w:sz w:val="24"/>
    </w:rPr>
  </w:style>
  <w:style w:type="paragraph" w:styleId="8">
    <w:name w:val="toc 3"/>
    <w:basedOn w:val="9"/>
    <w:next w:val="1"/>
    <w:autoRedefine/>
    <w:qFormat/>
    <w:uiPriority w:val="0"/>
    <w:pPr>
      <w:spacing w:line="240" w:lineRule="auto"/>
      <w:ind w:left="840" w:leftChars="400"/>
    </w:pPr>
    <w:rPr>
      <w:rFonts w:eastAsia="宋体"/>
      <w:sz w:val="21"/>
      <w:szCs w:val="20"/>
    </w:rPr>
  </w:style>
  <w:style w:type="paragraph" w:styleId="9">
    <w:name w:val="toc 1"/>
    <w:basedOn w:val="1"/>
    <w:next w:val="1"/>
    <w:qFormat/>
    <w:uiPriority w:val="0"/>
  </w:style>
  <w:style w:type="paragraph" w:styleId="10">
    <w:name w:val="Plain Text"/>
    <w:basedOn w:val="1"/>
    <w:link w:val="33"/>
    <w:autoRedefine/>
    <w:qFormat/>
    <w:uiPriority w:val="0"/>
    <w:rPr>
      <w:rFonts w:ascii="宋体" w:hAnsi="Courier New" w:eastAsia="宋体" w:cs="Courier New"/>
      <w:sz w:val="21"/>
      <w:szCs w:val="21"/>
    </w:rPr>
  </w:style>
  <w:style w:type="paragraph" w:styleId="11">
    <w:name w:val="Date"/>
    <w:basedOn w:val="1"/>
    <w:next w:val="1"/>
    <w:qFormat/>
    <w:uiPriority w:val="0"/>
    <w:pPr>
      <w:ind w:left="100" w:leftChars="2500"/>
    </w:pPr>
  </w:style>
  <w:style w:type="paragraph" w:styleId="12">
    <w:name w:val="Balloon Text"/>
    <w:basedOn w:val="1"/>
    <w:link w:val="30"/>
    <w:autoRedefine/>
    <w:qFormat/>
    <w:uiPriority w:val="0"/>
    <w:pPr>
      <w:spacing w:line="240" w:lineRule="auto"/>
    </w:pPr>
    <w:rPr>
      <w:sz w:val="18"/>
      <w:szCs w:val="18"/>
    </w:rPr>
  </w:style>
  <w:style w:type="paragraph" w:styleId="13">
    <w:name w:val="footer"/>
    <w:basedOn w:val="1"/>
    <w:link w:val="29"/>
    <w:autoRedefine/>
    <w:qFormat/>
    <w:uiPriority w:val="99"/>
    <w:pPr>
      <w:tabs>
        <w:tab w:val="center" w:pos="4153"/>
        <w:tab w:val="right" w:pos="8306"/>
      </w:tabs>
      <w:snapToGrid w:val="0"/>
      <w:jc w:val="left"/>
    </w:pPr>
    <w:rPr>
      <w:sz w:val="18"/>
      <w:szCs w:val="18"/>
    </w:rPr>
  </w:style>
  <w:style w:type="paragraph" w:styleId="14">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1"/>
    <w:link w:val="40"/>
    <w:autoRedefine/>
    <w:qFormat/>
    <w:uiPriority w:val="0"/>
    <w:pPr>
      <w:spacing w:before="240" w:after="60" w:line="480" w:lineRule="auto"/>
      <w:jc w:val="center"/>
      <w:outlineLvl w:val="0"/>
    </w:pPr>
    <w:rPr>
      <w:rFonts w:ascii="Cambria" w:hAnsi="Cambria" w:eastAsia="宋体"/>
      <w:b/>
      <w:bCs/>
      <w:szCs w:val="32"/>
    </w:rPr>
  </w:style>
  <w:style w:type="paragraph" w:styleId="16">
    <w:name w:val="Body Text First Indent"/>
    <w:basedOn w:val="6"/>
    <w:link w:val="36"/>
    <w:autoRedefine/>
    <w:qFormat/>
    <w:uiPriority w:val="0"/>
    <w:pPr>
      <w:ind w:firstLine="420" w:firstLineChars="100"/>
    </w:pPr>
  </w:style>
  <w:style w:type="paragraph" w:styleId="17">
    <w:name w:val="Body Text First Indent 2"/>
    <w:basedOn w:val="7"/>
    <w:next w:val="1"/>
    <w:autoRedefine/>
    <w:qFormat/>
    <w:uiPriority w:val="0"/>
    <w:pPr>
      <w:ind w:firstLine="420" w:firstLineChars="200"/>
    </w:pPr>
    <w:rPr>
      <w:sz w:val="21"/>
    </w:rPr>
  </w:style>
  <w:style w:type="character" w:styleId="20">
    <w:name w:val="page number"/>
    <w:basedOn w:val="19"/>
    <w:autoRedefine/>
    <w:qFormat/>
    <w:uiPriority w:val="0"/>
  </w:style>
  <w:style w:type="paragraph" w:customStyle="1" w:styleId="2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表格内"/>
    <w:basedOn w:val="1"/>
    <w:autoRedefine/>
    <w:qFormat/>
    <w:uiPriority w:val="0"/>
    <w:pPr>
      <w:spacing w:line="360" w:lineRule="exact"/>
      <w:jc w:val="center"/>
    </w:pPr>
    <w:rPr>
      <w:snapToGrid w:val="0"/>
      <w:szCs w:val="21"/>
    </w:rPr>
  </w:style>
  <w:style w:type="paragraph" w:styleId="23">
    <w:name w:val="List Paragraph"/>
    <w:basedOn w:val="1"/>
    <w:autoRedefine/>
    <w:qFormat/>
    <w:uiPriority w:val="34"/>
    <w:pPr>
      <w:ind w:firstLine="420" w:firstLineChars="200"/>
    </w:pPr>
  </w:style>
  <w:style w:type="character" w:customStyle="1" w:styleId="24">
    <w:name w:val="正文文本 Char"/>
    <w:basedOn w:val="19"/>
    <w:autoRedefine/>
    <w:qFormat/>
    <w:uiPriority w:val="0"/>
    <w:rPr>
      <w:kern w:val="2"/>
      <w:sz w:val="21"/>
      <w:szCs w:val="24"/>
    </w:rPr>
  </w:style>
  <w:style w:type="character" w:customStyle="1" w:styleId="25">
    <w:name w:val="正文文本 Char1"/>
    <w:basedOn w:val="19"/>
    <w:link w:val="6"/>
    <w:autoRedefine/>
    <w:qFormat/>
    <w:uiPriority w:val="0"/>
    <w:rPr>
      <w:kern w:val="2"/>
      <w:sz w:val="21"/>
      <w:szCs w:val="24"/>
    </w:rPr>
  </w:style>
  <w:style w:type="character" w:customStyle="1" w:styleId="26">
    <w:name w:val="标题 1 Char"/>
    <w:link w:val="3"/>
    <w:autoRedefine/>
    <w:qFormat/>
    <w:uiPriority w:val="0"/>
    <w:rPr>
      <w:b/>
      <w:kern w:val="44"/>
      <w:sz w:val="44"/>
    </w:rPr>
  </w:style>
  <w:style w:type="character" w:customStyle="1" w:styleId="27">
    <w:name w:val="样式 四号"/>
    <w:autoRedefine/>
    <w:qFormat/>
    <w:uiPriority w:val="0"/>
    <w:rPr>
      <w:sz w:val="28"/>
    </w:rPr>
  </w:style>
  <w:style w:type="character" w:customStyle="1" w:styleId="28">
    <w:name w:val="页眉 Char"/>
    <w:basedOn w:val="19"/>
    <w:link w:val="14"/>
    <w:autoRedefine/>
    <w:qFormat/>
    <w:uiPriority w:val="0"/>
    <w:rPr>
      <w:rFonts w:ascii="Times New Roman" w:hAnsi="Times New Roman" w:eastAsia="仿宋_GB2312"/>
      <w:kern w:val="2"/>
      <w:sz w:val="18"/>
      <w:szCs w:val="18"/>
    </w:rPr>
  </w:style>
  <w:style w:type="character" w:customStyle="1" w:styleId="29">
    <w:name w:val="页脚 Char"/>
    <w:basedOn w:val="19"/>
    <w:link w:val="13"/>
    <w:autoRedefine/>
    <w:qFormat/>
    <w:uiPriority w:val="99"/>
    <w:rPr>
      <w:rFonts w:ascii="Times New Roman" w:hAnsi="Times New Roman" w:eastAsia="仿宋_GB2312"/>
      <w:kern w:val="2"/>
      <w:sz w:val="18"/>
      <w:szCs w:val="18"/>
    </w:rPr>
  </w:style>
  <w:style w:type="character" w:customStyle="1" w:styleId="30">
    <w:name w:val="批注框文本 Char"/>
    <w:basedOn w:val="19"/>
    <w:link w:val="12"/>
    <w:autoRedefine/>
    <w:qFormat/>
    <w:uiPriority w:val="0"/>
    <w:rPr>
      <w:rFonts w:ascii="Times New Roman" w:hAnsi="Times New Roman" w:eastAsia="仿宋_GB2312"/>
      <w:kern w:val="2"/>
      <w:sz w:val="18"/>
      <w:szCs w:val="18"/>
    </w:rPr>
  </w:style>
  <w:style w:type="character" w:customStyle="1" w:styleId="31">
    <w:name w:val="报告书正文 Char"/>
    <w:link w:val="32"/>
    <w:autoRedefine/>
    <w:qFormat/>
    <w:uiPriority w:val="0"/>
    <w:rPr>
      <w:rFonts w:ascii="Times New Roman" w:hAnsi="Times New Roman"/>
      <w:sz w:val="24"/>
      <w:szCs w:val="21"/>
    </w:rPr>
  </w:style>
  <w:style w:type="paragraph" w:customStyle="1" w:styleId="32">
    <w:name w:val="报告书正文"/>
    <w:basedOn w:val="10"/>
    <w:link w:val="31"/>
    <w:autoRedefine/>
    <w:qFormat/>
    <w:uiPriority w:val="0"/>
    <w:pPr>
      <w:widowControl/>
      <w:spacing w:line="360" w:lineRule="auto"/>
      <w:ind w:firstLine="480" w:firstLineChars="200"/>
    </w:pPr>
    <w:rPr>
      <w:rFonts w:ascii="Times New Roman" w:hAnsi="Times New Roman" w:cs="Times New Roman"/>
      <w:kern w:val="0"/>
      <w:sz w:val="24"/>
    </w:rPr>
  </w:style>
  <w:style w:type="character" w:customStyle="1" w:styleId="33">
    <w:name w:val="纯文本 Char"/>
    <w:basedOn w:val="19"/>
    <w:link w:val="10"/>
    <w:autoRedefine/>
    <w:qFormat/>
    <w:uiPriority w:val="0"/>
    <w:rPr>
      <w:rFonts w:ascii="宋体" w:hAnsi="Courier New" w:cs="Courier New"/>
      <w:kern w:val="2"/>
      <w:sz w:val="21"/>
      <w:szCs w:val="21"/>
    </w:rPr>
  </w:style>
  <w:style w:type="character" w:customStyle="1" w:styleId="34">
    <w:name w:val="表内内容 Char Char"/>
    <w:link w:val="35"/>
    <w:autoRedefine/>
    <w:qFormat/>
    <w:uiPriority w:val="0"/>
    <w:rPr>
      <w:rFonts w:ascii="Times New Roman" w:hAnsi="Times New Roman"/>
      <w:kern w:val="2"/>
      <w:sz w:val="21"/>
      <w:szCs w:val="28"/>
    </w:rPr>
  </w:style>
  <w:style w:type="paragraph" w:customStyle="1" w:styleId="35">
    <w:name w:val="表内内容"/>
    <w:basedOn w:val="1"/>
    <w:link w:val="34"/>
    <w:autoRedefine/>
    <w:qFormat/>
    <w:uiPriority w:val="0"/>
    <w:pPr>
      <w:adjustRightInd w:val="0"/>
      <w:spacing w:line="240" w:lineRule="auto"/>
      <w:jc w:val="center"/>
    </w:pPr>
    <w:rPr>
      <w:rFonts w:eastAsia="宋体"/>
      <w:sz w:val="21"/>
      <w:szCs w:val="28"/>
    </w:rPr>
  </w:style>
  <w:style w:type="character" w:customStyle="1" w:styleId="36">
    <w:name w:val="正文首行缩进 Char"/>
    <w:basedOn w:val="25"/>
    <w:link w:val="16"/>
    <w:autoRedefine/>
    <w:qFormat/>
    <w:uiPriority w:val="0"/>
    <w:rPr>
      <w:rFonts w:ascii="Times New Roman" w:hAnsi="Times New Roman" w:eastAsia="仿宋_GB2312"/>
      <w:kern w:val="2"/>
      <w:sz w:val="32"/>
      <w:szCs w:val="24"/>
    </w:rPr>
  </w:style>
  <w:style w:type="character" w:customStyle="1" w:styleId="37">
    <w:name w:val="！正文 Char"/>
    <w:link w:val="38"/>
    <w:autoRedefine/>
    <w:qFormat/>
    <w:uiPriority w:val="0"/>
    <w:rPr>
      <w:rFonts w:ascii="Times New Roman" w:hAnsi="Times New Roman" w:eastAsia="Times New Roman"/>
      <w:sz w:val="24"/>
    </w:rPr>
  </w:style>
  <w:style w:type="paragraph" w:customStyle="1" w:styleId="38">
    <w:name w:val="！正文"/>
    <w:basedOn w:val="1"/>
    <w:link w:val="37"/>
    <w:autoRedefine/>
    <w:qFormat/>
    <w:uiPriority w:val="0"/>
    <w:pPr>
      <w:spacing w:line="360" w:lineRule="auto"/>
      <w:ind w:firstLine="643" w:firstLineChars="200"/>
    </w:pPr>
    <w:rPr>
      <w:rFonts w:eastAsia="Times New Roman"/>
      <w:kern w:val="0"/>
      <w:sz w:val="24"/>
      <w:szCs w:val="20"/>
    </w:rPr>
  </w:style>
  <w:style w:type="paragraph" w:customStyle="1" w:styleId="39">
    <w:name w:val="文本"/>
    <w:basedOn w:val="1"/>
    <w:autoRedefine/>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0">
    <w:name w:val="标题 Char"/>
    <w:link w:val="15"/>
    <w:autoRedefine/>
    <w:qFormat/>
    <w:uiPriority w:val="0"/>
    <w:rPr>
      <w:rFonts w:ascii="Cambria" w:hAnsi="Cambria"/>
      <w:b/>
      <w:bCs/>
      <w:kern w:val="2"/>
      <w:sz w:val="32"/>
      <w:szCs w:val="32"/>
    </w:rPr>
  </w:style>
  <w:style w:type="character" w:customStyle="1" w:styleId="41">
    <w:name w:val="标题 Char1"/>
    <w:basedOn w:val="19"/>
    <w:autoRedefine/>
    <w:qFormat/>
    <w:uiPriority w:val="0"/>
    <w:rPr>
      <w:rFonts w:asciiTheme="majorHAnsi" w:hAnsiTheme="majorHAnsi" w:cstheme="majorBidi"/>
      <w:b/>
      <w:bCs/>
      <w:kern w:val="2"/>
      <w:sz w:val="32"/>
      <w:szCs w:val="32"/>
    </w:rPr>
  </w:style>
  <w:style w:type="paragraph" w:customStyle="1" w:styleId="42">
    <w:name w:val="1-正文"/>
    <w:basedOn w:val="1"/>
    <w:autoRedefine/>
    <w:qFormat/>
    <w:uiPriority w:val="0"/>
    <w:pPr>
      <w:spacing w:line="360" w:lineRule="auto"/>
      <w:ind w:firstLine="200" w:firstLineChars="200"/>
    </w:pPr>
    <w:rPr>
      <w:rFonts w:eastAsia="宋体"/>
      <w:sz w:val="21"/>
      <w:szCs w:val="22"/>
    </w:rPr>
  </w:style>
  <w:style w:type="paragraph" w:customStyle="1" w:styleId="43">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6638-42CF-4CCF-9CC5-8EC82B76A30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345</Words>
  <Characters>1967</Characters>
  <Lines>16</Lines>
  <Paragraphs>4</Paragraphs>
  <TotalTime>11</TotalTime>
  <ScaleCrop>false</ScaleCrop>
  <LinksUpToDate>false</LinksUpToDate>
  <CharactersWithSpaces>2308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2024-02-20T03:49:00Z</cp:lastPrinted>
  <dcterms:modified xsi:type="dcterms:W3CDTF">2024-02-20T09:52:34Z</dcterms:modified>
  <dc:title>鄯政环〔2014〕号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3BE174B3BAEE4B41A30A6361C976E128_13</vt:lpwstr>
  </property>
</Properties>
</file>