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600" w:lineRule="exact"/>
        <w:jc w:val="right"/>
        <w:textAlignment w:val="auto"/>
        <w:outlineLvl w:val="0"/>
        <w:rPr>
          <w:b/>
          <w:bCs/>
          <w:color w:val="FF0000"/>
          <w:szCs w:val="32"/>
        </w:rPr>
      </w:pPr>
    </w:p>
    <w:p>
      <w:pPr>
        <w:pageBreakBefore w:val="0"/>
        <w:kinsoku/>
        <w:wordWrap/>
        <w:overflowPunct/>
        <w:topLinePunct w:val="0"/>
        <w:autoSpaceDE/>
        <w:autoSpaceDN/>
        <w:bidi w:val="0"/>
        <w:adjustRightInd/>
        <w:snapToGrid/>
        <w:spacing w:line="600" w:lineRule="exact"/>
        <w:jc w:val="right"/>
        <w:textAlignment w:val="auto"/>
        <w:outlineLvl w:val="0"/>
        <w:rPr>
          <w:b/>
          <w:bCs/>
          <w:color w:val="FF0000"/>
          <w:szCs w:val="32"/>
        </w:rPr>
      </w:pPr>
    </w:p>
    <w:p>
      <w:pPr>
        <w:pageBreakBefore w:val="0"/>
        <w:kinsoku/>
        <w:wordWrap/>
        <w:overflowPunct/>
        <w:topLinePunct w:val="0"/>
        <w:autoSpaceDE/>
        <w:autoSpaceDN/>
        <w:bidi w:val="0"/>
        <w:adjustRightInd/>
        <w:snapToGrid/>
        <w:spacing w:line="600" w:lineRule="exact"/>
        <w:ind w:firstLine="4800" w:firstLineChars="1500"/>
        <w:jc w:val="right"/>
        <w:textAlignment w:val="auto"/>
        <w:rPr>
          <w:rFonts w:hint="eastAsia" w:ascii="仿宋_GB2312"/>
          <w:szCs w:val="32"/>
        </w:rPr>
      </w:pPr>
      <w:r>
        <w:rPr>
          <w:rFonts w:hint="eastAsia" w:ascii="仿宋_GB2312"/>
          <w:szCs w:val="32"/>
        </w:rPr>
        <w:t>吐市环监函〔202</w:t>
      </w:r>
      <w:r>
        <w:rPr>
          <w:rFonts w:hint="eastAsia" w:ascii="仿宋_GB2312"/>
          <w:szCs w:val="32"/>
          <w:lang w:val="en-US" w:eastAsia="zh-CN"/>
        </w:rPr>
        <w:t>4</w:t>
      </w:r>
      <w:r>
        <w:rPr>
          <w:rFonts w:hint="eastAsia" w:ascii="仿宋_GB2312"/>
          <w:szCs w:val="32"/>
        </w:rPr>
        <w:t>〕</w:t>
      </w:r>
      <w:r>
        <w:rPr>
          <w:rFonts w:hint="eastAsia" w:ascii="仿宋_GB2312"/>
          <w:szCs w:val="32"/>
          <w:lang w:val="en-US" w:eastAsia="zh-CN"/>
        </w:rPr>
        <w:t xml:space="preserve"> 11 </w:t>
      </w:r>
      <w:r>
        <w:rPr>
          <w:rFonts w:hint="eastAsia" w:ascii="仿宋_GB2312"/>
          <w:szCs w:val="32"/>
        </w:rPr>
        <w:t>号</w:t>
      </w:r>
    </w:p>
    <w:p>
      <w:pPr>
        <w:pStyle w:val="22"/>
        <w:pageBreakBefore w:val="0"/>
        <w:kinsoku/>
        <w:wordWrap/>
        <w:overflowPunct/>
        <w:topLinePunct w:val="0"/>
        <w:autoSpaceDE/>
        <w:autoSpaceDN/>
        <w:bidi w:val="0"/>
        <w:adjustRightInd/>
        <w:snapToGrid/>
        <w:spacing w:line="600" w:lineRule="exact"/>
        <w:jc w:val="right"/>
        <w:textAlignment w:val="auto"/>
        <w:rPr>
          <w:color w:val="FF0000"/>
        </w:rPr>
      </w:pPr>
    </w:p>
    <w:p>
      <w:pPr>
        <w:pageBreakBefore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关于托克逊县源富鑫商贸有限公司水稳拌合站建设项目环境影响报告表的批复</w:t>
      </w:r>
    </w:p>
    <w:p>
      <w:pPr>
        <w:pStyle w:val="16"/>
        <w:pageBreakBefore w:val="0"/>
        <w:kinsoku/>
        <w:wordWrap/>
        <w:overflowPunct/>
        <w:topLinePunct w:val="0"/>
        <w:autoSpaceDE/>
        <w:autoSpaceDN/>
        <w:bidi w:val="0"/>
        <w:adjustRightInd/>
        <w:snapToGrid/>
        <w:spacing w:after="0" w:line="600" w:lineRule="exact"/>
        <w:ind w:firstLine="320"/>
        <w:textAlignment w:val="auto"/>
      </w:pPr>
    </w:p>
    <w:p>
      <w:pPr>
        <w:pageBreakBefore w:val="0"/>
        <w:kinsoku/>
        <w:wordWrap/>
        <w:overflowPunct/>
        <w:topLinePunct w:val="0"/>
        <w:autoSpaceDE/>
        <w:autoSpaceDN/>
        <w:bidi w:val="0"/>
        <w:adjustRightInd/>
        <w:snapToGrid/>
        <w:spacing w:line="600" w:lineRule="exact"/>
        <w:jc w:val="left"/>
        <w:textAlignment w:val="auto"/>
        <w:rPr>
          <w:rFonts w:ascii="仿宋_GB2312"/>
          <w:szCs w:val="32"/>
        </w:rPr>
      </w:pPr>
      <w:r>
        <w:rPr>
          <w:rFonts w:hint="eastAsia" w:ascii="仿宋_GB2312"/>
          <w:szCs w:val="32"/>
        </w:rPr>
        <w:t>托克逊县富鑫商贸有限公司：</w:t>
      </w:r>
    </w:p>
    <w:p>
      <w:pPr>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szCs w:val="32"/>
        </w:rPr>
      </w:pPr>
      <w:r>
        <w:rPr>
          <w:rFonts w:hint="eastAsia" w:ascii="仿宋_GB2312"/>
          <w:szCs w:val="32"/>
        </w:rPr>
        <w:t>你单位《关于&lt;托克逊县源富鑫商贸有限公司水稳拌合站建设项目环境影响报告表&gt;申请审批的请示》及相关附件收悉。经研究，批复如下：</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szCs w:val="32"/>
        </w:rPr>
      </w:pPr>
      <w:r>
        <w:rPr>
          <w:rFonts w:hint="eastAsia" w:ascii="仿宋_GB2312"/>
          <w:szCs w:val="32"/>
        </w:rPr>
        <w:t>一、托克逊县源富鑫商贸有限公司水稳拌合站建设项目位于托克逊县克尔碱镇英阿瓦提村</w:t>
      </w:r>
      <w:r>
        <w:rPr>
          <w:rFonts w:hint="eastAsia" w:ascii="仿宋_GB2312"/>
          <w:szCs w:val="32"/>
          <w:lang w:eastAsia="zh-CN"/>
        </w:rPr>
        <w:t>，</w:t>
      </w:r>
      <w:r>
        <w:rPr>
          <w:rFonts w:ascii="Times New Roman" w:hAnsi="Times New Roman"/>
        </w:rPr>
        <w:t>租用</w:t>
      </w:r>
      <w:r>
        <w:rPr>
          <w:rFonts w:hint="eastAsia" w:ascii="Times New Roman" w:hAnsi="Times New Roman"/>
        </w:rPr>
        <w:t>托克逊县克尔碱镇富民砂石料厂用地</w:t>
      </w:r>
      <w:r>
        <w:rPr>
          <w:rFonts w:hint="eastAsia" w:ascii="仿宋_GB2312"/>
          <w:szCs w:val="32"/>
        </w:rPr>
        <w:t>。本项目建设性质为新建，设计规模为年产37.8万</w:t>
      </w:r>
      <w:r>
        <w:rPr>
          <w:rFonts w:hint="eastAsia" w:ascii="仿宋_GB2312"/>
          <w:szCs w:val="32"/>
          <w:lang w:val="en-US" w:eastAsia="zh-CN"/>
        </w:rPr>
        <w:t>吨</w:t>
      </w:r>
      <w:r>
        <w:rPr>
          <w:rFonts w:hint="eastAsia" w:ascii="仿宋_GB2312"/>
          <w:szCs w:val="32"/>
        </w:rPr>
        <w:t>水稳料</w:t>
      </w:r>
      <w:r>
        <w:rPr>
          <w:rFonts w:hint="eastAsia" w:ascii="仿宋_GB2312"/>
          <w:szCs w:val="32"/>
          <w:lang w:eastAsia="zh-CN"/>
        </w:rPr>
        <w:t>。</w:t>
      </w:r>
      <w:r>
        <w:rPr>
          <w:rFonts w:hint="eastAsia" w:ascii="仿宋_GB2312"/>
          <w:szCs w:val="32"/>
          <w:lang w:val="en-US" w:eastAsia="zh-CN"/>
        </w:rPr>
        <w:t>主要建设内容包括</w:t>
      </w:r>
      <w:r>
        <w:rPr>
          <w:rFonts w:hint="eastAsia" w:ascii="仿宋_GB2312"/>
          <w:szCs w:val="32"/>
        </w:rPr>
        <w:t>新建1条水稳生产线</w:t>
      </w:r>
      <w:r>
        <w:rPr>
          <w:rFonts w:hint="eastAsia" w:ascii="仿宋_GB2312"/>
          <w:szCs w:val="32"/>
          <w:lang w:eastAsia="zh-CN"/>
        </w:rPr>
        <w:t>，</w:t>
      </w:r>
      <w:r>
        <w:rPr>
          <w:rFonts w:hint="eastAsia" w:ascii="仿宋_GB2312"/>
          <w:szCs w:val="32"/>
          <w:lang w:val="en-US" w:eastAsia="zh-CN"/>
        </w:rPr>
        <w:t>含</w:t>
      </w:r>
      <w:r>
        <w:rPr>
          <w:rFonts w:hint="eastAsia" w:ascii="仿宋_GB2312"/>
          <w:szCs w:val="32"/>
        </w:rPr>
        <w:t>砂石料配料系统、粉料供给系统、搅拌装置等</w:t>
      </w:r>
      <w:r>
        <w:rPr>
          <w:rFonts w:hint="eastAsia" w:ascii="仿宋_GB2312"/>
          <w:szCs w:val="32"/>
          <w:lang w:eastAsia="zh-CN"/>
        </w:rPr>
        <w:t>。</w:t>
      </w:r>
      <w:r>
        <w:rPr>
          <w:rFonts w:hint="eastAsia" w:ascii="仿宋_GB2312"/>
          <w:szCs w:val="32"/>
          <w:lang w:val="en-US" w:eastAsia="zh-CN"/>
        </w:rPr>
        <w:t>辅助、公用工程均依托</w:t>
      </w:r>
      <w:r>
        <w:rPr>
          <w:rFonts w:hint="eastAsia" w:ascii="仿宋_GB2312"/>
          <w:szCs w:val="32"/>
        </w:rPr>
        <w:t>托克逊县克尔碱镇富民砂石料厂</w:t>
      </w:r>
      <w:r>
        <w:rPr>
          <w:rFonts w:hint="eastAsia" w:ascii="仿宋_GB2312"/>
          <w:szCs w:val="32"/>
          <w:lang w:val="en-US" w:eastAsia="zh-CN"/>
        </w:rPr>
        <w:t>已有设施。项目总</w:t>
      </w:r>
      <w:r>
        <w:rPr>
          <w:rFonts w:hint="eastAsia" w:ascii="仿宋_GB2312"/>
          <w:szCs w:val="32"/>
        </w:rPr>
        <w:t>占地面积为400m</w:t>
      </w:r>
      <w:r>
        <w:rPr>
          <w:rFonts w:hint="eastAsia" w:ascii="仿宋_GB2312"/>
          <w:szCs w:val="32"/>
          <w:vertAlign w:val="superscript"/>
        </w:rPr>
        <w:t>2</w:t>
      </w:r>
      <w:r>
        <w:rPr>
          <w:rFonts w:hint="eastAsia" w:ascii="仿宋_GB2312"/>
          <w:szCs w:val="32"/>
        </w:rPr>
        <w:t>，总投资50万元，其中环保投资8万元，占总投资的16</w:t>
      </w:r>
      <w:r>
        <w:rPr>
          <w:rFonts w:ascii="仿宋_GB2312"/>
          <w:szCs w:val="32"/>
        </w:rPr>
        <w:t>%</w:t>
      </w:r>
      <w:r>
        <w:rPr>
          <w:rFonts w:hint="eastAsia" w:ascii="仿宋_GB2312"/>
          <w:szCs w:val="32"/>
        </w:rPr>
        <w:t>。</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cs="Times New Roman"/>
          <w:szCs w:val="32"/>
        </w:rPr>
      </w:pPr>
      <w:r>
        <w:rPr>
          <w:rFonts w:hint="eastAsia" w:ascii="仿宋_GB2312"/>
          <w:szCs w:val="32"/>
          <w:lang w:val="en-US" w:eastAsia="zh-CN"/>
        </w:rPr>
        <w:t>二、</w:t>
      </w:r>
      <w:r>
        <w:rPr>
          <w:rFonts w:hint="eastAsia" w:ascii="仿宋_GB2312"/>
          <w:szCs w:val="32"/>
        </w:rPr>
        <w:t>根据</w:t>
      </w:r>
      <w:r>
        <w:rPr>
          <w:rFonts w:ascii="仿宋_GB2312"/>
          <w:szCs w:val="32"/>
        </w:rPr>
        <w:t>新疆金咨源建设项目管</w:t>
      </w:r>
      <w:r>
        <w:rPr>
          <w:rFonts w:ascii="仿宋_GB2312" w:hAnsi="Times New Roman" w:cs="Times New Roman"/>
          <w:szCs w:val="32"/>
        </w:rPr>
        <w:t>理咨询有限公司</w:t>
      </w:r>
      <w:r>
        <w:rPr>
          <w:rFonts w:hint="eastAsia" w:ascii="仿宋_GB2312" w:hAnsi="Times New Roman" w:cs="Times New Roman"/>
          <w:szCs w:val="32"/>
        </w:rPr>
        <w:t>编制的《托克逊县源富鑫商贸有限公司水稳拌合站建设项目环境影响报告表》评价结论、托克逊县分局《关于</w:t>
      </w:r>
      <w:r>
        <w:rPr>
          <w:rFonts w:hint="eastAsia" w:ascii="仿宋_GB2312" w:cs="Times New Roman"/>
          <w:szCs w:val="32"/>
          <w:lang w:val="en-US" w:eastAsia="zh-CN"/>
        </w:rPr>
        <w:t>&lt;</w:t>
      </w:r>
      <w:r>
        <w:rPr>
          <w:rFonts w:hint="eastAsia" w:ascii="仿宋_GB2312" w:hAnsi="Times New Roman" w:cs="Times New Roman"/>
          <w:szCs w:val="32"/>
        </w:rPr>
        <w:t>托克逊县源富鑫商贸有限公司水稳拌合站建设项目环境影响报告表</w:t>
      </w:r>
      <w:r>
        <w:rPr>
          <w:rFonts w:hint="eastAsia" w:ascii="仿宋_GB2312" w:cs="Times New Roman"/>
          <w:szCs w:val="32"/>
          <w:lang w:val="en-US" w:eastAsia="zh-CN"/>
        </w:rPr>
        <w:t>&gt;</w:t>
      </w:r>
      <w:r>
        <w:rPr>
          <w:rFonts w:hint="eastAsia" w:ascii="仿宋_GB2312" w:hAnsi="Times New Roman" w:cs="Times New Roman"/>
          <w:szCs w:val="32"/>
        </w:rPr>
        <w:t>的初审意见》（托环监函〔2023〕34号），该项目在落实《报告表》提出的各项环境保护措施后，项目所产生的不利影响可以得到缓解和控制。从环境保护的角度，原则同意该项目按照《报告表》中所列项目地点、性质、规模及拟采取的各项环境保护措施进行建设。</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cs="Times New Roman"/>
          <w:kern w:val="0"/>
          <w:szCs w:val="32"/>
        </w:rPr>
      </w:pPr>
      <w:r>
        <w:rPr>
          <w:rFonts w:hint="eastAsia" w:ascii="仿宋_GB2312" w:hAnsi="Times New Roman" w:cs="Times New Roman"/>
          <w:szCs w:val="32"/>
        </w:rPr>
        <w:t>三、在项目建设、运行和环境管理中要认真落实《报告表》提出的各项环保要求，严格执行环保“三同时”制度，并重点做好以下工作：</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cs="宋体"/>
          <w:color w:val="FF0000"/>
          <w:kern w:val="0"/>
          <w:szCs w:val="32"/>
        </w:rPr>
      </w:pPr>
      <w:r>
        <w:rPr>
          <w:rFonts w:hint="eastAsia"/>
        </w:rPr>
        <w:t>（</w:t>
      </w:r>
      <w:r>
        <w:rPr>
          <w:rFonts w:hint="eastAsia"/>
          <w:lang w:val="en-US" w:eastAsia="zh-CN"/>
        </w:rPr>
        <w:t>一</w:t>
      </w:r>
      <w:r>
        <w:rPr>
          <w:rFonts w:hint="eastAsia"/>
        </w:rPr>
        <w:t>）</w:t>
      </w:r>
      <w:r>
        <w:rPr>
          <w:rFonts w:hint="eastAsia" w:ascii="仿宋_GB2312" w:cs="宋体"/>
          <w:kern w:val="0"/>
          <w:szCs w:val="32"/>
        </w:rPr>
        <w:t>严格落实废气污染防治措施。项目水泥采用料仓储存，搅拌</w:t>
      </w:r>
      <w:r>
        <w:rPr>
          <w:rFonts w:hint="eastAsia" w:ascii="仿宋_GB2312" w:cs="宋体"/>
          <w:kern w:val="0"/>
          <w:szCs w:val="32"/>
          <w:lang w:val="en-US" w:eastAsia="zh-CN"/>
        </w:rPr>
        <w:t>设备</w:t>
      </w:r>
      <w:r>
        <w:rPr>
          <w:rFonts w:hint="eastAsia" w:ascii="仿宋_GB2312" w:cs="宋体"/>
          <w:kern w:val="0"/>
          <w:szCs w:val="32"/>
        </w:rPr>
        <w:t>密闭，</w:t>
      </w:r>
      <w:r>
        <w:rPr>
          <w:rFonts w:hint="eastAsia" w:ascii="仿宋_GB2312" w:cs="宋体"/>
          <w:kern w:val="0"/>
          <w:szCs w:val="32"/>
          <w:lang w:val="en-US" w:eastAsia="zh-CN"/>
        </w:rPr>
        <w:t>水泥筒仓产生的粉尘经</w:t>
      </w:r>
      <w:r>
        <w:rPr>
          <w:rFonts w:hint="eastAsia" w:ascii="仿宋_GB2312" w:cs="宋体"/>
          <w:kern w:val="0"/>
          <w:szCs w:val="32"/>
        </w:rPr>
        <w:t>筒仓顶部配置</w:t>
      </w:r>
      <w:r>
        <w:rPr>
          <w:rFonts w:hint="eastAsia" w:ascii="仿宋_GB2312" w:cs="宋体"/>
          <w:kern w:val="0"/>
          <w:szCs w:val="32"/>
          <w:lang w:val="en-US" w:eastAsia="zh-CN"/>
        </w:rPr>
        <w:t>的</w:t>
      </w:r>
      <w:r>
        <w:rPr>
          <w:rFonts w:hint="eastAsia" w:ascii="仿宋_GB2312" w:cs="宋体"/>
          <w:kern w:val="0"/>
          <w:szCs w:val="32"/>
        </w:rPr>
        <w:t>脉冲袋式除尘器</w:t>
      </w:r>
      <w:r>
        <w:rPr>
          <w:rFonts w:hint="eastAsia" w:ascii="仿宋_GB2312" w:cs="宋体"/>
          <w:kern w:val="0"/>
          <w:szCs w:val="32"/>
          <w:lang w:val="en-US" w:eastAsia="zh-CN"/>
        </w:rPr>
        <w:t>处理后</w:t>
      </w:r>
      <w:r>
        <w:rPr>
          <w:rFonts w:hint="eastAsia" w:ascii="仿宋_GB2312" w:cs="宋体"/>
          <w:kern w:val="0"/>
          <w:szCs w:val="32"/>
        </w:rPr>
        <w:t>，</w:t>
      </w:r>
      <w:r>
        <w:rPr>
          <w:rFonts w:hint="eastAsia" w:ascii="仿宋_GB2312" w:cs="宋体"/>
          <w:kern w:val="0"/>
          <w:szCs w:val="32"/>
          <w:lang w:val="en-US" w:eastAsia="zh-CN"/>
        </w:rPr>
        <w:t>通过仓顶排气孔排放。不设置砂石料原料堆场，厂区内道路须全部硬化，</w:t>
      </w:r>
      <w:r>
        <w:rPr>
          <w:rFonts w:hint="eastAsia" w:ascii="仿宋_GB2312" w:cs="宋体"/>
          <w:kern w:val="0"/>
          <w:szCs w:val="32"/>
        </w:rPr>
        <w:t>定期清扫</w:t>
      </w:r>
      <w:r>
        <w:rPr>
          <w:rFonts w:hint="eastAsia" w:ascii="仿宋_GB2312" w:cs="宋体"/>
          <w:kern w:val="0"/>
          <w:szCs w:val="32"/>
          <w:lang w:eastAsia="zh-CN"/>
        </w:rPr>
        <w:t>、</w:t>
      </w:r>
      <w:r>
        <w:rPr>
          <w:rFonts w:hint="eastAsia" w:ascii="仿宋_GB2312" w:cs="宋体"/>
          <w:kern w:val="0"/>
          <w:szCs w:val="32"/>
        </w:rPr>
        <w:t>喷洒</w:t>
      </w:r>
      <w:r>
        <w:rPr>
          <w:rFonts w:hint="eastAsia" w:ascii="仿宋_GB2312" w:cs="宋体"/>
          <w:kern w:val="0"/>
          <w:szCs w:val="32"/>
          <w:lang w:eastAsia="zh-CN"/>
        </w:rPr>
        <w:t>，</w:t>
      </w:r>
      <w:r>
        <w:rPr>
          <w:rFonts w:hint="eastAsia" w:ascii="仿宋_GB2312" w:cs="宋体"/>
          <w:kern w:val="0"/>
          <w:szCs w:val="32"/>
        </w:rPr>
        <w:t>车辆运输过程中加盖篷布</w:t>
      </w:r>
      <w:r>
        <w:rPr>
          <w:rFonts w:hint="eastAsia" w:ascii="仿宋_GB2312" w:cs="宋体"/>
          <w:kern w:val="0"/>
          <w:szCs w:val="32"/>
          <w:lang w:eastAsia="zh-CN"/>
        </w:rPr>
        <w:t>，</w:t>
      </w:r>
      <w:r>
        <w:rPr>
          <w:rFonts w:hint="eastAsia" w:ascii="仿宋_GB2312" w:cs="宋体"/>
          <w:kern w:val="0"/>
          <w:szCs w:val="32"/>
          <w:lang w:val="en-US" w:eastAsia="zh-CN"/>
        </w:rPr>
        <w:t>粉尘排放须</w:t>
      </w:r>
      <w:r>
        <w:rPr>
          <w:rFonts w:hint="eastAsia" w:ascii="仿宋_GB2312" w:cs="宋体"/>
          <w:kern w:val="0"/>
          <w:szCs w:val="32"/>
        </w:rPr>
        <w:t>满足《水泥工业大气污染物排放标准》（GB4915-2013）表3中“颗粒物0.5mg/m</w:t>
      </w:r>
      <w:r>
        <w:rPr>
          <w:rFonts w:hint="eastAsia" w:ascii="仿宋_GB2312" w:cs="宋体"/>
          <w:kern w:val="0"/>
          <w:szCs w:val="32"/>
          <w:vertAlign w:val="superscript"/>
        </w:rPr>
        <w:t>3</w:t>
      </w:r>
      <w:r>
        <w:rPr>
          <w:rFonts w:hint="eastAsia" w:ascii="仿宋_GB2312" w:cs="宋体"/>
          <w:kern w:val="0"/>
          <w:szCs w:val="32"/>
        </w:rPr>
        <w:t>无组织排放限值”。</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cs="宋体"/>
          <w:kern w:val="0"/>
          <w:szCs w:val="32"/>
          <w:lang w:val="en-US" w:eastAsia="zh-CN"/>
        </w:rPr>
      </w:pPr>
      <w:r>
        <w:rPr>
          <w:rFonts w:hint="eastAsia" w:ascii="仿宋_GB2312" w:cs="宋体"/>
          <w:kern w:val="0"/>
          <w:szCs w:val="32"/>
        </w:rPr>
        <w:t>（</w:t>
      </w:r>
      <w:r>
        <w:rPr>
          <w:rFonts w:hint="eastAsia" w:ascii="仿宋_GB2312" w:cs="宋体"/>
          <w:kern w:val="0"/>
          <w:szCs w:val="32"/>
          <w:lang w:val="en-US" w:eastAsia="zh-CN"/>
        </w:rPr>
        <w:t>二</w:t>
      </w:r>
      <w:r>
        <w:rPr>
          <w:rFonts w:hint="eastAsia" w:ascii="仿宋_GB2312" w:cs="宋体"/>
          <w:kern w:val="0"/>
          <w:szCs w:val="32"/>
        </w:rPr>
        <w:t>）落实水污染防治措施。</w:t>
      </w:r>
      <w:r>
        <w:rPr>
          <w:rFonts w:hint="eastAsia" w:ascii="仿宋_GB2312" w:cs="宋体"/>
          <w:kern w:val="0"/>
          <w:szCs w:val="32"/>
          <w:lang w:val="en-US" w:eastAsia="zh-CN"/>
        </w:rPr>
        <w:t>项目产生的车辆冲洗废水、</w:t>
      </w:r>
      <w:r>
        <w:rPr>
          <w:rFonts w:hint="eastAsia" w:ascii="仿宋_GB2312" w:cs="宋体"/>
          <w:kern w:val="0"/>
          <w:szCs w:val="32"/>
        </w:rPr>
        <w:t>搅拌机冲洗废水</w:t>
      </w:r>
      <w:r>
        <w:rPr>
          <w:rFonts w:hint="eastAsia" w:ascii="仿宋_GB2312" w:cs="宋体"/>
          <w:kern w:val="0"/>
          <w:szCs w:val="32"/>
          <w:lang w:val="en-US" w:eastAsia="zh-CN"/>
        </w:rPr>
        <w:t>经沉淀池处理后回用于车辆冲洗，不外排。生活污水依托托克逊县克尔碱镇富民砂石料厂生活处理设施。</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cs="宋体"/>
          <w:kern w:val="0"/>
          <w:szCs w:val="32"/>
          <w:lang w:val="en-US" w:eastAsia="zh-CN"/>
        </w:rPr>
      </w:pPr>
      <w:r>
        <w:rPr>
          <w:rFonts w:hint="eastAsia" w:ascii="仿宋_GB2312" w:cs="宋体"/>
          <w:kern w:val="0"/>
          <w:szCs w:val="32"/>
        </w:rPr>
        <w:t>（</w:t>
      </w:r>
      <w:r>
        <w:rPr>
          <w:rFonts w:hint="eastAsia" w:ascii="仿宋_GB2312" w:cs="宋体"/>
          <w:kern w:val="0"/>
          <w:szCs w:val="32"/>
          <w:lang w:val="en-US" w:eastAsia="zh-CN"/>
        </w:rPr>
        <w:t>三</w:t>
      </w:r>
      <w:r>
        <w:rPr>
          <w:rFonts w:hint="eastAsia" w:ascii="仿宋_GB2312" w:cs="宋体"/>
          <w:kern w:val="0"/>
          <w:szCs w:val="32"/>
        </w:rPr>
        <w:t>）落实固体废物污染防治措施。</w:t>
      </w:r>
      <w:r>
        <w:rPr>
          <w:rFonts w:hint="eastAsia" w:ascii="仿宋_GB2312" w:cs="宋体"/>
          <w:kern w:val="0"/>
          <w:szCs w:val="32"/>
          <w:lang w:val="en-US" w:eastAsia="zh-CN"/>
        </w:rPr>
        <w:t>项目袋式除尘器收集的粉尘全部回用于生产。车辆、设备清洗固废经收集后回用于水稳材料生产中。沉淀池产生的沉淀污泥集中收集后返回生产线。废润滑油不在厂区储存。</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cs="宋体"/>
          <w:kern w:val="0"/>
          <w:szCs w:val="32"/>
        </w:rPr>
      </w:pPr>
      <w:r>
        <w:rPr>
          <w:rFonts w:hint="eastAsia" w:ascii="仿宋_GB2312" w:cs="宋体"/>
          <w:szCs w:val="32"/>
        </w:rPr>
        <w:t>（</w:t>
      </w:r>
      <w:r>
        <w:rPr>
          <w:rFonts w:hint="eastAsia" w:ascii="仿宋_GB2312" w:cs="宋体"/>
          <w:szCs w:val="32"/>
          <w:lang w:val="en-US" w:eastAsia="zh-CN"/>
        </w:rPr>
        <w:t>四</w:t>
      </w:r>
      <w:r>
        <w:rPr>
          <w:rFonts w:hint="eastAsia" w:ascii="仿宋_GB2312" w:cs="宋体"/>
          <w:szCs w:val="32"/>
        </w:rPr>
        <w:t>）</w:t>
      </w:r>
      <w:r>
        <w:rPr>
          <w:rFonts w:hint="eastAsia" w:ascii="仿宋_GB2312"/>
          <w:szCs w:val="32"/>
        </w:rPr>
        <w:t>落实噪声防治措施。</w:t>
      </w:r>
      <w:r>
        <w:rPr>
          <w:rFonts w:hint="eastAsia" w:ascii="仿宋_GB2312"/>
          <w:szCs w:val="32"/>
          <w:lang w:val="en-US" w:eastAsia="zh-CN"/>
        </w:rPr>
        <w:t>项目应</w:t>
      </w:r>
      <w:r>
        <w:rPr>
          <w:rFonts w:hint="eastAsia" w:ascii="仿宋_GB2312"/>
          <w:szCs w:val="32"/>
        </w:rPr>
        <w:t>采用吸声、隔声、减震等防护措施，运营期各厂界噪声达到《工业企业厂界环境噪声排放标准》（GB12348-2008）中的3类标准的要求。</w:t>
      </w:r>
    </w:p>
    <w:p>
      <w:pPr>
        <w:pageBreakBefore w:val="0"/>
        <w:kinsoku/>
        <w:wordWrap/>
        <w:overflowPunct/>
        <w:topLinePunct w:val="0"/>
        <w:autoSpaceDE/>
        <w:autoSpaceDN/>
        <w:bidi w:val="0"/>
        <w:adjustRightInd/>
        <w:snapToGrid/>
        <w:spacing w:line="600" w:lineRule="exact"/>
        <w:ind w:firstLine="640"/>
        <w:textAlignment w:val="auto"/>
        <w:rPr>
          <w:rFonts w:ascii="仿宋_GB2312"/>
          <w:szCs w:val="32"/>
        </w:rPr>
      </w:pPr>
      <w:r>
        <w:rPr>
          <w:rFonts w:hint="eastAsia" w:ascii="仿宋_GB2312"/>
          <w:szCs w:val="32"/>
        </w:rPr>
        <w:t>（</w:t>
      </w:r>
      <w:r>
        <w:rPr>
          <w:rFonts w:hint="eastAsia" w:ascii="仿宋_GB2312"/>
          <w:szCs w:val="32"/>
          <w:lang w:val="en-US" w:eastAsia="zh-CN"/>
        </w:rPr>
        <w:t>五</w:t>
      </w:r>
      <w:r>
        <w:rPr>
          <w:rFonts w:hint="eastAsia" w:ascii="仿宋_GB2312"/>
          <w:szCs w:val="32"/>
        </w:rPr>
        <w:t>）建立严格的环境管理体系。严格落实《报告表》提出的各项事故防范和应急措施，制定环境突发环境事件应急预案，完善环保规章制度，定期开展环境应急演练。提高操作管理水平，加强设备管理、维护及操作人员的教育培训，控制和降低环境风险，杜绝环境污染事故的发生。</w:t>
      </w:r>
    </w:p>
    <w:p>
      <w:pPr>
        <w:pageBreakBefore w:val="0"/>
        <w:kinsoku/>
        <w:wordWrap/>
        <w:overflowPunct/>
        <w:topLinePunct w:val="0"/>
        <w:autoSpaceDE/>
        <w:autoSpaceDN/>
        <w:bidi w:val="0"/>
        <w:adjustRightInd/>
        <w:snapToGrid/>
        <w:spacing w:line="600" w:lineRule="exact"/>
        <w:ind w:firstLine="640"/>
        <w:textAlignment w:val="auto"/>
        <w:rPr>
          <w:rFonts w:hint="eastAsia" w:ascii="仿宋_GB2312"/>
          <w:szCs w:val="32"/>
        </w:rPr>
      </w:pPr>
      <w:r>
        <w:rPr>
          <w:rFonts w:hint="eastAsia" w:ascii="仿宋_GB2312"/>
          <w:szCs w:val="32"/>
          <w:lang w:val="en-US" w:eastAsia="zh-CN"/>
        </w:rPr>
        <w:t>四</w:t>
      </w:r>
      <w:r>
        <w:rPr>
          <w:rFonts w:hint="eastAsia" w:ascii="仿宋_GB2312"/>
          <w:szCs w:val="32"/>
        </w:rPr>
        <w:t>、项目运行排放污染物前，要按照相关规定申请取得排污许可证，在排污许可证中载明批准的《报告表》中各项环境保护措施、污染物排放清单等的执行情况及其他有关内容，并按证排污。项目运行期必须严格执行区域污染物排放总量控制要求，确保项目实施后各类污染物排放总量控制在核定的指标内且稳定达标排放。</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szCs w:val="32"/>
        </w:rPr>
      </w:pPr>
      <w:r>
        <w:rPr>
          <w:rFonts w:hint="eastAsia" w:ascii="仿宋_GB2312"/>
          <w:szCs w:val="32"/>
        </w:rPr>
        <w:t>五、你公司应落实生态环境保护主体责任，建立内部生态环境管理体系，明确机构、人员职责和制度，加强生态环境管理，推动各项生态环境保护措施落实。项目建设必须严格执行配套的环境保护设施与主体工程同时设计、同时施工、同时投产使用的环境保护“三同时”制度。项目建成后，须按规定开展竣工环境保护验收，验收合格后，方可正式投入运行。如项目发生重大变动，环评文件须报有审批权的生态环境部门重新审批。自环评文件批准之日起满5年，工程方决定开工建设，环评文件应当报我局重新审核。</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color w:val="auto"/>
          <w:szCs w:val="32"/>
          <w:shd w:val="clear" w:color="auto" w:fill="auto"/>
        </w:rPr>
      </w:pPr>
      <w:r>
        <w:rPr>
          <w:rFonts w:hint="eastAsia" w:ascii="仿宋_GB2312"/>
          <w:szCs w:val="32"/>
        </w:rPr>
        <w:t>六、</w:t>
      </w:r>
      <w:r>
        <w:rPr>
          <w:rFonts w:hint="eastAsia" w:ascii="仿宋_GB2312"/>
          <w:color w:val="auto"/>
          <w:szCs w:val="32"/>
          <w:shd w:val="clear" w:color="auto" w:fill="auto"/>
          <w:lang w:val="en-US" w:eastAsia="zh-CN"/>
        </w:rPr>
        <w:t>托克逊县</w:t>
      </w:r>
      <w:r>
        <w:rPr>
          <w:rFonts w:hint="eastAsia" w:ascii="仿宋_GB2312"/>
          <w:color w:val="auto"/>
          <w:szCs w:val="32"/>
          <w:shd w:val="clear" w:color="auto" w:fill="auto"/>
        </w:rPr>
        <w:t>分局要切实承担事中事后监管主要责任，履行属地监管职责，按照《关于进一步完善建设项目环境保护“三同时”及竣工环境保护自主验收监管工作机制的意见》（环执法〔2021〕70号）要求，加强对该项目环境保护“三同时”及自主验收监管。吐鲁番市生态环境保护综合行政执法支队要加强对“三同时”及自主验收工作的监督指导。</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szCs w:val="32"/>
        </w:rPr>
      </w:pPr>
      <w:r>
        <w:rPr>
          <w:rFonts w:hint="eastAsia" w:ascii="仿宋_GB2312"/>
          <w:szCs w:val="32"/>
        </w:rPr>
        <w:t>七、你公司应在收到本批复后20个工作日内，将批准后的《报告</w:t>
      </w:r>
      <w:r>
        <w:rPr>
          <w:rFonts w:hint="eastAsia" w:ascii="仿宋_GB2312"/>
          <w:szCs w:val="32"/>
          <w:lang w:val="en-US" w:eastAsia="zh-CN"/>
        </w:rPr>
        <w:t>表</w:t>
      </w:r>
      <w:r>
        <w:rPr>
          <w:rFonts w:hint="eastAsia" w:ascii="仿宋_GB2312"/>
          <w:szCs w:val="32"/>
        </w:rPr>
        <w:t>》送</w:t>
      </w:r>
      <w:r>
        <w:rPr>
          <w:rFonts w:hint="eastAsia" w:ascii="仿宋_GB2312"/>
          <w:szCs w:val="32"/>
          <w:lang w:val="en-US" w:eastAsia="zh-CN"/>
        </w:rPr>
        <w:t>托克逊县</w:t>
      </w:r>
      <w:r>
        <w:rPr>
          <w:rFonts w:hint="eastAsia" w:ascii="仿宋_GB2312"/>
          <w:szCs w:val="32"/>
        </w:rPr>
        <w:t>分局，并按规定接受各级生态环境主管部门的监督检查。</w:t>
      </w:r>
    </w:p>
    <w:p>
      <w:pPr>
        <w:pStyle w:val="3"/>
        <w:pageBreakBefore w:val="0"/>
        <w:kinsoku/>
        <w:wordWrap/>
        <w:overflowPunct/>
        <w:topLinePunct w:val="0"/>
        <w:autoSpaceDE/>
        <w:autoSpaceDN/>
        <w:bidi w:val="0"/>
        <w:adjustRightInd/>
        <w:snapToGrid/>
        <w:spacing w:before="0" w:after="0" w:line="600" w:lineRule="exact"/>
        <w:textAlignment w:val="auto"/>
      </w:pPr>
    </w:p>
    <w:p>
      <w:pPr>
        <w:pageBreakBefore w:val="0"/>
        <w:kinsoku/>
        <w:wordWrap/>
        <w:overflowPunct/>
        <w:topLinePunct w:val="0"/>
        <w:autoSpaceDE/>
        <w:autoSpaceDN/>
        <w:bidi w:val="0"/>
        <w:adjustRightInd/>
        <w:snapToGrid/>
        <w:spacing w:line="600" w:lineRule="exact"/>
        <w:jc w:val="center"/>
        <w:textAlignment w:val="auto"/>
        <w:rPr>
          <w:rFonts w:ascii="仿宋_GB2312" w:hAnsi="仿宋_GB2312" w:cs="仿宋_GB2312"/>
          <w:szCs w:val="32"/>
        </w:rPr>
      </w:pPr>
      <w:r>
        <w:rPr>
          <w:rFonts w:hint="eastAsia" w:ascii="仿宋_GB2312" w:hAnsi="仿宋_GB2312" w:cs="仿宋_GB2312"/>
          <w:szCs w:val="32"/>
        </w:rPr>
        <w:t xml:space="preserve">    </w:t>
      </w:r>
    </w:p>
    <w:p>
      <w:pPr>
        <w:pageBreakBefore w:val="0"/>
        <w:kinsoku/>
        <w:wordWrap/>
        <w:overflowPunct/>
        <w:topLinePunct w:val="0"/>
        <w:autoSpaceDE/>
        <w:autoSpaceDN/>
        <w:bidi w:val="0"/>
        <w:adjustRightInd/>
        <w:snapToGrid/>
        <w:spacing w:line="600" w:lineRule="exact"/>
        <w:jc w:val="center"/>
        <w:textAlignment w:val="auto"/>
        <w:rPr>
          <w:rFonts w:ascii="仿宋_GB2312" w:hAnsi="仿宋_GB2312" w:cs="仿宋_GB2312"/>
          <w:szCs w:val="32"/>
        </w:rPr>
      </w:pPr>
      <w:r>
        <w:rPr>
          <w:rFonts w:hint="eastAsia" w:ascii="仿宋_GB2312" w:hAnsi="仿宋_GB2312" w:cs="仿宋_GB2312"/>
          <w:szCs w:val="32"/>
        </w:rPr>
        <w:t xml:space="preserve">                   </w:t>
      </w:r>
    </w:p>
    <w:p>
      <w:pPr>
        <w:pageBreakBefore w:val="0"/>
        <w:kinsoku/>
        <w:wordWrap/>
        <w:overflowPunct/>
        <w:topLinePunct w:val="0"/>
        <w:autoSpaceDE/>
        <w:autoSpaceDN/>
        <w:bidi w:val="0"/>
        <w:adjustRightInd/>
        <w:snapToGrid/>
        <w:spacing w:line="600" w:lineRule="exact"/>
        <w:jc w:val="center"/>
        <w:textAlignment w:val="auto"/>
        <w:outlineLvl w:val="0"/>
        <w:rPr>
          <w:rFonts w:ascii="仿宋_GB2312" w:hAnsi="仿宋_GB2312" w:cs="仿宋_GB2312"/>
          <w:szCs w:val="32"/>
        </w:rPr>
      </w:pPr>
      <w:r>
        <w:rPr>
          <w:rFonts w:hint="eastAsia" w:ascii="仿宋_GB2312" w:hAnsi="仿宋_GB2312" w:cs="仿宋_GB2312"/>
          <w:szCs w:val="32"/>
        </w:rPr>
        <w:t xml:space="preserve">                      吐鲁番市生态环境局</w:t>
      </w:r>
    </w:p>
    <w:p>
      <w:pPr>
        <w:pageBreakBefore w:val="0"/>
        <w:kinsoku/>
        <w:wordWrap/>
        <w:overflowPunct/>
        <w:topLinePunct w:val="0"/>
        <w:autoSpaceDE/>
        <w:autoSpaceDN/>
        <w:bidi w:val="0"/>
        <w:adjustRightInd/>
        <w:snapToGrid/>
        <w:spacing w:line="600" w:lineRule="exact"/>
        <w:jc w:val="center"/>
        <w:textAlignment w:val="auto"/>
        <w:outlineLvl w:val="0"/>
        <w:rPr>
          <w:rFonts w:ascii="仿宋_GB2312" w:hAnsi="仿宋_GB2312" w:cs="仿宋_GB2312"/>
          <w:szCs w:val="32"/>
        </w:rPr>
      </w:pPr>
      <w:r>
        <w:rPr>
          <w:rFonts w:hint="eastAsia" w:ascii="仿宋_GB2312" w:hAnsi="仿宋_GB2312" w:cs="仿宋_GB2312"/>
          <w:szCs w:val="32"/>
        </w:rPr>
        <w:t xml:space="preserve">    </w:t>
      </w:r>
      <w:bookmarkStart w:id="0" w:name="_GoBack"/>
      <w:bookmarkEnd w:id="0"/>
      <w:r>
        <w:rPr>
          <w:rFonts w:hint="eastAsia" w:ascii="仿宋_GB2312" w:hAnsi="仿宋_GB2312" w:cs="仿宋_GB2312"/>
          <w:szCs w:val="32"/>
        </w:rPr>
        <w:t xml:space="preserve">                  202</w:t>
      </w:r>
      <w:r>
        <w:rPr>
          <w:rFonts w:hint="eastAsia" w:ascii="仿宋_GB2312" w:hAnsi="仿宋_GB2312" w:cs="仿宋_GB2312"/>
          <w:szCs w:val="32"/>
          <w:lang w:val="en-US" w:eastAsia="zh-CN"/>
        </w:rPr>
        <w:t>4</w:t>
      </w:r>
      <w:r>
        <w:rPr>
          <w:rFonts w:hint="eastAsia" w:ascii="仿宋_GB2312" w:hAnsi="仿宋_GB2312" w:cs="仿宋_GB2312"/>
          <w:szCs w:val="32"/>
        </w:rPr>
        <w:t>年</w:t>
      </w:r>
      <w:r>
        <w:rPr>
          <w:rFonts w:hint="eastAsia" w:ascii="仿宋_GB2312" w:hAnsi="仿宋_GB2312" w:cs="仿宋_GB2312"/>
          <w:szCs w:val="32"/>
          <w:lang w:val="en-US" w:eastAsia="zh-CN"/>
        </w:rPr>
        <w:t>2</w:t>
      </w:r>
      <w:r>
        <w:rPr>
          <w:rFonts w:hint="eastAsia" w:ascii="仿宋_GB2312" w:hAnsi="仿宋_GB2312" w:cs="仿宋_GB2312"/>
          <w:szCs w:val="32"/>
        </w:rPr>
        <w:t>月</w:t>
      </w:r>
      <w:r>
        <w:rPr>
          <w:rFonts w:hint="eastAsia" w:ascii="仿宋_GB2312" w:hAnsi="仿宋_GB2312" w:cs="仿宋_GB2312"/>
          <w:szCs w:val="32"/>
          <w:lang w:val="en-US" w:eastAsia="zh-CN"/>
        </w:rPr>
        <w:t xml:space="preserve"> 1 </w:t>
      </w:r>
      <w:r>
        <w:rPr>
          <w:rFonts w:hint="eastAsia" w:ascii="仿宋_GB2312" w:hAnsi="仿宋_GB2312" w:cs="仿宋_GB2312"/>
          <w:szCs w:val="32"/>
        </w:rPr>
        <w:t>日</w:t>
      </w:r>
    </w:p>
    <w:p>
      <w:pPr>
        <w:pageBreakBefore w:val="0"/>
        <w:kinsoku/>
        <w:wordWrap/>
        <w:overflowPunct/>
        <w:topLinePunct w:val="0"/>
        <w:autoSpaceDE/>
        <w:autoSpaceDN/>
        <w:bidi w:val="0"/>
        <w:adjustRightInd/>
        <w:snapToGrid/>
        <w:spacing w:line="600" w:lineRule="exact"/>
        <w:textAlignment w:val="auto"/>
        <w:rPr>
          <w:rFonts w:ascii="仿宋_GB2312" w:hAnsi="仿宋_GB2312" w:cs="仿宋_GB2312"/>
          <w:szCs w:val="32"/>
        </w:rPr>
      </w:pPr>
    </w:p>
    <w:p>
      <w:pPr>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抄送：</w:t>
      </w:r>
      <w:r>
        <w:rPr>
          <w:rFonts w:hint="eastAsia" w:ascii="仿宋_GB2312" w:hAnsi="仿宋_GB2312" w:eastAsia="仿宋_GB2312" w:cs="仿宋_GB2312"/>
          <w:sz w:val="32"/>
          <w:szCs w:val="32"/>
        </w:rPr>
        <w:t>吐鲁番</w:t>
      </w:r>
      <w:r>
        <w:rPr>
          <w:rFonts w:hint="eastAsia" w:ascii="仿宋_GB2312" w:hAnsi="仿宋_GB2312" w:eastAsia="仿宋_GB2312" w:cs="仿宋_GB2312"/>
          <w:spacing w:val="-20"/>
          <w:sz w:val="32"/>
          <w:szCs w:val="32"/>
        </w:rPr>
        <w:t>市生态环境局托克逊县分局，市生态环境保护综合行政执法支队</w:t>
      </w:r>
    </w:p>
    <w:p>
      <w:pPr>
        <w:pageBreakBefore w:val="0"/>
        <w:kinsoku/>
        <w:wordWrap/>
        <w:overflowPunct/>
        <w:topLinePunct w:val="0"/>
        <w:autoSpaceDE/>
        <w:autoSpaceDN/>
        <w:bidi w:val="0"/>
        <w:adjustRightInd/>
        <w:snapToGrid/>
        <w:spacing w:line="600" w:lineRule="exact"/>
        <w:textAlignment w:val="auto"/>
        <w:rPr>
          <w:rFonts w:ascii="仿宋_GB2312" w:hAnsi="仿宋_GB2312" w:cs="仿宋_GB2312"/>
          <w:szCs w:val="32"/>
          <w:highlight w:val="yellow"/>
        </w:rPr>
      </w:pPr>
    </w:p>
    <w:sectPr>
      <w:headerReference r:id="rId5" w:type="default"/>
      <w:footerReference r:id="rId6" w:type="default"/>
      <w:footerReference r:id="rId7" w:type="even"/>
      <w:pgSz w:w="11906" w:h="16838"/>
      <w:pgMar w:top="2098" w:right="1474" w:bottom="1985" w:left="1588" w:header="851" w:footer="992" w:gutter="0"/>
      <w:pgNumType w:fmt="numberInDash"/>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13990"/>
    </w:sdtPr>
    <w:sdtContent>
      <w:p>
        <w:pPr>
          <w:pStyle w:val="1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498845"/>
    </w:sdtPr>
    <w:sdtContent>
      <w:p>
        <w:pPr>
          <w:pStyle w:val="13"/>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zA3NWY5ZmFmNmQ5YTM3NDE3YzE2MjA1ZjExMjAifQ=="/>
  </w:docVars>
  <w:rsids>
    <w:rsidRoot w:val="001C0A3B"/>
    <w:rsid w:val="00003456"/>
    <w:rsid w:val="00006D3A"/>
    <w:rsid w:val="000112AF"/>
    <w:rsid w:val="000116CF"/>
    <w:rsid w:val="00014810"/>
    <w:rsid w:val="00015732"/>
    <w:rsid w:val="0002249C"/>
    <w:rsid w:val="00022E2B"/>
    <w:rsid w:val="00024CBD"/>
    <w:rsid w:val="000271C9"/>
    <w:rsid w:val="00027257"/>
    <w:rsid w:val="00030D70"/>
    <w:rsid w:val="00031C30"/>
    <w:rsid w:val="00041955"/>
    <w:rsid w:val="00041D0A"/>
    <w:rsid w:val="0004542E"/>
    <w:rsid w:val="00050D7D"/>
    <w:rsid w:val="00052FE7"/>
    <w:rsid w:val="000579FB"/>
    <w:rsid w:val="00070613"/>
    <w:rsid w:val="00071398"/>
    <w:rsid w:val="000729AD"/>
    <w:rsid w:val="000746D8"/>
    <w:rsid w:val="00074E1B"/>
    <w:rsid w:val="0008366B"/>
    <w:rsid w:val="0008583A"/>
    <w:rsid w:val="00085B0C"/>
    <w:rsid w:val="00094616"/>
    <w:rsid w:val="000A1E99"/>
    <w:rsid w:val="000A5A6B"/>
    <w:rsid w:val="000A7C57"/>
    <w:rsid w:val="000B163B"/>
    <w:rsid w:val="000B26D2"/>
    <w:rsid w:val="000C15E4"/>
    <w:rsid w:val="000C45DE"/>
    <w:rsid w:val="000C53E2"/>
    <w:rsid w:val="000C772F"/>
    <w:rsid w:val="000D61FE"/>
    <w:rsid w:val="000D701E"/>
    <w:rsid w:val="000E2660"/>
    <w:rsid w:val="000E4DF3"/>
    <w:rsid w:val="001004AB"/>
    <w:rsid w:val="00104D0F"/>
    <w:rsid w:val="00106CEC"/>
    <w:rsid w:val="00112CC3"/>
    <w:rsid w:val="00116919"/>
    <w:rsid w:val="00124AF5"/>
    <w:rsid w:val="00131F5D"/>
    <w:rsid w:val="00133618"/>
    <w:rsid w:val="00133624"/>
    <w:rsid w:val="00135469"/>
    <w:rsid w:val="001358A7"/>
    <w:rsid w:val="00136B83"/>
    <w:rsid w:val="001443C4"/>
    <w:rsid w:val="00147D42"/>
    <w:rsid w:val="001537ED"/>
    <w:rsid w:val="00155C61"/>
    <w:rsid w:val="00157ADC"/>
    <w:rsid w:val="00157E20"/>
    <w:rsid w:val="001610C7"/>
    <w:rsid w:val="001625FB"/>
    <w:rsid w:val="00162B1A"/>
    <w:rsid w:val="00166FF8"/>
    <w:rsid w:val="001700D7"/>
    <w:rsid w:val="00176035"/>
    <w:rsid w:val="00183715"/>
    <w:rsid w:val="0018447C"/>
    <w:rsid w:val="0019002A"/>
    <w:rsid w:val="0019095B"/>
    <w:rsid w:val="00193015"/>
    <w:rsid w:val="001970D3"/>
    <w:rsid w:val="001978BF"/>
    <w:rsid w:val="001A10BA"/>
    <w:rsid w:val="001A45B1"/>
    <w:rsid w:val="001B0753"/>
    <w:rsid w:val="001B4E67"/>
    <w:rsid w:val="001C0A3B"/>
    <w:rsid w:val="001C0C0C"/>
    <w:rsid w:val="001C39FD"/>
    <w:rsid w:val="001C4963"/>
    <w:rsid w:val="001D297C"/>
    <w:rsid w:val="001D464D"/>
    <w:rsid w:val="001D76A6"/>
    <w:rsid w:val="001D7F69"/>
    <w:rsid w:val="001E3356"/>
    <w:rsid w:val="001E3719"/>
    <w:rsid w:val="001E4131"/>
    <w:rsid w:val="001E6630"/>
    <w:rsid w:val="001F2063"/>
    <w:rsid w:val="001F3B50"/>
    <w:rsid w:val="001F4A9A"/>
    <w:rsid w:val="001F5D12"/>
    <w:rsid w:val="001F61B2"/>
    <w:rsid w:val="00201C46"/>
    <w:rsid w:val="00203E2E"/>
    <w:rsid w:val="00215417"/>
    <w:rsid w:val="00227330"/>
    <w:rsid w:val="00227880"/>
    <w:rsid w:val="00227F61"/>
    <w:rsid w:val="00236373"/>
    <w:rsid w:val="00237652"/>
    <w:rsid w:val="0024219A"/>
    <w:rsid w:val="00247BED"/>
    <w:rsid w:val="00252B6A"/>
    <w:rsid w:val="0028183D"/>
    <w:rsid w:val="00284B73"/>
    <w:rsid w:val="00287CA1"/>
    <w:rsid w:val="00297AC4"/>
    <w:rsid w:val="002A3564"/>
    <w:rsid w:val="002B16A1"/>
    <w:rsid w:val="002B6D04"/>
    <w:rsid w:val="002C5C30"/>
    <w:rsid w:val="002C63CB"/>
    <w:rsid w:val="002C7C42"/>
    <w:rsid w:val="002D0826"/>
    <w:rsid w:val="002D3E68"/>
    <w:rsid w:val="002D5E6B"/>
    <w:rsid w:val="002D7EB6"/>
    <w:rsid w:val="002E058D"/>
    <w:rsid w:val="002E19D3"/>
    <w:rsid w:val="002F0A27"/>
    <w:rsid w:val="002F246F"/>
    <w:rsid w:val="002F6B69"/>
    <w:rsid w:val="003016AC"/>
    <w:rsid w:val="00302FA1"/>
    <w:rsid w:val="0030367C"/>
    <w:rsid w:val="0030523F"/>
    <w:rsid w:val="00306C3E"/>
    <w:rsid w:val="0031465D"/>
    <w:rsid w:val="00314F74"/>
    <w:rsid w:val="00317B51"/>
    <w:rsid w:val="00322A44"/>
    <w:rsid w:val="00324A80"/>
    <w:rsid w:val="003304BF"/>
    <w:rsid w:val="003332E5"/>
    <w:rsid w:val="00335F07"/>
    <w:rsid w:val="00341E96"/>
    <w:rsid w:val="003667CB"/>
    <w:rsid w:val="00366E6E"/>
    <w:rsid w:val="003714BB"/>
    <w:rsid w:val="00381F57"/>
    <w:rsid w:val="00393829"/>
    <w:rsid w:val="003968D5"/>
    <w:rsid w:val="003B3298"/>
    <w:rsid w:val="003B3A89"/>
    <w:rsid w:val="003B5D7E"/>
    <w:rsid w:val="003B6116"/>
    <w:rsid w:val="003D1CAC"/>
    <w:rsid w:val="003D4205"/>
    <w:rsid w:val="003E6831"/>
    <w:rsid w:val="003F1D14"/>
    <w:rsid w:val="00403B09"/>
    <w:rsid w:val="00413A95"/>
    <w:rsid w:val="00422D21"/>
    <w:rsid w:val="0043683D"/>
    <w:rsid w:val="0044278B"/>
    <w:rsid w:val="004443D8"/>
    <w:rsid w:val="004456D6"/>
    <w:rsid w:val="00447A34"/>
    <w:rsid w:val="00450BF0"/>
    <w:rsid w:val="00451348"/>
    <w:rsid w:val="00452FFE"/>
    <w:rsid w:val="00453CEE"/>
    <w:rsid w:val="00460B03"/>
    <w:rsid w:val="00466080"/>
    <w:rsid w:val="004773E5"/>
    <w:rsid w:val="00477537"/>
    <w:rsid w:val="00481238"/>
    <w:rsid w:val="00481A0A"/>
    <w:rsid w:val="0048767D"/>
    <w:rsid w:val="004917B9"/>
    <w:rsid w:val="00496B91"/>
    <w:rsid w:val="004A10E0"/>
    <w:rsid w:val="004A1951"/>
    <w:rsid w:val="004B1BC2"/>
    <w:rsid w:val="004B3324"/>
    <w:rsid w:val="004B4C10"/>
    <w:rsid w:val="004C3ED5"/>
    <w:rsid w:val="004C7CD7"/>
    <w:rsid w:val="004D0F50"/>
    <w:rsid w:val="004D6F24"/>
    <w:rsid w:val="004F021F"/>
    <w:rsid w:val="00501121"/>
    <w:rsid w:val="005015E8"/>
    <w:rsid w:val="00501DC6"/>
    <w:rsid w:val="00503159"/>
    <w:rsid w:val="00504409"/>
    <w:rsid w:val="00504578"/>
    <w:rsid w:val="005079D3"/>
    <w:rsid w:val="00510C73"/>
    <w:rsid w:val="005160D6"/>
    <w:rsid w:val="00535698"/>
    <w:rsid w:val="00540F94"/>
    <w:rsid w:val="005433D1"/>
    <w:rsid w:val="00543F62"/>
    <w:rsid w:val="00553232"/>
    <w:rsid w:val="00553C33"/>
    <w:rsid w:val="005560B4"/>
    <w:rsid w:val="00556559"/>
    <w:rsid w:val="00563DFA"/>
    <w:rsid w:val="00584954"/>
    <w:rsid w:val="00586A54"/>
    <w:rsid w:val="00586E3A"/>
    <w:rsid w:val="00587B81"/>
    <w:rsid w:val="00593A31"/>
    <w:rsid w:val="00596BB5"/>
    <w:rsid w:val="005A00F3"/>
    <w:rsid w:val="005A3D2A"/>
    <w:rsid w:val="005A4CE9"/>
    <w:rsid w:val="005A763A"/>
    <w:rsid w:val="005B0790"/>
    <w:rsid w:val="005C454F"/>
    <w:rsid w:val="005D4584"/>
    <w:rsid w:val="005D51BC"/>
    <w:rsid w:val="005D6AA6"/>
    <w:rsid w:val="005D791A"/>
    <w:rsid w:val="005F23E1"/>
    <w:rsid w:val="005F2F55"/>
    <w:rsid w:val="005F3405"/>
    <w:rsid w:val="005F612B"/>
    <w:rsid w:val="006055E9"/>
    <w:rsid w:val="00616540"/>
    <w:rsid w:val="006209FF"/>
    <w:rsid w:val="00621FDB"/>
    <w:rsid w:val="006346A9"/>
    <w:rsid w:val="00640963"/>
    <w:rsid w:val="00644BE2"/>
    <w:rsid w:val="00644E66"/>
    <w:rsid w:val="0064717B"/>
    <w:rsid w:val="00652019"/>
    <w:rsid w:val="00654028"/>
    <w:rsid w:val="00656F42"/>
    <w:rsid w:val="0066284C"/>
    <w:rsid w:val="00663113"/>
    <w:rsid w:val="00664CAD"/>
    <w:rsid w:val="006661AB"/>
    <w:rsid w:val="00666F98"/>
    <w:rsid w:val="0068162F"/>
    <w:rsid w:val="00681EAE"/>
    <w:rsid w:val="006821CA"/>
    <w:rsid w:val="00683475"/>
    <w:rsid w:val="00684923"/>
    <w:rsid w:val="00691379"/>
    <w:rsid w:val="006941F2"/>
    <w:rsid w:val="0069463B"/>
    <w:rsid w:val="006A4157"/>
    <w:rsid w:val="006B4550"/>
    <w:rsid w:val="006C3B87"/>
    <w:rsid w:val="006C4A14"/>
    <w:rsid w:val="006C4A66"/>
    <w:rsid w:val="006C5CF0"/>
    <w:rsid w:val="006C5E22"/>
    <w:rsid w:val="006D38B2"/>
    <w:rsid w:val="006D58DA"/>
    <w:rsid w:val="006E4AA2"/>
    <w:rsid w:val="006E6572"/>
    <w:rsid w:val="006F28BC"/>
    <w:rsid w:val="006F46F4"/>
    <w:rsid w:val="00702575"/>
    <w:rsid w:val="007056CD"/>
    <w:rsid w:val="00706552"/>
    <w:rsid w:val="00710223"/>
    <w:rsid w:val="00724ADB"/>
    <w:rsid w:val="00727AFA"/>
    <w:rsid w:val="0073272A"/>
    <w:rsid w:val="007335CD"/>
    <w:rsid w:val="00734F0C"/>
    <w:rsid w:val="007353EA"/>
    <w:rsid w:val="0073674E"/>
    <w:rsid w:val="00736EA7"/>
    <w:rsid w:val="00742C5F"/>
    <w:rsid w:val="007563B6"/>
    <w:rsid w:val="00760618"/>
    <w:rsid w:val="00764830"/>
    <w:rsid w:val="00767E32"/>
    <w:rsid w:val="00773D62"/>
    <w:rsid w:val="00783254"/>
    <w:rsid w:val="00783950"/>
    <w:rsid w:val="00783D08"/>
    <w:rsid w:val="007929E3"/>
    <w:rsid w:val="007949F7"/>
    <w:rsid w:val="00794FDA"/>
    <w:rsid w:val="00797250"/>
    <w:rsid w:val="007A1342"/>
    <w:rsid w:val="007A5B1D"/>
    <w:rsid w:val="007A7957"/>
    <w:rsid w:val="007B0CC1"/>
    <w:rsid w:val="007B17DA"/>
    <w:rsid w:val="007B440D"/>
    <w:rsid w:val="007B753F"/>
    <w:rsid w:val="007C01AF"/>
    <w:rsid w:val="007C064D"/>
    <w:rsid w:val="007C2AB4"/>
    <w:rsid w:val="007C3627"/>
    <w:rsid w:val="007C76C3"/>
    <w:rsid w:val="007E7F7A"/>
    <w:rsid w:val="007F06F2"/>
    <w:rsid w:val="007F0AF3"/>
    <w:rsid w:val="007F52DE"/>
    <w:rsid w:val="00800136"/>
    <w:rsid w:val="00807A1D"/>
    <w:rsid w:val="00811A70"/>
    <w:rsid w:val="008142DC"/>
    <w:rsid w:val="00817BD3"/>
    <w:rsid w:val="00830C26"/>
    <w:rsid w:val="0084399B"/>
    <w:rsid w:val="0085082B"/>
    <w:rsid w:val="008563E4"/>
    <w:rsid w:val="008572DD"/>
    <w:rsid w:val="00861569"/>
    <w:rsid w:val="00874380"/>
    <w:rsid w:val="00874FBD"/>
    <w:rsid w:val="0088108F"/>
    <w:rsid w:val="008841B6"/>
    <w:rsid w:val="00885921"/>
    <w:rsid w:val="00891894"/>
    <w:rsid w:val="008A5452"/>
    <w:rsid w:val="008B2C97"/>
    <w:rsid w:val="008C09A4"/>
    <w:rsid w:val="008D7070"/>
    <w:rsid w:val="008E2A27"/>
    <w:rsid w:val="008F31EA"/>
    <w:rsid w:val="008F40CA"/>
    <w:rsid w:val="008F4CA6"/>
    <w:rsid w:val="008F552A"/>
    <w:rsid w:val="008F5F82"/>
    <w:rsid w:val="008F66E3"/>
    <w:rsid w:val="009001D9"/>
    <w:rsid w:val="00903D49"/>
    <w:rsid w:val="00906C55"/>
    <w:rsid w:val="00910341"/>
    <w:rsid w:val="00914BCC"/>
    <w:rsid w:val="0091736A"/>
    <w:rsid w:val="009275B9"/>
    <w:rsid w:val="00927942"/>
    <w:rsid w:val="009313F8"/>
    <w:rsid w:val="00943623"/>
    <w:rsid w:val="00945FBF"/>
    <w:rsid w:val="00947D90"/>
    <w:rsid w:val="009506AE"/>
    <w:rsid w:val="009566CD"/>
    <w:rsid w:val="00956F74"/>
    <w:rsid w:val="0096124E"/>
    <w:rsid w:val="0096181A"/>
    <w:rsid w:val="00964740"/>
    <w:rsid w:val="00974242"/>
    <w:rsid w:val="0097514C"/>
    <w:rsid w:val="00977049"/>
    <w:rsid w:val="00977D63"/>
    <w:rsid w:val="00981A4B"/>
    <w:rsid w:val="00982EB3"/>
    <w:rsid w:val="00983387"/>
    <w:rsid w:val="009837AE"/>
    <w:rsid w:val="009848E0"/>
    <w:rsid w:val="009A03D5"/>
    <w:rsid w:val="009A15F1"/>
    <w:rsid w:val="009A2099"/>
    <w:rsid w:val="009A48FC"/>
    <w:rsid w:val="009A75B8"/>
    <w:rsid w:val="009B50CE"/>
    <w:rsid w:val="009B5D50"/>
    <w:rsid w:val="009C0655"/>
    <w:rsid w:val="009C0E5A"/>
    <w:rsid w:val="009C141A"/>
    <w:rsid w:val="009C2FCA"/>
    <w:rsid w:val="009C6511"/>
    <w:rsid w:val="009D68D0"/>
    <w:rsid w:val="009D7466"/>
    <w:rsid w:val="009E29FF"/>
    <w:rsid w:val="009F363D"/>
    <w:rsid w:val="009F401D"/>
    <w:rsid w:val="009F7AF4"/>
    <w:rsid w:val="00A06003"/>
    <w:rsid w:val="00A17767"/>
    <w:rsid w:val="00A220F1"/>
    <w:rsid w:val="00A2556D"/>
    <w:rsid w:val="00A34EB3"/>
    <w:rsid w:val="00A43F58"/>
    <w:rsid w:val="00A47053"/>
    <w:rsid w:val="00A50F04"/>
    <w:rsid w:val="00A52E48"/>
    <w:rsid w:val="00A56F84"/>
    <w:rsid w:val="00A64AB2"/>
    <w:rsid w:val="00A656E5"/>
    <w:rsid w:val="00A70964"/>
    <w:rsid w:val="00A7271D"/>
    <w:rsid w:val="00A75C25"/>
    <w:rsid w:val="00A77616"/>
    <w:rsid w:val="00A860A2"/>
    <w:rsid w:val="00A91DDF"/>
    <w:rsid w:val="00A95AA5"/>
    <w:rsid w:val="00AA18DA"/>
    <w:rsid w:val="00AA5161"/>
    <w:rsid w:val="00AB3780"/>
    <w:rsid w:val="00AB4DE3"/>
    <w:rsid w:val="00AB6A62"/>
    <w:rsid w:val="00AC25BD"/>
    <w:rsid w:val="00AC38D6"/>
    <w:rsid w:val="00AC3E78"/>
    <w:rsid w:val="00AD172A"/>
    <w:rsid w:val="00AD6F2F"/>
    <w:rsid w:val="00AE64F5"/>
    <w:rsid w:val="00B012BB"/>
    <w:rsid w:val="00B037FC"/>
    <w:rsid w:val="00B1084A"/>
    <w:rsid w:val="00B13421"/>
    <w:rsid w:val="00B2033A"/>
    <w:rsid w:val="00B26472"/>
    <w:rsid w:val="00B26E3E"/>
    <w:rsid w:val="00B32F7B"/>
    <w:rsid w:val="00B3710E"/>
    <w:rsid w:val="00B40A8E"/>
    <w:rsid w:val="00B416D9"/>
    <w:rsid w:val="00B50915"/>
    <w:rsid w:val="00B5105D"/>
    <w:rsid w:val="00B51704"/>
    <w:rsid w:val="00B52498"/>
    <w:rsid w:val="00B54DA3"/>
    <w:rsid w:val="00B5549F"/>
    <w:rsid w:val="00B5684C"/>
    <w:rsid w:val="00B6055E"/>
    <w:rsid w:val="00B60A70"/>
    <w:rsid w:val="00B65D5F"/>
    <w:rsid w:val="00B83EF9"/>
    <w:rsid w:val="00B85A11"/>
    <w:rsid w:val="00B872F7"/>
    <w:rsid w:val="00B90824"/>
    <w:rsid w:val="00B90FDB"/>
    <w:rsid w:val="00B91271"/>
    <w:rsid w:val="00BA0AF9"/>
    <w:rsid w:val="00BA218F"/>
    <w:rsid w:val="00BB01D5"/>
    <w:rsid w:val="00BB6DBB"/>
    <w:rsid w:val="00BC1089"/>
    <w:rsid w:val="00BC6DC0"/>
    <w:rsid w:val="00BD1BD1"/>
    <w:rsid w:val="00BD3B53"/>
    <w:rsid w:val="00BE6775"/>
    <w:rsid w:val="00BE6F2B"/>
    <w:rsid w:val="00C02572"/>
    <w:rsid w:val="00C02797"/>
    <w:rsid w:val="00C17E16"/>
    <w:rsid w:val="00C30001"/>
    <w:rsid w:val="00C31FFA"/>
    <w:rsid w:val="00C355EE"/>
    <w:rsid w:val="00C362F6"/>
    <w:rsid w:val="00C37CD3"/>
    <w:rsid w:val="00C51E6C"/>
    <w:rsid w:val="00C5362E"/>
    <w:rsid w:val="00C63180"/>
    <w:rsid w:val="00C6643B"/>
    <w:rsid w:val="00C71CC5"/>
    <w:rsid w:val="00C918BE"/>
    <w:rsid w:val="00CA02AB"/>
    <w:rsid w:val="00CA597B"/>
    <w:rsid w:val="00CA6600"/>
    <w:rsid w:val="00CB0397"/>
    <w:rsid w:val="00CB0E12"/>
    <w:rsid w:val="00CB1B0B"/>
    <w:rsid w:val="00CB1F63"/>
    <w:rsid w:val="00CB51EA"/>
    <w:rsid w:val="00CC240A"/>
    <w:rsid w:val="00CC6DB9"/>
    <w:rsid w:val="00CD0376"/>
    <w:rsid w:val="00CD478E"/>
    <w:rsid w:val="00CD733D"/>
    <w:rsid w:val="00CD7695"/>
    <w:rsid w:val="00CD7787"/>
    <w:rsid w:val="00CE1E86"/>
    <w:rsid w:val="00CE2881"/>
    <w:rsid w:val="00CE28CE"/>
    <w:rsid w:val="00CE6870"/>
    <w:rsid w:val="00CF289D"/>
    <w:rsid w:val="00D018A3"/>
    <w:rsid w:val="00D02B69"/>
    <w:rsid w:val="00D0334F"/>
    <w:rsid w:val="00D10C51"/>
    <w:rsid w:val="00D11120"/>
    <w:rsid w:val="00D11833"/>
    <w:rsid w:val="00D136DE"/>
    <w:rsid w:val="00D168D4"/>
    <w:rsid w:val="00D1704C"/>
    <w:rsid w:val="00D17901"/>
    <w:rsid w:val="00D243ED"/>
    <w:rsid w:val="00D24C9F"/>
    <w:rsid w:val="00D24EE1"/>
    <w:rsid w:val="00D32730"/>
    <w:rsid w:val="00D32F55"/>
    <w:rsid w:val="00D36ECD"/>
    <w:rsid w:val="00D4026A"/>
    <w:rsid w:val="00D406FB"/>
    <w:rsid w:val="00D44F5E"/>
    <w:rsid w:val="00D5189A"/>
    <w:rsid w:val="00D526DC"/>
    <w:rsid w:val="00D567EE"/>
    <w:rsid w:val="00D64680"/>
    <w:rsid w:val="00D747AB"/>
    <w:rsid w:val="00D74A82"/>
    <w:rsid w:val="00D761A0"/>
    <w:rsid w:val="00D81961"/>
    <w:rsid w:val="00D92B53"/>
    <w:rsid w:val="00D9668A"/>
    <w:rsid w:val="00D97FF4"/>
    <w:rsid w:val="00DA746A"/>
    <w:rsid w:val="00DA79C5"/>
    <w:rsid w:val="00DB0581"/>
    <w:rsid w:val="00DB55F8"/>
    <w:rsid w:val="00DC0EE9"/>
    <w:rsid w:val="00DC48BA"/>
    <w:rsid w:val="00DC6C44"/>
    <w:rsid w:val="00DD102A"/>
    <w:rsid w:val="00DD20E0"/>
    <w:rsid w:val="00DF7498"/>
    <w:rsid w:val="00E048F7"/>
    <w:rsid w:val="00E1041E"/>
    <w:rsid w:val="00E11C86"/>
    <w:rsid w:val="00E122AE"/>
    <w:rsid w:val="00E13825"/>
    <w:rsid w:val="00E20EC1"/>
    <w:rsid w:val="00E26CFE"/>
    <w:rsid w:val="00E26FFB"/>
    <w:rsid w:val="00E34319"/>
    <w:rsid w:val="00E377DB"/>
    <w:rsid w:val="00E379CD"/>
    <w:rsid w:val="00E40406"/>
    <w:rsid w:val="00E46A0C"/>
    <w:rsid w:val="00E548AE"/>
    <w:rsid w:val="00E63CBA"/>
    <w:rsid w:val="00E705F8"/>
    <w:rsid w:val="00E713B7"/>
    <w:rsid w:val="00E734AC"/>
    <w:rsid w:val="00E73594"/>
    <w:rsid w:val="00E80400"/>
    <w:rsid w:val="00E858A1"/>
    <w:rsid w:val="00E94FF7"/>
    <w:rsid w:val="00E97824"/>
    <w:rsid w:val="00EA1E58"/>
    <w:rsid w:val="00EA28A2"/>
    <w:rsid w:val="00EA46F2"/>
    <w:rsid w:val="00EB12B3"/>
    <w:rsid w:val="00EC0B19"/>
    <w:rsid w:val="00ED5CFF"/>
    <w:rsid w:val="00EE0C6F"/>
    <w:rsid w:val="00EE7B9C"/>
    <w:rsid w:val="00EF039D"/>
    <w:rsid w:val="00F01A99"/>
    <w:rsid w:val="00F0249A"/>
    <w:rsid w:val="00F02C92"/>
    <w:rsid w:val="00F070E0"/>
    <w:rsid w:val="00F0757F"/>
    <w:rsid w:val="00F079E5"/>
    <w:rsid w:val="00F13A8C"/>
    <w:rsid w:val="00F22C07"/>
    <w:rsid w:val="00F23579"/>
    <w:rsid w:val="00F2402E"/>
    <w:rsid w:val="00F2405E"/>
    <w:rsid w:val="00F24A22"/>
    <w:rsid w:val="00F25EE2"/>
    <w:rsid w:val="00F30A79"/>
    <w:rsid w:val="00F30E2C"/>
    <w:rsid w:val="00F36AC6"/>
    <w:rsid w:val="00F40C55"/>
    <w:rsid w:val="00F50848"/>
    <w:rsid w:val="00F50F13"/>
    <w:rsid w:val="00F53803"/>
    <w:rsid w:val="00F544BA"/>
    <w:rsid w:val="00F54B70"/>
    <w:rsid w:val="00F56642"/>
    <w:rsid w:val="00F72289"/>
    <w:rsid w:val="00F739A9"/>
    <w:rsid w:val="00F870A6"/>
    <w:rsid w:val="00F90E0B"/>
    <w:rsid w:val="00F918AB"/>
    <w:rsid w:val="00F925E5"/>
    <w:rsid w:val="00F93E48"/>
    <w:rsid w:val="00F97D93"/>
    <w:rsid w:val="00FA1880"/>
    <w:rsid w:val="00FA22E2"/>
    <w:rsid w:val="00FB07F3"/>
    <w:rsid w:val="00FB2CDC"/>
    <w:rsid w:val="00FB672F"/>
    <w:rsid w:val="00FC3A17"/>
    <w:rsid w:val="00FC3A23"/>
    <w:rsid w:val="00FC5086"/>
    <w:rsid w:val="00FC5595"/>
    <w:rsid w:val="00FC5AA7"/>
    <w:rsid w:val="00FD017F"/>
    <w:rsid w:val="00FD1C1C"/>
    <w:rsid w:val="00FD2E47"/>
    <w:rsid w:val="00FD42C4"/>
    <w:rsid w:val="00FE7848"/>
    <w:rsid w:val="00FF2324"/>
    <w:rsid w:val="00FF428A"/>
    <w:rsid w:val="00FF4997"/>
    <w:rsid w:val="00FF544B"/>
    <w:rsid w:val="00FF66B5"/>
    <w:rsid w:val="01AC0139"/>
    <w:rsid w:val="021A0131"/>
    <w:rsid w:val="03E1080D"/>
    <w:rsid w:val="04782A92"/>
    <w:rsid w:val="06D373CC"/>
    <w:rsid w:val="07A13635"/>
    <w:rsid w:val="08101DB2"/>
    <w:rsid w:val="081E50D6"/>
    <w:rsid w:val="08603457"/>
    <w:rsid w:val="08A17FE2"/>
    <w:rsid w:val="08BA4909"/>
    <w:rsid w:val="0B3D6DBF"/>
    <w:rsid w:val="0B5310FE"/>
    <w:rsid w:val="0B591DA9"/>
    <w:rsid w:val="0B592086"/>
    <w:rsid w:val="0C3D6A94"/>
    <w:rsid w:val="0C5817A4"/>
    <w:rsid w:val="0D6E42F3"/>
    <w:rsid w:val="0DB45986"/>
    <w:rsid w:val="0E21123B"/>
    <w:rsid w:val="0EDB39A1"/>
    <w:rsid w:val="0EF0248D"/>
    <w:rsid w:val="0F31473F"/>
    <w:rsid w:val="0F925C73"/>
    <w:rsid w:val="10E8147E"/>
    <w:rsid w:val="110B2B14"/>
    <w:rsid w:val="113B2E9C"/>
    <w:rsid w:val="13871C6A"/>
    <w:rsid w:val="14132147"/>
    <w:rsid w:val="14F34426"/>
    <w:rsid w:val="159535B3"/>
    <w:rsid w:val="15E82E53"/>
    <w:rsid w:val="16276BA3"/>
    <w:rsid w:val="170744E6"/>
    <w:rsid w:val="17680846"/>
    <w:rsid w:val="17F51B4E"/>
    <w:rsid w:val="18202BA6"/>
    <w:rsid w:val="18677510"/>
    <w:rsid w:val="1881634D"/>
    <w:rsid w:val="1A910094"/>
    <w:rsid w:val="1CBB3234"/>
    <w:rsid w:val="1E386095"/>
    <w:rsid w:val="1E927F82"/>
    <w:rsid w:val="1E9D2F50"/>
    <w:rsid w:val="1EC82A0B"/>
    <w:rsid w:val="1F6E0254"/>
    <w:rsid w:val="1F846FD2"/>
    <w:rsid w:val="1F8C1DF0"/>
    <w:rsid w:val="20B415FA"/>
    <w:rsid w:val="20DA3519"/>
    <w:rsid w:val="211903B5"/>
    <w:rsid w:val="21AF6086"/>
    <w:rsid w:val="21FF1EE9"/>
    <w:rsid w:val="224C4814"/>
    <w:rsid w:val="22F7744E"/>
    <w:rsid w:val="230439E3"/>
    <w:rsid w:val="23AC703D"/>
    <w:rsid w:val="25417661"/>
    <w:rsid w:val="257909C8"/>
    <w:rsid w:val="25AD7DBF"/>
    <w:rsid w:val="25C41A79"/>
    <w:rsid w:val="25D01CF0"/>
    <w:rsid w:val="25D21F9B"/>
    <w:rsid w:val="265C67D3"/>
    <w:rsid w:val="274E23CA"/>
    <w:rsid w:val="2771557E"/>
    <w:rsid w:val="280244F4"/>
    <w:rsid w:val="28B279B4"/>
    <w:rsid w:val="28DB0A41"/>
    <w:rsid w:val="29FF142C"/>
    <w:rsid w:val="2AEA33A3"/>
    <w:rsid w:val="2B297934"/>
    <w:rsid w:val="2BA50779"/>
    <w:rsid w:val="2C677E7C"/>
    <w:rsid w:val="2D1B099D"/>
    <w:rsid w:val="2D46550B"/>
    <w:rsid w:val="2D99774B"/>
    <w:rsid w:val="2E884E15"/>
    <w:rsid w:val="2E8C1473"/>
    <w:rsid w:val="2F5940C6"/>
    <w:rsid w:val="303B31BD"/>
    <w:rsid w:val="30DC6DFC"/>
    <w:rsid w:val="314D2F79"/>
    <w:rsid w:val="3301756A"/>
    <w:rsid w:val="339207B1"/>
    <w:rsid w:val="356F2FDD"/>
    <w:rsid w:val="360F151B"/>
    <w:rsid w:val="36F4783D"/>
    <w:rsid w:val="37FF78CB"/>
    <w:rsid w:val="380E6F71"/>
    <w:rsid w:val="38A25E40"/>
    <w:rsid w:val="38A62207"/>
    <w:rsid w:val="39302546"/>
    <w:rsid w:val="39AE6358"/>
    <w:rsid w:val="3C783F36"/>
    <w:rsid w:val="3C9A7261"/>
    <w:rsid w:val="3D123278"/>
    <w:rsid w:val="3D306D49"/>
    <w:rsid w:val="3D9F41EB"/>
    <w:rsid w:val="3E0A3243"/>
    <w:rsid w:val="3F764CA9"/>
    <w:rsid w:val="3F9E7926"/>
    <w:rsid w:val="3FF95F26"/>
    <w:rsid w:val="408F0DDD"/>
    <w:rsid w:val="419C2F68"/>
    <w:rsid w:val="41D31183"/>
    <w:rsid w:val="42AD47DE"/>
    <w:rsid w:val="43D10B6C"/>
    <w:rsid w:val="43DB1093"/>
    <w:rsid w:val="44B72988"/>
    <w:rsid w:val="44D76B6A"/>
    <w:rsid w:val="451D7975"/>
    <w:rsid w:val="452D416E"/>
    <w:rsid w:val="454145FF"/>
    <w:rsid w:val="45C717F4"/>
    <w:rsid w:val="46EB5F4B"/>
    <w:rsid w:val="476834A9"/>
    <w:rsid w:val="478168F7"/>
    <w:rsid w:val="484F7E61"/>
    <w:rsid w:val="485727E6"/>
    <w:rsid w:val="48BC3CB4"/>
    <w:rsid w:val="48EC6533"/>
    <w:rsid w:val="492C6C09"/>
    <w:rsid w:val="4B3F3CD1"/>
    <w:rsid w:val="4B7D2042"/>
    <w:rsid w:val="4CCE3A8F"/>
    <w:rsid w:val="4DFB264D"/>
    <w:rsid w:val="4E887C97"/>
    <w:rsid w:val="502E4CE4"/>
    <w:rsid w:val="5036491C"/>
    <w:rsid w:val="51AA321A"/>
    <w:rsid w:val="51BB5F74"/>
    <w:rsid w:val="51FC3859"/>
    <w:rsid w:val="52B81A73"/>
    <w:rsid w:val="536F179E"/>
    <w:rsid w:val="53A02794"/>
    <w:rsid w:val="53A551A0"/>
    <w:rsid w:val="543D7B60"/>
    <w:rsid w:val="551C59CE"/>
    <w:rsid w:val="56AE3064"/>
    <w:rsid w:val="585D60C3"/>
    <w:rsid w:val="58693CF0"/>
    <w:rsid w:val="58E05BE3"/>
    <w:rsid w:val="58E6094E"/>
    <w:rsid w:val="59962476"/>
    <w:rsid w:val="5A2140DC"/>
    <w:rsid w:val="5B920B35"/>
    <w:rsid w:val="5B9447E3"/>
    <w:rsid w:val="5BA04C44"/>
    <w:rsid w:val="5C6A7016"/>
    <w:rsid w:val="5CD45920"/>
    <w:rsid w:val="5D541F57"/>
    <w:rsid w:val="5E1A3D21"/>
    <w:rsid w:val="5F634B38"/>
    <w:rsid w:val="5FD70968"/>
    <w:rsid w:val="604D14A3"/>
    <w:rsid w:val="606377EC"/>
    <w:rsid w:val="60907D75"/>
    <w:rsid w:val="62CA45A2"/>
    <w:rsid w:val="63546188"/>
    <w:rsid w:val="63B13956"/>
    <w:rsid w:val="6422105A"/>
    <w:rsid w:val="64464F70"/>
    <w:rsid w:val="64572442"/>
    <w:rsid w:val="647B64A1"/>
    <w:rsid w:val="653E05DE"/>
    <w:rsid w:val="668D671F"/>
    <w:rsid w:val="67911F69"/>
    <w:rsid w:val="67D15A5F"/>
    <w:rsid w:val="67E9565E"/>
    <w:rsid w:val="6832145A"/>
    <w:rsid w:val="68E13002"/>
    <w:rsid w:val="6A1324A1"/>
    <w:rsid w:val="6AF46054"/>
    <w:rsid w:val="6B1C21F3"/>
    <w:rsid w:val="6C9524DD"/>
    <w:rsid w:val="6D6B00E5"/>
    <w:rsid w:val="6D794D48"/>
    <w:rsid w:val="6DC721AC"/>
    <w:rsid w:val="6E691593"/>
    <w:rsid w:val="6F686FC6"/>
    <w:rsid w:val="70963436"/>
    <w:rsid w:val="715F724B"/>
    <w:rsid w:val="736F49C4"/>
    <w:rsid w:val="73FA40C7"/>
    <w:rsid w:val="74D95E13"/>
    <w:rsid w:val="74DA7762"/>
    <w:rsid w:val="74E760B5"/>
    <w:rsid w:val="750503BE"/>
    <w:rsid w:val="751172B8"/>
    <w:rsid w:val="764A076A"/>
    <w:rsid w:val="77427A58"/>
    <w:rsid w:val="776F4AC7"/>
    <w:rsid w:val="78541493"/>
    <w:rsid w:val="78A25126"/>
    <w:rsid w:val="78D554E1"/>
    <w:rsid w:val="7A7244D9"/>
    <w:rsid w:val="7D70049C"/>
    <w:rsid w:val="7D741AB5"/>
    <w:rsid w:val="7F2862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autoRedefine/>
    <w:qFormat/>
    <w:uiPriority w:val="0"/>
    <w:pPr>
      <w:keepNext/>
      <w:keepLines/>
      <w:spacing w:line="576" w:lineRule="auto"/>
      <w:outlineLvl w:val="0"/>
    </w:pPr>
    <w:rPr>
      <w:b/>
      <w:kern w:val="44"/>
      <w:sz w:val="44"/>
    </w:rPr>
  </w:style>
  <w:style w:type="paragraph" w:styleId="3">
    <w:name w:val="heading 3"/>
    <w:basedOn w:val="1"/>
    <w:next w:val="1"/>
    <w:autoRedefine/>
    <w:qFormat/>
    <w:uiPriority w:val="0"/>
    <w:pPr>
      <w:keepNext/>
      <w:keepLines/>
      <w:spacing w:before="260" w:after="260" w:line="416" w:lineRule="auto"/>
      <w:outlineLvl w:val="2"/>
    </w:pPr>
    <w:rPr>
      <w:b/>
      <w:bCs/>
      <w:szCs w:val="32"/>
    </w:rPr>
  </w:style>
  <w:style w:type="paragraph" w:styleId="4">
    <w:name w:val="heading 4"/>
    <w:basedOn w:val="1"/>
    <w:next w:val="1"/>
    <w:autoRedefine/>
    <w:unhideWhenUsed/>
    <w:qFormat/>
    <w:uiPriority w:val="0"/>
    <w:pPr>
      <w:keepNext/>
      <w:keepLines/>
      <w:jc w:val="left"/>
      <w:outlineLvl w:val="3"/>
    </w:pPr>
    <w:rPr>
      <w:rFonts w:eastAsia="宋体"/>
      <w:b/>
      <w:bCs/>
      <w:sz w:val="2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spacing w:line="240" w:lineRule="auto"/>
      <w:ind w:firstLine="420" w:firstLineChars="200"/>
    </w:pPr>
    <w:rPr>
      <w:rFonts w:ascii="宋体" w:hAnsi="宋体" w:cs="宋体" w:eastAsiaTheme="minorEastAsia"/>
      <w:sz w:val="21"/>
    </w:rPr>
  </w:style>
  <w:style w:type="paragraph" w:styleId="6">
    <w:name w:val="Body Text"/>
    <w:basedOn w:val="1"/>
    <w:link w:val="26"/>
    <w:autoRedefine/>
    <w:qFormat/>
    <w:uiPriority w:val="0"/>
    <w:pPr>
      <w:spacing w:after="120"/>
    </w:pPr>
  </w:style>
  <w:style w:type="paragraph" w:styleId="7">
    <w:name w:val="Body Text Indent"/>
    <w:basedOn w:val="1"/>
    <w:autoRedefine/>
    <w:qFormat/>
    <w:uiPriority w:val="0"/>
    <w:pPr>
      <w:spacing w:line="360" w:lineRule="auto"/>
      <w:ind w:firstLine="495"/>
    </w:pPr>
    <w:rPr>
      <w:rFonts w:ascii="宋体" w:hAnsi="宋体"/>
      <w:sz w:val="24"/>
    </w:rPr>
  </w:style>
  <w:style w:type="paragraph" w:styleId="8">
    <w:name w:val="toc 3"/>
    <w:basedOn w:val="9"/>
    <w:next w:val="1"/>
    <w:autoRedefine/>
    <w:qFormat/>
    <w:uiPriority w:val="0"/>
    <w:pPr>
      <w:spacing w:line="240" w:lineRule="auto"/>
      <w:ind w:left="840" w:leftChars="400"/>
    </w:pPr>
    <w:rPr>
      <w:rFonts w:eastAsia="宋体"/>
      <w:sz w:val="21"/>
      <w:szCs w:val="20"/>
    </w:rPr>
  </w:style>
  <w:style w:type="paragraph" w:styleId="9">
    <w:name w:val="toc 1"/>
    <w:basedOn w:val="1"/>
    <w:next w:val="1"/>
    <w:autoRedefine/>
    <w:qFormat/>
    <w:uiPriority w:val="0"/>
  </w:style>
  <w:style w:type="paragraph" w:styleId="10">
    <w:name w:val="Plain Text"/>
    <w:basedOn w:val="1"/>
    <w:link w:val="34"/>
    <w:autoRedefine/>
    <w:qFormat/>
    <w:uiPriority w:val="0"/>
    <w:rPr>
      <w:rFonts w:ascii="宋体" w:hAnsi="Courier New" w:eastAsia="宋体" w:cs="Courier New"/>
      <w:sz w:val="21"/>
      <w:szCs w:val="21"/>
    </w:rPr>
  </w:style>
  <w:style w:type="paragraph" w:styleId="11">
    <w:name w:val="Date"/>
    <w:basedOn w:val="1"/>
    <w:next w:val="1"/>
    <w:autoRedefine/>
    <w:qFormat/>
    <w:uiPriority w:val="0"/>
    <w:pPr>
      <w:ind w:left="100" w:leftChars="2500"/>
    </w:pPr>
  </w:style>
  <w:style w:type="paragraph" w:styleId="12">
    <w:name w:val="Balloon Text"/>
    <w:basedOn w:val="1"/>
    <w:link w:val="31"/>
    <w:autoRedefine/>
    <w:qFormat/>
    <w:uiPriority w:val="0"/>
    <w:pPr>
      <w:spacing w:line="240" w:lineRule="auto"/>
    </w:pPr>
    <w:rPr>
      <w:sz w:val="18"/>
      <w:szCs w:val="18"/>
    </w:rPr>
  </w:style>
  <w:style w:type="paragraph" w:styleId="13">
    <w:name w:val="footer"/>
    <w:basedOn w:val="1"/>
    <w:link w:val="30"/>
    <w:autoRedefine/>
    <w:qFormat/>
    <w:uiPriority w:val="99"/>
    <w:pPr>
      <w:tabs>
        <w:tab w:val="center" w:pos="4153"/>
        <w:tab w:val="right" w:pos="8306"/>
      </w:tabs>
      <w:snapToGrid w:val="0"/>
      <w:jc w:val="left"/>
    </w:pPr>
    <w:rPr>
      <w:sz w:val="18"/>
      <w:szCs w:val="18"/>
    </w:rPr>
  </w:style>
  <w:style w:type="paragraph" w:styleId="14">
    <w:name w:val="header"/>
    <w:basedOn w:val="1"/>
    <w:link w:val="29"/>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itle"/>
    <w:basedOn w:val="1"/>
    <w:next w:val="1"/>
    <w:link w:val="41"/>
    <w:autoRedefine/>
    <w:qFormat/>
    <w:uiPriority w:val="0"/>
    <w:pPr>
      <w:spacing w:before="240" w:after="60" w:line="480" w:lineRule="auto"/>
      <w:jc w:val="center"/>
      <w:outlineLvl w:val="0"/>
    </w:pPr>
    <w:rPr>
      <w:rFonts w:ascii="Cambria" w:hAnsi="Cambria" w:eastAsia="宋体"/>
      <w:b/>
      <w:bCs/>
      <w:szCs w:val="32"/>
    </w:rPr>
  </w:style>
  <w:style w:type="paragraph" w:styleId="16">
    <w:name w:val="Body Text First Indent"/>
    <w:basedOn w:val="6"/>
    <w:link w:val="37"/>
    <w:autoRedefine/>
    <w:qFormat/>
    <w:uiPriority w:val="0"/>
    <w:pPr>
      <w:ind w:firstLine="420" w:firstLineChars="100"/>
    </w:pPr>
  </w:style>
  <w:style w:type="paragraph" w:styleId="17">
    <w:name w:val="Body Text First Indent 2"/>
    <w:basedOn w:val="7"/>
    <w:next w:val="1"/>
    <w:autoRedefine/>
    <w:qFormat/>
    <w:uiPriority w:val="0"/>
    <w:pPr>
      <w:ind w:firstLine="420" w:firstLineChars="200"/>
    </w:pPr>
    <w:rPr>
      <w:sz w:val="21"/>
    </w:rPr>
  </w:style>
  <w:style w:type="table" w:styleId="19">
    <w:name w:val="Table Grid"/>
    <w:basedOn w:val="1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paragraph" w:customStyle="1" w:styleId="22">
    <w:name w:val="表格内"/>
    <w:basedOn w:val="1"/>
    <w:autoRedefine/>
    <w:qFormat/>
    <w:uiPriority w:val="0"/>
    <w:pPr>
      <w:spacing w:line="360" w:lineRule="exact"/>
      <w:jc w:val="center"/>
    </w:pPr>
    <w:rPr>
      <w:snapToGrid w:val="0"/>
      <w:szCs w:val="21"/>
    </w:rPr>
  </w:style>
  <w:style w:type="paragraph" w:customStyle="1" w:styleId="23">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4">
    <w:name w:val="List Paragraph"/>
    <w:basedOn w:val="1"/>
    <w:autoRedefine/>
    <w:qFormat/>
    <w:uiPriority w:val="34"/>
    <w:pPr>
      <w:ind w:firstLine="420" w:firstLineChars="200"/>
    </w:pPr>
  </w:style>
  <w:style w:type="character" w:customStyle="1" w:styleId="25">
    <w:name w:val="正文文本 Char"/>
    <w:basedOn w:val="20"/>
    <w:autoRedefine/>
    <w:qFormat/>
    <w:uiPriority w:val="0"/>
    <w:rPr>
      <w:kern w:val="2"/>
      <w:sz w:val="21"/>
      <w:szCs w:val="24"/>
    </w:rPr>
  </w:style>
  <w:style w:type="character" w:customStyle="1" w:styleId="26">
    <w:name w:val="正文文本 Char1"/>
    <w:basedOn w:val="20"/>
    <w:link w:val="6"/>
    <w:autoRedefine/>
    <w:qFormat/>
    <w:uiPriority w:val="0"/>
    <w:rPr>
      <w:kern w:val="2"/>
      <w:sz w:val="21"/>
      <w:szCs w:val="24"/>
    </w:rPr>
  </w:style>
  <w:style w:type="character" w:customStyle="1" w:styleId="27">
    <w:name w:val="标题 1 Char"/>
    <w:link w:val="2"/>
    <w:autoRedefine/>
    <w:qFormat/>
    <w:uiPriority w:val="0"/>
    <w:rPr>
      <w:b/>
      <w:kern w:val="44"/>
      <w:sz w:val="44"/>
    </w:rPr>
  </w:style>
  <w:style w:type="character" w:customStyle="1" w:styleId="28">
    <w:name w:val="样式 四号"/>
    <w:autoRedefine/>
    <w:qFormat/>
    <w:uiPriority w:val="0"/>
    <w:rPr>
      <w:sz w:val="28"/>
    </w:rPr>
  </w:style>
  <w:style w:type="character" w:customStyle="1" w:styleId="29">
    <w:name w:val="页眉 Char"/>
    <w:basedOn w:val="20"/>
    <w:link w:val="14"/>
    <w:autoRedefine/>
    <w:qFormat/>
    <w:uiPriority w:val="0"/>
    <w:rPr>
      <w:rFonts w:ascii="Times New Roman" w:hAnsi="Times New Roman" w:eastAsia="仿宋_GB2312"/>
      <w:kern w:val="2"/>
      <w:sz w:val="18"/>
      <w:szCs w:val="18"/>
    </w:rPr>
  </w:style>
  <w:style w:type="character" w:customStyle="1" w:styleId="30">
    <w:name w:val="页脚 Char"/>
    <w:basedOn w:val="20"/>
    <w:link w:val="13"/>
    <w:autoRedefine/>
    <w:qFormat/>
    <w:uiPriority w:val="99"/>
    <w:rPr>
      <w:rFonts w:ascii="Times New Roman" w:hAnsi="Times New Roman" w:eastAsia="仿宋_GB2312"/>
      <w:kern w:val="2"/>
      <w:sz w:val="18"/>
      <w:szCs w:val="18"/>
    </w:rPr>
  </w:style>
  <w:style w:type="character" w:customStyle="1" w:styleId="31">
    <w:name w:val="批注框文本 Char"/>
    <w:basedOn w:val="20"/>
    <w:link w:val="12"/>
    <w:autoRedefine/>
    <w:qFormat/>
    <w:uiPriority w:val="0"/>
    <w:rPr>
      <w:rFonts w:ascii="Times New Roman" w:hAnsi="Times New Roman" w:eastAsia="仿宋_GB2312"/>
      <w:kern w:val="2"/>
      <w:sz w:val="18"/>
      <w:szCs w:val="18"/>
    </w:rPr>
  </w:style>
  <w:style w:type="character" w:customStyle="1" w:styleId="32">
    <w:name w:val="报告书正文 Char"/>
    <w:link w:val="33"/>
    <w:autoRedefine/>
    <w:qFormat/>
    <w:uiPriority w:val="0"/>
    <w:rPr>
      <w:rFonts w:ascii="Times New Roman" w:hAnsi="Times New Roman"/>
      <w:sz w:val="24"/>
      <w:szCs w:val="21"/>
    </w:rPr>
  </w:style>
  <w:style w:type="paragraph" w:customStyle="1" w:styleId="33">
    <w:name w:val="报告书正文"/>
    <w:basedOn w:val="10"/>
    <w:link w:val="32"/>
    <w:autoRedefine/>
    <w:qFormat/>
    <w:uiPriority w:val="0"/>
    <w:pPr>
      <w:widowControl/>
      <w:spacing w:line="360" w:lineRule="auto"/>
      <w:ind w:firstLine="480" w:firstLineChars="200"/>
    </w:pPr>
    <w:rPr>
      <w:rFonts w:ascii="Times New Roman" w:hAnsi="Times New Roman" w:cs="Times New Roman"/>
      <w:kern w:val="0"/>
      <w:sz w:val="24"/>
    </w:rPr>
  </w:style>
  <w:style w:type="character" w:customStyle="1" w:styleId="34">
    <w:name w:val="纯文本 Char"/>
    <w:basedOn w:val="20"/>
    <w:link w:val="10"/>
    <w:autoRedefine/>
    <w:qFormat/>
    <w:uiPriority w:val="0"/>
    <w:rPr>
      <w:rFonts w:ascii="宋体" w:hAnsi="Courier New" w:cs="Courier New"/>
      <w:kern w:val="2"/>
      <w:sz w:val="21"/>
      <w:szCs w:val="21"/>
    </w:rPr>
  </w:style>
  <w:style w:type="character" w:customStyle="1" w:styleId="35">
    <w:name w:val="表内内容 Char Char"/>
    <w:link w:val="36"/>
    <w:autoRedefine/>
    <w:qFormat/>
    <w:uiPriority w:val="0"/>
    <w:rPr>
      <w:rFonts w:ascii="Times New Roman" w:hAnsi="Times New Roman"/>
      <w:kern w:val="2"/>
      <w:sz w:val="21"/>
      <w:szCs w:val="28"/>
    </w:rPr>
  </w:style>
  <w:style w:type="paragraph" w:customStyle="1" w:styleId="36">
    <w:name w:val="表内内容"/>
    <w:basedOn w:val="1"/>
    <w:link w:val="35"/>
    <w:autoRedefine/>
    <w:qFormat/>
    <w:uiPriority w:val="0"/>
    <w:pPr>
      <w:adjustRightInd w:val="0"/>
      <w:spacing w:line="240" w:lineRule="auto"/>
      <w:jc w:val="center"/>
    </w:pPr>
    <w:rPr>
      <w:rFonts w:eastAsia="宋体"/>
      <w:sz w:val="21"/>
      <w:szCs w:val="28"/>
    </w:rPr>
  </w:style>
  <w:style w:type="character" w:customStyle="1" w:styleId="37">
    <w:name w:val="正文首行缩进 Char"/>
    <w:basedOn w:val="26"/>
    <w:link w:val="16"/>
    <w:autoRedefine/>
    <w:qFormat/>
    <w:uiPriority w:val="0"/>
    <w:rPr>
      <w:rFonts w:ascii="Times New Roman" w:hAnsi="Times New Roman" w:eastAsia="仿宋_GB2312"/>
      <w:kern w:val="2"/>
      <w:sz w:val="32"/>
      <w:szCs w:val="24"/>
    </w:rPr>
  </w:style>
  <w:style w:type="character" w:customStyle="1" w:styleId="38">
    <w:name w:val="！正文 Char"/>
    <w:link w:val="39"/>
    <w:autoRedefine/>
    <w:qFormat/>
    <w:uiPriority w:val="0"/>
    <w:rPr>
      <w:rFonts w:ascii="Times New Roman" w:hAnsi="Times New Roman" w:eastAsia="Times New Roman"/>
      <w:sz w:val="24"/>
    </w:rPr>
  </w:style>
  <w:style w:type="paragraph" w:customStyle="1" w:styleId="39">
    <w:name w:val="！正文"/>
    <w:basedOn w:val="1"/>
    <w:link w:val="38"/>
    <w:autoRedefine/>
    <w:qFormat/>
    <w:uiPriority w:val="0"/>
    <w:pPr>
      <w:spacing w:line="360" w:lineRule="auto"/>
      <w:ind w:firstLine="643" w:firstLineChars="200"/>
    </w:pPr>
    <w:rPr>
      <w:rFonts w:eastAsia="Times New Roman"/>
      <w:kern w:val="0"/>
      <w:sz w:val="24"/>
      <w:szCs w:val="20"/>
    </w:rPr>
  </w:style>
  <w:style w:type="paragraph" w:customStyle="1" w:styleId="40">
    <w:name w:val="文本"/>
    <w:basedOn w:val="1"/>
    <w:autoRedefine/>
    <w:qFormat/>
    <w:uiPriority w:val="0"/>
    <w:pPr>
      <w:adjustRightInd w:val="0"/>
      <w:snapToGrid w:val="0"/>
      <w:spacing w:line="360" w:lineRule="auto"/>
      <w:ind w:firstLine="480" w:firstLineChars="200"/>
      <w:jc w:val="left"/>
    </w:pPr>
    <w:rPr>
      <w:rFonts w:eastAsia="宋体"/>
      <w:kern w:val="0"/>
      <w:sz w:val="24"/>
      <w:lang w:val="zh-CN"/>
    </w:rPr>
  </w:style>
  <w:style w:type="character" w:customStyle="1" w:styleId="41">
    <w:name w:val="标题 Char"/>
    <w:link w:val="15"/>
    <w:autoRedefine/>
    <w:qFormat/>
    <w:uiPriority w:val="0"/>
    <w:rPr>
      <w:rFonts w:ascii="Cambria" w:hAnsi="Cambria"/>
      <w:b/>
      <w:bCs/>
      <w:kern w:val="2"/>
      <w:sz w:val="32"/>
      <w:szCs w:val="32"/>
    </w:rPr>
  </w:style>
  <w:style w:type="character" w:customStyle="1" w:styleId="42">
    <w:name w:val="标题 Char1"/>
    <w:basedOn w:val="20"/>
    <w:autoRedefine/>
    <w:qFormat/>
    <w:uiPriority w:val="0"/>
    <w:rPr>
      <w:rFonts w:asciiTheme="majorHAnsi" w:hAnsiTheme="majorHAnsi" w:cstheme="majorBidi"/>
      <w:b/>
      <w:bCs/>
      <w:kern w:val="2"/>
      <w:sz w:val="32"/>
      <w:szCs w:val="32"/>
    </w:rPr>
  </w:style>
  <w:style w:type="paragraph" w:customStyle="1" w:styleId="43">
    <w:name w:val="1-正文"/>
    <w:basedOn w:val="1"/>
    <w:autoRedefine/>
    <w:qFormat/>
    <w:uiPriority w:val="0"/>
    <w:pPr>
      <w:spacing w:line="360" w:lineRule="auto"/>
      <w:ind w:firstLine="200" w:firstLineChars="200"/>
    </w:pPr>
    <w:rPr>
      <w:rFonts w:eastAsia="宋体"/>
      <w:sz w:val="21"/>
      <w:szCs w:val="22"/>
    </w:rPr>
  </w:style>
  <w:style w:type="paragraph" w:customStyle="1" w:styleId="44">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9E0A6-F89A-4617-A1C8-8F49577E7AA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220</Words>
  <Characters>1255</Characters>
  <Lines>10</Lines>
  <Paragraphs>2</Paragraphs>
  <TotalTime>28</TotalTime>
  <ScaleCrop>false</ScaleCrop>
  <LinksUpToDate>false</LinksUpToDate>
  <CharactersWithSpaces>1473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2023-11-16T02:50:00Z</dcterms:created>
  <dc:creator>微软系统</dc:creator>
  <cp:lastModifiedBy>Administrator</cp:lastModifiedBy>
  <cp:lastPrinted>2024-02-02T03:21:00Z</cp:lastPrinted>
  <dcterms:modified xsi:type="dcterms:W3CDTF">2024-02-20T10:59:40Z</dcterms:modified>
  <dc:title>鄯政环〔2014〕号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BAFED0492D184E6A929D587AECC5A7D6_13</vt:lpwstr>
  </property>
</Properties>
</file>