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宋体" w:cs="宋体"/>
          <w:color w:val="000000"/>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宋体" w:cs="宋体"/>
          <w:color w:val="000000"/>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吐市环监函〔2024〕</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0"/>
        <w:rPr>
          <w:rFonts w:hint="default" w:ascii="Times New Roman" w:hAnsi="Times New Roman" w:eastAsia="方正小标宋简体" w:cs="Times New Roman"/>
          <w:bCs/>
          <w:color w:val="000000"/>
          <w:spacing w:val="-6"/>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国电青松吐鲁番新能源有限公司大河沿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水电站危废贮存间建设项目</w:t>
      </w:r>
      <w:r>
        <w:rPr>
          <w:rFonts w:hint="eastAsia" w:ascii="方正小标宋简体" w:hAnsi="方正小标宋简体" w:eastAsia="方正小标宋简体" w:cs="方正小标宋简体"/>
          <w:sz w:val="44"/>
          <w:szCs w:val="44"/>
        </w:rPr>
        <w:t>环境影响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报告表的批复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eastAsia"/>
          <w:lang w:val="en-US" w:eastAsia="zh-CN"/>
        </w:rPr>
        <w:t>国电青松吐鲁番新能源有限公司</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rPr>
      </w:pPr>
      <w:r>
        <w:rPr>
          <w:rFonts w:hint="default"/>
        </w:rPr>
        <w:t>你单位《关于&lt;</w:t>
      </w:r>
      <w:r>
        <w:rPr>
          <w:rFonts w:hint="eastAsia"/>
          <w:lang w:val="en-US" w:eastAsia="zh-CN"/>
        </w:rPr>
        <w:t>国电青松吐鲁番新能源有限公司大河沿水电站危废贮存间建设项目环境影响报告表</w:t>
      </w:r>
      <w:r>
        <w:rPr>
          <w:rFonts w:hint="default"/>
        </w:rPr>
        <w:t>&gt;申请审批的请示》及相关附件收悉。经研究，批复如下：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一、</w:t>
      </w:r>
      <w:r>
        <w:rPr>
          <w:rFonts w:hint="eastAsia" w:ascii="仿宋_GB2312" w:hAnsi="仿宋_GB2312" w:eastAsia="仿宋_GB2312" w:cs="仿宋_GB2312"/>
          <w:lang w:val="en-US" w:eastAsia="zh-CN"/>
        </w:rPr>
        <w:t>国电青松吐鲁番新能源有限公司大河沿水电站危废贮存间建设项目位于</w:t>
      </w:r>
      <w:r>
        <w:rPr>
          <w:rFonts w:hint="eastAsia" w:ascii="仿宋_GB2312" w:hAnsi="仿宋_GB2312" w:eastAsia="仿宋_GB2312" w:cs="仿宋_GB2312"/>
        </w:rPr>
        <w:t>高昌区大河沿镇东3.8公里处的大河沿水电站综合办公区</w:t>
      </w:r>
      <w:bookmarkStart w:id="0" w:name="_GoBack"/>
      <w:bookmarkEnd w:id="0"/>
      <w:r>
        <w:rPr>
          <w:rFonts w:hint="eastAsia" w:ascii="仿宋_GB2312" w:hAnsi="仿宋_GB2312" w:eastAsia="仿宋_GB2312" w:cs="仿宋_GB2312"/>
          <w:lang w:val="en-US" w:eastAsia="zh-CN"/>
        </w:rPr>
        <w:t>。本项目建设性质为</w:t>
      </w:r>
      <w:r>
        <w:rPr>
          <w:rFonts w:hint="eastAsia" w:ascii="仿宋_GB2312" w:hAnsi="仿宋_GB2312" w:eastAsia="仿宋_GB2312" w:cs="仿宋_GB2312"/>
        </w:rPr>
        <w:t>新建，</w:t>
      </w:r>
      <w:r>
        <w:rPr>
          <w:rFonts w:hint="eastAsia" w:ascii="仿宋_GB2312" w:hAnsi="仿宋_GB2312" w:eastAsia="仿宋_GB2312" w:cs="仿宋_GB2312"/>
          <w:lang w:val="en-US" w:eastAsia="zh-CN"/>
        </w:rPr>
        <w:t>主要建设集装箱结构危废贮存间，用于存放废矿物油、废铅蓄电池等危废，其中废矿物油区面积为9m</w:t>
      </w:r>
      <w:r>
        <w:rPr>
          <w:rFonts w:hint="eastAsia" w:ascii="仿宋_GB2312" w:hAnsi="仿宋_GB2312" w:eastAsia="仿宋_GB2312" w:cs="仿宋_GB2312"/>
          <w:vertAlign w:val="superscript"/>
          <w:lang w:val="en-US" w:eastAsia="zh-CN"/>
        </w:rPr>
        <w:t>2</w:t>
      </w:r>
      <w:r>
        <w:rPr>
          <w:rFonts w:hint="eastAsia" w:ascii="仿宋_GB2312" w:hAnsi="仿宋_GB2312" w:eastAsia="仿宋_GB2312" w:cs="仿宋_GB2312"/>
          <w:lang w:val="en-US" w:eastAsia="zh-CN"/>
        </w:rPr>
        <w:t>，废铅蓄电池区面积为9m</w:t>
      </w:r>
      <w:r>
        <w:rPr>
          <w:rFonts w:hint="eastAsia" w:ascii="仿宋_GB2312" w:hAnsi="仿宋_GB2312" w:eastAsia="仿宋_GB2312" w:cs="仿宋_GB2312"/>
          <w:vertAlign w:val="superscript"/>
          <w:lang w:val="en-US" w:eastAsia="zh-CN"/>
        </w:rPr>
        <w:t>2</w:t>
      </w:r>
      <w:r>
        <w:rPr>
          <w:rFonts w:hint="eastAsia" w:ascii="仿宋_GB2312" w:hAnsi="仿宋_GB2312" w:eastAsia="仿宋_GB2312" w:cs="仿宋_GB2312"/>
          <w:lang w:val="en-US" w:eastAsia="zh-CN"/>
        </w:rPr>
        <w:t>，均放入容器中储存，存放容器堆放在托盘上，地面进行防渗，并设置导流槽、集液池（容积0.64m</w:t>
      </w:r>
      <w:r>
        <w:rPr>
          <w:rFonts w:hint="eastAsia" w:ascii="仿宋_GB2312" w:hAnsi="仿宋_GB2312" w:eastAsia="仿宋_GB2312" w:cs="仿宋_GB2312"/>
          <w:vertAlign w:val="superscript"/>
          <w:lang w:val="en-US" w:eastAsia="zh-CN"/>
        </w:rPr>
        <w:t>3</w:t>
      </w:r>
      <w:r>
        <w:rPr>
          <w:rFonts w:hint="eastAsia" w:ascii="仿宋_GB2312" w:hAnsi="仿宋_GB2312" w:eastAsia="仿宋_GB2312" w:cs="仿宋_GB2312"/>
          <w:lang w:val="en-US" w:eastAsia="zh-CN"/>
        </w:rPr>
        <w:t>）。危废贮存间内外、存储容器均贴有危险物标识。危废贮存间内外、存储容器均贴有危险物标识。危废贮存间内外、存储容器均贴危险物标识。项目总用地面积18m</w:t>
      </w:r>
      <w:r>
        <w:rPr>
          <w:rFonts w:hint="eastAsia" w:ascii="仿宋_GB2312" w:hAnsi="仿宋_GB2312" w:eastAsia="仿宋_GB2312" w:cs="仿宋_GB2312"/>
          <w:vertAlign w:val="superscript"/>
          <w:lang w:val="en-US" w:eastAsia="zh-CN"/>
        </w:rPr>
        <w:t>2</w:t>
      </w:r>
      <w:r>
        <w:rPr>
          <w:rFonts w:hint="eastAsia" w:ascii="仿宋_GB2312" w:hAnsi="仿宋_GB2312" w:eastAsia="仿宋_GB2312" w:cs="仿宋_GB2312"/>
          <w:lang w:val="en-US" w:eastAsia="zh-CN"/>
        </w:rPr>
        <w:t>，总投资7万元，其中环保投资7万元，占总投资的100%。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lang w:val="en-US" w:eastAsia="zh-CN"/>
        </w:rPr>
        <w:t>二、</w:t>
      </w:r>
      <w:r>
        <w:rPr>
          <w:rFonts w:hint="eastAsia"/>
        </w:rPr>
        <w:t>根据</w:t>
      </w:r>
      <w:r>
        <w:rPr>
          <w:rFonts w:hint="eastAsia"/>
          <w:lang w:val="en-US" w:eastAsia="zh-CN"/>
        </w:rPr>
        <w:t>北京普然生态环境科技有限公司</w:t>
      </w:r>
      <w:r>
        <w:rPr>
          <w:rFonts w:hint="eastAsia"/>
        </w:rPr>
        <w:t>编制的《</w:t>
      </w:r>
      <w:r>
        <w:rPr>
          <w:rFonts w:hint="eastAsia"/>
          <w:lang w:val="en-US" w:eastAsia="zh-CN"/>
        </w:rPr>
        <w:t>国电青松吐鲁番新能源有限公司大河沿水电站危废贮存间建设项目环境影响报告表</w:t>
      </w:r>
      <w:r>
        <w:rPr>
          <w:rFonts w:hint="eastAsia"/>
        </w:rPr>
        <w:t>》评价结论、</w:t>
      </w:r>
      <w:r>
        <w:rPr>
          <w:rFonts w:hint="eastAsia"/>
          <w:lang w:val="en-US" w:eastAsia="zh-CN"/>
        </w:rPr>
        <w:t>高昌区</w:t>
      </w:r>
      <w:r>
        <w:rPr>
          <w:rFonts w:hint="eastAsia"/>
        </w:rPr>
        <w:t>分局《</w:t>
      </w:r>
      <w:r>
        <w:rPr>
          <w:rFonts w:hint="eastAsia"/>
          <w:lang w:val="en-US" w:eastAsia="zh-CN"/>
        </w:rPr>
        <w:t>关于&lt;国电青松吐鲁番新能源有限公司大河沿水电站危废贮存间建设项目环境影响报告表&gt;</w:t>
      </w:r>
      <w:r>
        <w:rPr>
          <w:rFonts w:hint="eastAsia"/>
        </w:rPr>
        <w:t>的初审意</w:t>
      </w:r>
      <w:r>
        <w:rPr>
          <w:rFonts w:hint="eastAsia" w:ascii="仿宋_GB2312" w:hAnsi="仿宋_GB2312" w:eastAsia="仿宋_GB2312" w:cs="仿宋_GB2312"/>
        </w:rPr>
        <w:t>见》（</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4</w:t>
      </w:r>
      <w:r>
        <w:rPr>
          <w:rFonts w:hint="eastAsia" w:ascii="仿宋_GB2312" w:hAnsi="仿宋_GB2312" w:eastAsia="仿宋_GB2312" w:cs="仿宋_GB2312"/>
          <w:lang w:eastAsia="zh-CN"/>
        </w:rPr>
        <w:t>〕</w:t>
      </w:r>
      <w:r>
        <w:rPr>
          <w:rFonts w:hint="eastAsia" w:ascii="仿宋_GB2312" w:hAnsi="仿宋_GB2312" w:cs="仿宋_GB2312"/>
          <w:lang w:val="en-US" w:eastAsia="zh-CN"/>
        </w:rPr>
        <w:t xml:space="preserve"> 03 </w:t>
      </w:r>
      <w:r>
        <w:rPr>
          <w:rFonts w:hint="eastAsia" w:ascii="仿宋_GB2312" w:hAnsi="仿宋_GB2312" w:eastAsia="仿宋_GB2312" w:cs="仿宋_GB2312"/>
        </w:rPr>
        <w:t>号</w:t>
      </w:r>
      <w:r>
        <w:rPr>
          <w:rFonts w:hint="eastAsia"/>
        </w:rPr>
        <w:t>），</w:t>
      </w:r>
      <w:r>
        <w:rPr>
          <w:rFonts w:hint="eastAsia" w:ascii="仿宋_GB2312" w:hAnsi="仿宋_GB2312" w:eastAsia="仿宋_GB2312" w:cs="仿宋_GB2312"/>
          <w:sz w:val="32"/>
          <w:szCs w:val="32"/>
        </w:rPr>
        <w:t>该项目在落实《报告表》提出的各项环境保护措施后，项目所产生的不利影响可以得到缓解和控制。从环境保护的角度，原则同意该项目按照《报告表》中所列项目地点、性质、规模及拟采取的各项环境保护措施进行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三、在项目建设、运行和环境管理中要认真落实《报告表》提出的各项环保要求，严格执行环保“三同时”制度，并重点做好以下工作：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（一）落实施工期各项环保措施。</w:t>
      </w:r>
      <w:r>
        <w:rPr>
          <w:rFonts w:hint="eastAsia"/>
          <w:lang w:val="en-US" w:eastAsia="zh-CN"/>
        </w:rPr>
        <w:t>项目应</w:t>
      </w:r>
      <w:r>
        <w:rPr>
          <w:rFonts w:hint="eastAsia"/>
        </w:rPr>
        <w:t>加强施工期间的环境保护管理工作，防止施工期废水、扬尘、固体废物和噪声对周围环境产生不利影响，施工结束后及时恢复。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严格落实废气污染防治措施。项目危险废物密封贮存，危废间设置换气扇。加强危废间监管，定期开展巡查，确保存储容器密闭完好无损，非甲烷总烃排放浓度须满足《挥发性有机物无组织排放控制标准》（GB37822-2019）排放限值和《大气污染物综合排放标准》（GB16297-1996）表2无组织排放监控浓度限值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lang w:val="en-US" w:eastAsia="zh-CN"/>
        </w:rPr>
      </w:pPr>
      <w:r>
        <w:rPr>
          <w:rFonts w:hint="eastAsia"/>
          <w:lang w:val="en-US" w:eastAsia="zh-CN"/>
        </w:rPr>
        <w:t>（三）落实水污染防治措施。项目不产生废水。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val="en-US" w:eastAsia="zh-CN"/>
        </w:rPr>
      </w:pPr>
      <w:r>
        <w:rPr>
          <w:rFonts w:hint="eastAsia"/>
          <w:lang w:val="en-US" w:eastAsia="zh-CN"/>
        </w:rPr>
        <w:t>（四）落实固体废物污染防治措施。</w:t>
      </w:r>
      <w:r>
        <w:rPr>
          <w:rFonts w:hint="eastAsia" w:ascii="仿宋_GB2312" w:hAnsi="仿宋_GB2312" w:eastAsia="仿宋_GB2312" w:cs="仿宋_GB2312"/>
          <w:lang w:val="en-US" w:eastAsia="zh-CN"/>
        </w:rPr>
        <w:t>项目运营期需暂存的废矿物油、废电容、废铅蓄电池等危险废物暂存在危险废物暂存间内，不得随意外运、转移处置。加强设备及容器定期巡检和维护，收集后的危险废物定期交由有资质的单位处置，危险废物的管理应满足《危险废物贮存污染控制标准》（GB18597-2023）、《危险废物收集贮存运输技术规范》（HJ2025-2012）及《危险废物转移管理办法》（部令第23号）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（五）落实噪声防治措施。项目采用吸声、隔声、减震等防护措施，运营期厂界噪声满足《工业企业厂界环境噪声排放标准》(GB12348-2008)中2类标准。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建立严格的环境管理体系。项目应严格落实《报告表》提出的各项事故防范和应急措施，将《报告表》新增风险的相关内容纳入到全厂环境突发环境事件应急预案，及时修编备案，完善环保规章制度，设置危废管理台账，完善危废管理制度，定期开展环境应急演练。提高操作管理水平，加强设备管理、维护及操作人员的教育培训，控制和降低环境风险，杜绝环境污染事故的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项目不设污染物总量控制指标。项目在发生实际排污行为之前，必须按相关规范要求申领排污许可证，在排污许可证中载明批准的环境影响报告表中各项环境保护措施、污染物排放清单等的执行情况及其他有关内容，并按证排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rPr>
        <w:t>五、你公司应落实生态环境保护主体责任，建立内部生态环境管理体系，明确机构、人员职责和制度，加强生态环境管理，推动各项</w:t>
      </w:r>
      <w:r>
        <w:rPr>
          <w:rFonts w:hint="eastAsia" w:ascii="仿宋_GB2312" w:hAnsi="仿宋_GB2312" w:eastAsia="仿宋_GB2312" w:cs="仿宋_GB2312"/>
        </w:rPr>
        <w:t>生态环境保护措施落实。项目建设必须严格执行配套的环境保护设施与主体工程同时设计、同时施工、同时投产使用的环境保护“三同时”制度。项目建成后，须按规定开展竣工环境保护验收，验收合格后，方可正式投入运行。如项目发生重大变动，环评文件须报有审批权的生态环境部门重新审批。自环评文件批准之日起满5年，工程方决定开工建设，环评文件应当报我局重新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高昌区分局要切实承担事中事后监管主要责任，履行属地监管职责，按照《关于进一步完善建设项目环境保护“三同时”及竣工环境保护自主验收监管工作机制的意见》（环执法〔2021〕70号）要求，加强对该项目环境保护“三同时”及自主验收监管。吐鲁番市生态环境保护综合行政执法支队要加强对“三同时”及自主验收工作的监督指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七、你公司应在收到本批复后20个工作日内，将批准后的《报告表》送高昌区分局，并按规定接受各级生态环境主管部门的监督检查。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rPr>
        <w:t xml:space="preserve">                   </w:t>
      </w:r>
      <w:r>
        <w:rPr>
          <w:rFonts w:hint="eastAsia" w:ascii="仿宋_GB2312" w:hAnsi="仿宋_GB2312" w:eastAsia="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吐鲁番市生态环境局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 xml:space="preserve"> 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w:t>
      </w:r>
      <w:r>
        <w:rPr>
          <w:rFonts w:hint="eastAsia" w:ascii="仿宋_GB2312" w:hAnsi="仿宋_GB2312" w:eastAsia="仿宋_GB2312" w:cs="仿宋_GB2312"/>
        </w:rPr>
        <w:t>月</w:t>
      </w:r>
      <w:r>
        <w:rPr>
          <w:rFonts w:hint="eastAsia" w:ascii="仿宋_GB2312" w:hAnsi="仿宋_GB2312" w:cs="仿宋_GB2312"/>
          <w:lang w:val="en-US" w:eastAsia="zh-CN"/>
        </w:rPr>
        <w:t>23</w:t>
      </w:r>
      <w:r>
        <w:rPr>
          <w:rFonts w:hint="eastAsia" w:ascii="仿宋_GB2312" w:hAnsi="仿宋_GB2312" w:eastAsia="仿宋_GB2312" w:cs="仿宋_GB231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ascii="仿宋_GB2312" w:hAnsi="仿宋_GB2312" w:eastAsia="仿宋_GB2312" w:cs="仿宋_GB2312"/>
        </w:rPr>
        <w:t>抄送：</w:t>
      </w:r>
      <w:r>
        <w:rPr>
          <w:rFonts w:hint="eastAsia" w:ascii="仿宋_GB2312" w:hAnsi="仿宋_GB2312" w:eastAsia="仿宋_GB2312" w:cs="仿宋_GB2312"/>
          <w:lang w:eastAsia="zh-CN"/>
        </w:rPr>
        <w:t>吐鲁番</w:t>
      </w:r>
      <w:r>
        <w:rPr>
          <w:rFonts w:hint="eastAsia" w:ascii="仿宋_GB2312" w:hAnsi="仿宋_GB2312" w:eastAsia="仿宋_GB2312" w:cs="仿宋_GB2312"/>
        </w:rPr>
        <w:t>市生态环境局</w:t>
      </w:r>
      <w:r>
        <w:rPr>
          <w:rFonts w:hint="eastAsia" w:ascii="仿宋_GB2312" w:hAnsi="仿宋_GB2312" w:eastAsia="仿宋_GB2312" w:cs="仿宋_GB2312"/>
          <w:lang w:val="en-US" w:eastAsia="zh-CN"/>
        </w:rPr>
        <w:t>高昌区</w:t>
      </w:r>
      <w:r>
        <w:rPr>
          <w:rFonts w:hint="eastAsia" w:ascii="仿宋_GB2312" w:hAnsi="仿宋_GB2312" w:eastAsia="仿宋_GB2312" w:cs="仿宋_GB2312"/>
        </w:rPr>
        <w:t>分局，</w:t>
      </w:r>
      <w:r>
        <w:rPr>
          <w:rFonts w:hint="eastAsia" w:ascii="仿宋_GB2312" w:hAnsi="仿宋_GB2312" w:eastAsia="仿宋_GB2312" w:cs="仿宋_GB2312"/>
          <w:lang w:eastAsia="zh-CN"/>
        </w:rPr>
        <w:t>吐</w:t>
      </w:r>
      <w:r>
        <w:rPr>
          <w:rFonts w:hint="eastAsia"/>
          <w:lang w:eastAsia="zh-CN"/>
        </w:rPr>
        <w:t>鲁番</w:t>
      </w:r>
      <w:r>
        <w:rPr>
          <w:rFonts w:hint="eastAsia"/>
        </w:rPr>
        <w:t>市生态环境保护综合行政执法支队</w:t>
      </w:r>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pPr>
          <w:pStyle w:val="16"/>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pPr>
          <w:pStyle w:val="16"/>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D0A"/>
    <w:rsid w:val="0004542E"/>
    <w:rsid w:val="00050D7D"/>
    <w:rsid w:val="00052FE7"/>
    <w:rsid w:val="000579FB"/>
    <w:rsid w:val="00070613"/>
    <w:rsid w:val="00071398"/>
    <w:rsid w:val="000729AD"/>
    <w:rsid w:val="000746D8"/>
    <w:rsid w:val="00074E1B"/>
    <w:rsid w:val="0008366B"/>
    <w:rsid w:val="0008583A"/>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700D7"/>
    <w:rsid w:val="00176035"/>
    <w:rsid w:val="00183715"/>
    <w:rsid w:val="0018447C"/>
    <w:rsid w:val="0019002A"/>
    <w:rsid w:val="0019095B"/>
    <w:rsid w:val="00193015"/>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83D"/>
    <w:rsid w:val="00284B73"/>
    <w:rsid w:val="00287CA1"/>
    <w:rsid w:val="002A3564"/>
    <w:rsid w:val="002B16A1"/>
    <w:rsid w:val="002B6D04"/>
    <w:rsid w:val="002C5C30"/>
    <w:rsid w:val="002C63CB"/>
    <w:rsid w:val="002C7C42"/>
    <w:rsid w:val="002D0826"/>
    <w:rsid w:val="002D3E68"/>
    <w:rsid w:val="002D5E6B"/>
    <w:rsid w:val="002E058D"/>
    <w:rsid w:val="002E19D3"/>
    <w:rsid w:val="002F0A27"/>
    <w:rsid w:val="002F246F"/>
    <w:rsid w:val="002F6B69"/>
    <w:rsid w:val="003016AC"/>
    <w:rsid w:val="00302FA1"/>
    <w:rsid w:val="0030367C"/>
    <w:rsid w:val="0030523F"/>
    <w:rsid w:val="00306C3E"/>
    <w:rsid w:val="0031465D"/>
    <w:rsid w:val="00314F74"/>
    <w:rsid w:val="00316035"/>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F28BC"/>
    <w:rsid w:val="006F46F4"/>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7250"/>
    <w:rsid w:val="007A1342"/>
    <w:rsid w:val="007A5B1D"/>
    <w:rsid w:val="007A7957"/>
    <w:rsid w:val="007B0CC1"/>
    <w:rsid w:val="007B17DA"/>
    <w:rsid w:val="007B440D"/>
    <w:rsid w:val="007B753F"/>
    <w:rsid w:val="007C01AF"/>
    <w:rsid w:val="007C2AB4"/>
    <w:rsid w:val="007C3627"/>
    <w:rsid w:val="007C76C3"/>
    <w:rsid w:val="007E5D96"/>
    <w:rsid w:val="007E7F7A"/>
    <w:rsid w:val="007F06F2"/>
    <w:rsid w:val="007F0AF3"/>
    <w:rsid w:val="007F52DE"/>
    <w:rsid w:val="00800136"/>
    <w:rsid w:val="00811A70"/>
    <w:rsid w:val="008142DC"/>
    <w:rsid w:val="00817BD3"/>
    <w:rsid w:val="00830C26"/>
    <w:rsid w:val="0084399B"/>
    <w:rsid w:val="0085082B"/>
    <w:rsid w:val="008563E4"/>
    <w:rsid w:val="008572DD"/>
    <w:rsid w:val="00861569"/>
    <w:rsid w:val="00874FBD"/>
    <w:rsid w:val="0088108F"/>
    <w:rsid w:val="008841B6"/>
    <w:rsid w:val="00885921"/>
    <w:rsid w:val="00891894"/>
    <w:rsid w:val="008A5452"/>
    <w:rsid w:val="008B2C97"/>
    <w:rsid w:val="008C09A4"/>
    <w:rsid w:val="008D7070"/>
    <w:rsid w:val="008E2A27"/>
    <w:rsid w:val="008F2D95"/>
    <w:rsid w:val="008F31EA"/>
    <w:rsid w:val="008F40CA"/>
    <w:rsid w:val="008F4CA6"/>
    <w:rsid w:val="008F552A"/>
    <w:rsid w:val="008F5F82"/>
    <w:rsid w:val="008F66E3"/>
    <w:rsid w:val="009001D9"/>
    <w:rsid w:val="00903D49"/>
    <w:rsid w:val="00906C55"/>
    <w:rsid w:val="00910341"/>
    <w:rsid w:val="00914BCC"/>
    <w:rsid w:val="0091736A"/>
    <w:rsid w:val="00927942"/>
    <w:rsid w:val="009313F8"/>
    <w:rsid w:val="00943623"/>
    <w:rsid w:val="00945FBF"/>
    <w:rsid w:val="00947D90"/>
    <w:rsid w:val="009506AE"/>
    <w:rsid w:val="009566CD"/>
    <w:rsid w:val="00956F74"/>
    <w:rsid w:val="0096124E"/>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1FFA"/>
    <w:rsid w:val="00C355EE"/>
    <w:rsid w:val="00C362F6"/>
    <w:rsid w:val="00C37CD3"/>
    <w:rsid w:val="00C51E6C"/>
    <w:rsid w:val="00C5362E"/>
    <w:rsid w:val="00C63180"/>
    <w:rsid w:val="00C71CC5"/>
    <w:rsid w:val="00C918BE"/>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334F"/>
    <w:rsid w:val="00D10C51"/>
    <w:rsid w:val="00D11120"/>
    <w:rsid w:val="00D11833"/>
    <w:rsid w:val="00D136DE"/>
    <w:rsid w:val="00D141C1"/>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47AB"/>
    <w:rsid w:val="00D74A82"/>
    <w:rsid w:val="00D761A0"/>
    <w:rsid w:val="00D81961"/>
    <w:rsid w:val="00D92B53"/>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F13"/>
    <w:rsid w:val="00F53803"/>
    <w:rsid w:val="00F54B70"/>
    <w:rsid w:val="00F56642"/>
    <w:rsid w:val="00F72289"/>
    <w:rsid w:val="00F870A6"/>
    <w:rsid w:val="00F90E0B"/>
    <w:rsid w:val="00F918AB"/>
    <w:rsid w:val="00F93E48"/>
    <w:rsid w:val="00F97D93"/>
    <w:rsid w:val="00FA1880"/>
    <w:rsid w:val="00FA22E2"/>
    <w:rsid w:val="00FB07F3"/>
    <w:rsid w:val="00FB2CDC"/>
    <w:rsid w:val="00FB672F"/>
    <w:rsid w:val="00FC3A17"/>
    <w:rsid w:val="00FC3A23"/>
    <w:rsid w:val="00FC5595"/>
    <w:rsid w:val="00FC5AA7"/>
    <w:rsid w:val="00FD017F"/>
    <w:rsid w:val="00FD1C1C"/>
    <w:rsid w:val="00FD2E47"/>
    <w:rsid w:val="00FD42C4"/>
    <w:rsid w:val="00FE7848"/>
    <w:rsid w:val="00FF2324"/>
    <w:rsid w:val="00FF428A"/>
    <w:rsid w:val="00FF4997"/>
    <w:rsid w:val="00FF544B"/>
    <w:rsid w:val="00FF66B5"/>
    <w:rsid w:val="01AC0139"/>
    <w:rsid w:val="021A0131"/>
    <w:rsid w:val="02F20021"/>
    <w:rsid w:val="03846F05"/>
    <w:rsid w:val="03E1080D"/>
    <w:rsid w:val="04782A92"/>
    <w:rsid w:val="04AB638C"/>
    <w:rsid w:val="067326F7"/>
    <w:rsid w:val="07A13635"/>
    <w:rsid w:val="08101DB2"/>
    <w:rsid w:val="081E50D6"/>
    <w:rsid w:val="08A17FE2"/>
    <w:rsid w:val="08BA4909"/>
    <w:rsid w:val="0ABA551B"/>
    <w:rsid w:val="0B3D6DBF"/>
    <w:rsid w:val="0B5310FE"/>
    <w:rsid w:val="0B591DA9"/>
    <w:rsid w:val="0B592086"/>
    <w:rsid w:val="0B596157"/>
    <w:rsid w:val="0C3D6A94"/>
    <w:rsid w:val="0C5817A4"/>
    <w:rsid w:val="0CD148A7"/>
    <w:rsid w:val="0D6E42F3"/>
    <w:rsid w:val="0DB45986"/>
    <w:rsid w:val="0E0511A8"/>
    <w:rsid w:val="0E21123B"/>
    <w:rsid w:val="0E792F4F"/>
    <w:rsid w:val="0EDB39A1"/>
    <w:rsid w:val="0EF0248D"/>
    <w:rsid w:val="0F31473F"/>
    <w:rsid w:val="0F925C73"/>
    <w:rsid w:val="10E8147E"/>
    <w:rsid w:val="110B2B14"/>
    <w:rsid w:val="113B2E9C"/>
    <w:rsid w:val="11D83C50"/>
    <w:rsid w:val="13871C6A"/>
    <w:rsid w:val="14132147"/>
    <w:rsid w:val="14F34426"/>
    <w:rsid w:val="159535B3"/>
    <w:rsid w:val="15E82E53"/>
    <w:rsid w:val="16276BA3"/>
    <w:rsid w:val="170744E6"/>
    <w:rsid w:val="17680846"/>
    <w:rsid w:val="17F51B4E"/>
    <w:rsid w:val="18202BA6"/>
    <w:rsid w:val="18677510"/>
    <w:rsid w:val="1881634D"/>
    <w:rsid w:val="1A1C3866"/>
    <w:rsid w:val="1A910094"/>
    <w:rsid w:val="1C167480"/>
    <w:rsid w:val="1CBB3234"/>
    <w:rsid w:val="1DF4614E"/>
    <w:rsid w:val="1E386095"/>
    <w:rsid w:val="1E9D2F50"/>
    <w:rsid w:val="1F6E0254"/>
    <w:rsid w:val="1F7D3A8A"/>
    <w:rsid w:val="1F846FD2"/>
    <w:rsid w:val="1F8C1DF0"/>
    <w:rsid w:val="20B415FA"/>
    <w:rsid w:val="20DA3519"/>
    <w:rsid w:val="211903B5"/>
    <w:rsid w:val="21AF6086"/>
    <w:rsid w:val="21D7200F"/>
    <w:rsid w:val="21FF1EE9"/>
    <w:rsid w:val="22250FCC"/>
    <w:rsid w:val="224C4814"/>
    <w:rsid w:val="226F7567"/>
    <w:rsid w:val="22F7744E"/>
    <w:rsid w:val="230439E3"/>
    <w:rsid w:val="233A6D8B"/>
    <w:rsid w:val="23AC703D"/>
    <w:rsid w:val="25417661"/>
    <w:rsid w:val="25AD7DBF"/>
    <w:rsid w:val="25C41A79"/>
    <w:rsid w:val="25D01CF0"/>
    <w:rsid w:val="25D21F9B"/>
    <w:rsid w:val="265C67D3"/>
    <w:rsid w:val="274E23CA"/>
    <w:rsid w:val="2771557E"/>
    <w:rsid w:val="27A24691"/>
    <w:rsid w:val="280244F4"/>
    <w:rsid w:val="281F64BE"/>
    <w:rsid w:val="28814A83"/>
    <w:rsid w:val="28B279B4"/>
    <w:rsid w:val="28DB0A41"/>
    <w:rsid w:val="29FF142C"/>
    <w:rsid w:val="2AEA33A3"/>
    <w:rsid w:val="2B0D1D89"/>
    <w:rsid w:val="2B297934"/>
    <w:rsid w:val="2B522706"/>
    <w:rsid w:val="2BA50779"/>
    <w:rsid w:val="2C677E7C"/>
    <w:rsid w:val="2C82701B"/>
    <w:rsid w:val="2D081019"/>
    <w:rsid w:val="2D1B099D"/>
    <w:rsid w:val="2D46550B"/>
    <w:rsid w:val="2D99774B"/>
    <w:rsid w:val="2E740235"/>
    <w:rsid w:val="2E884E15"/>
    <w:rsid w:val="2E8C1473"/>
    <w:rsid w:val="2EE02CED"/>
    <w:rsid w:val="2F5940C6"/>
    <w:rsid w:val="30034B0E"/>
    <w:rsid w:val="303B31BD"/>
    <w:rsid w:val="30DC6DFC"/>
    <w:rsid w:val="31FF3533"/>
    <w:rsid w:val="3301756A"/>
    <w:rsid w:val="33102644"/>
    <w:rsid w:val="339207B1"/>
    <w:rsid w:val="34B50EE4"/>
    <w:rsid w:val="356F2FDD"/>
    <w:rsid w:val="36CD5708"/>
    <w:rsid w:val="36F4783D"/>
    <w:rsid w:val="377203B8"/>
    <w:rsid w:val="37FF78CB"/>
    <w:rsid w:val="38A25E40"/>
    <w:rsid w:val="38A62207"/>
    <w:rsid w:val="38E2156D"/>
    <w:rsid w:val="39456A46"/>
    <w:rsid w:val="39AE6358"/>
    <w:rsid w:val="39B9371F"/>
    <w:rsid w:val="3A3A75B6"/>
    <w:rsid w:val="3BA00028"/>
    <w:rsid w:val="3BB12285"/>
    <w:rsid w:val="3C783F36"/>
    <w:rsid w:val="3C9A7261"/>
    <w:rsid w:val="3CE12F4D"/>
    <w:rsid w:val="3D123278"/>
    <w:rsid w:val="3D306D49"/>
    <w:rsid w:val="3D9F41EB"/>
    <w:rsid w:val="3E0A3243"/>
    <w:rsid w:val="3E69770C"/>
    <w:rsid w:val="3F3D41F1"/>
    <w:rsid w:val="3F656A54"/>
    <w:rsid w:val="3F764CA9"/>
    <w:rsid w:val="3FF95F26"/>
    <w:rsid w:val="408F0DDD"/>
    <w:rsid w:val="414D5F20"/>
    <w:rsid w:val="419C2F68"/>
    <w:rsid w:val="41D31183"/>
    <w:rsid w:val="42AD47DE"/>
    <w:rsid w:val="43D10B6C"/>
    <w:rsid w:val="43DB1093"/>
    <w:rsid w:val="444530DF"/>
    <w:rsid w:val="44B72988"/>
    <w:rsid w:val="44D76B6A"/>
    <w:rsid w:val="451A208F"/>
    <w:rsid w:val="45232E60"/>
    <w:rsid w:val="452D416E"/>
    <w:rsid w:val="454145FF"/>
    <w:rsid w:val="45C717F4"/>
    <w:rsid w:val="46C819FD"/>
    <w:rsid w:val="46EB5F4B"/>
    <w:rsid w:val="476834A9"/>
    <w:rsid w:val="478168F7"/>
    <w:rsid w:val="484F7E61"/>
    <w:rsid w:val="485727E6"/>
    <w:rsid w:val="48BC3CB4"/>
    <w:rsid w:val="48DA400F"/>
    <w:rsid w:val="492C6C09"/>
    <w:rsid w:val="4B3F3CD1"/>
    <w:rsid w:val="4B7D2042"/>
    <w:rsid w:val="4CCE3A8F"/>
    <w:rsid w:val="4D173AE5"/>
    <w:rsid w:val="4D924016"/>
    <w:rsid w:val="4DFB264D"/>
    <w:rsid w:val="4E887C97"/>
    <w:rsid w:val="4EBD1BDA"/>
    <w:rsid w:val="502E4CE4"/>
    <w:rsid w:val="5036491C"/>
    <w:rsid w:val="51AA321A"/>
    <w:rsid w:val="51BB5F74"/>
    <w:rsid w:val="51D30789"/>
    <w:rsid w:val="51FC3859"/>
    <w:rsid w:val="529761EA"/>
    <w:rsid w:val="52B81A73"/>
    <w:rsid w:val="52C714D1"/>
    <w:rsid w:val="53130FEB"/>
    <w:rsid w:val="536F179E"/>
    <w:rsid w:val="53A02794"/>
    <w:rsid w:val="53A551A0"/>
    <w:rsid w:val="53E64FB3"/>
    <w:rsid w:val="5411106D"/>
    <w:rsid w:val="543D7B60"/>
    <w:rsid w:val="551C59CE"/>
    <w:rsid w:val="55803AC7"/>
    <w:rsid w:val="56AE3064"/>
    <w:rsid w:val="56D20CF0"/>
    <w:rsid w:val="57E36310"/>
    <w:rsid w:val="585D60C3"/>
    <w:rsid w:val="58693CF0"/>
    <w:rsid w:val="58E05BE3"/>
    <w:rsid w:val="58E6094E"/>
    <w:rsid w:val="59454242"/>
    <w:rsid w:val="59962476"/>
    <w:rsid w:val="5A2140DC"/>
    <w:rsid w:val="5A3D61AC"/>
    <w:rsid w:val="5B920B35"/>
    <w:rsid w:val="5B9447E3"/>
    <w:rsid w:val="5BA04C44"/>
    <w:rsid w:val="5C6A7016"/>
    <w:rsid w:val="5CD45920"/>
    <w:rsid w:val="5D541F57"/>
    <w:rsid w:val="5E1A3D21"/>
    <w:rsid w:val="5F634B38"/>
    <w:rsid w:val="5FD70968"/>
    <w:rsid w:val="5FF437B1"/>
    <w:rsid w:val="604D14A3"/>
    <w:rsid w:val="606377EC"/>
    <w:rsid w:val="60907D75"/>
    <w:rsid w:val="62720811"/>
    <w:rsid w:val="62CA45A2"/>
    <w:rsid w:val="63546188"/>
    <w:rsid w:val="63B13956"/>
    <w:rsid w:val="6422105A"/>
    <w:rsid w:val="644E2D40"/>
    <w:rsid w:val="64572442"/>
    <w:rsid w:val="647B64A1"/>
    <w:rsid w:val="653E05DE"/>
    <w:rsid w:val="6668398D"/>
    <w:rsid w:val="668D671F"/>
    <w:rsid w:val="67911F69"/>
    <w:rsid w:val="67D15A5F"/>
    <w:rsid w:val="67E9565E"/>
    <w:rsid w:val="6804410D"/>
    <w:rsid w:val="6832145A"/>
    <w:rsid w:val="68336A02"/>
    <w:rsid w:val="68E13002"/>
    <w:rsid w:val="6A1324A1"/>
    <w:rsid w:val="6AF46054"/>
    <w:rsid w:val="6B1C21F3"/>
    <w:rsid w:val="6BA60F2C"/>
    <w:rsid w:val="6C9524DD"/>
    <w:rsid w:val="6CF73ECB"/>
    <w:rsid w:val="6D6B00E5"/>
    <w:rsid w:val="6D794D48"/>
    <w:rsid w:val="6DC721AC"/>
    <w:rsid w:val="6E691593"/>
    <w:rsid w:val="6E9804E8"/>
    <w:rsid w:val="6EDA6267"/>
    <w:rsid w:val="6F295B53"/>
    <w:rsid w:val="6F686FC6"/>
    <w:rsid w:val="6FB5098B"/>
    <w:rsid w:val="70963436"/>
    <w:rsid w:val="715F724B"/>
    <w:rsid w:val="71BF4634"/>
    <w:rsid w:val="736F49C4"/>
    <w:rsid w:val="73B11B7C"/>
    <w:rsid w:val="73FA40C7"/>
    <w:rsid w:val="74D95E13"/>
    <w:rsid w:val="74DA7762"/>
    <w:rsid w:val="74E760B5"/>
    <w:rsid w:val="750503BE"/>
    <w:rsid w:val="751172B8"/>
    <w:rsid w:val="75F33E51"/>
    <w:rsid w:val="764A076A"/>
    <w:rsid w:val="77427A58"/>
    <w:rsid w:val="776F4AC7"/>
    <w:rsid w:val="77CE0ABB"/>
    <w:rsid w:val="78541493"/>
    <w:rsid w:val="78A25126"/>
    <w:rsid w:val="78D554E1"/>
    <w:rsid w:val="7A7244D9"/>
    <w:rsid w:val="7B9C6D7F"/>
    <w:rsid w:val="7D741AB5"/>
    <w:rsid w:val="7F28622A"/>
    <w:rsid w:val="7F362D77"/>
    <w:rsid w:val="7FC632C4"/>
    <w:rsid w:val="7FC70894"/>
    <w:rsid w:val="7FD47B21"/>
    <w:rsid w:val="7FD74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29"/>
    <w:autoRedefine/>
    <w:qFormat/>
    <w:uiPriority w:val="0"/>
    <w:pPr>
      <w:keepNext/>
      <w:keepLines/>
      <w:spacing w:line="576" w:lineRule="auto"/>
      <w:outlineLvl w:val="0"/>
    </w:pPr>
    <w:rPr>
      <w:b/>
      <w:kern w:val="44"/>
      <w:sz w:val="44"/>
    </w:rPr>
  </w:style>
  <w:style w:type="paragraph" w:styleId="6">
    <w:name w:val="heading 3"/>
    <w:basedOn w:val="1"/>
    <w:next w:val="1"/>
    <w:autoRedefine/>
    <w:qFormat/>
    <w:uiPriority w:val="0"/>
    <w:pPr>
      <w:keepNext/>
      <w:keepLines/>
      <w:spacing w:before="260" w:after="260" w:line="416" w:lineRule="auto"/>
      <w:outlineLvl w:val="2"/>
    </w:pPr>
    <w:rPr>
      <w:b/>
      <w:bCs/>
      <w:szCs w:val="32"/>
    </w:rPr>
  </w:style>
  <w:style w:type="paragraph" w:styleId="7">
    <w:name w:val="heading 4"/>
    <w:basedOn w:val="1"/>
    <w:next w:val="1"/>
    <w:autoRedefine/>
    <w:unhideWhenUsed/>
    <w:qFormat/>
    <w:uiPriority w:val="0"/>
    <w:pPr>
      <w:keepNext/>
      <w:keepLines/>
      <w:jc w:val="left"/>
      <w:outlineLvl w:val="3"/>
    </w:pPr>
    <w:rPr>
      <w:rFonts w:eastAsia="宋体"/>
      <w:b/>
      <w:bCs/>
      <w:sz w:val="28"/>
      <w:szCs w:val="28"/>
    </w:rPr>
  </w:style>
  <w:style w:type="character" w:default="1" w:styleId="22">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sz w:val="21"/>
    </w:rPr>
  </w:style>
  <w:style w:type="paragraph" w:styleId="3">
    <w:name w:val="Body Text Indent"/>
    <w:basedOn w:val="1"/>
    <w:next w:val="4"/>
    <w:autoRedefine/>
    <w:qFormat/>
    <w:uiPriority w:val="0"/>
    <w:pPr>
      <w:spacing w:line="360" w:lineRule="auto"/>
      <w:ind w:firstLine="495"/>
    </w:pPr>
    <w:rPr>
      <w:rFonts w:ascii="宋体" w:hAnsi="宋体"/>
      <w:sz w:val="24"/>
    </w:rPr>
  </w:style>
  <w:style w:type="paragraph" w:customStyle="1" w:styleId="4">
    <w:name w:val="样式 正文文本缩进 + 行距: 1.5 倍行距"/>
    <w:basedOn w:val="1"/>
    <w:autoRedefine/>
    <w:qFormat/>
    <w:uiPriority w:val="0"/>
    <w:pPr>
      <w:spacing w:after="120" w:line="360" w:lineRule="auto"/>
      <w:ind w:left="32" w:leftChars="32" w:firstLine="200" w:firstLineChars="200"/>
    </w:pPr>
    <w:rPr>
      <w:rFonts w:cs="宋体"/>
      <w:lang w:bidi="ar-SA"/>
    </w:rPr>
  </w:style>
  <w:style w:type="paragraph" w:styleId="8">
    <w:name w:val="Normal Indent"/>
    <w:basedOn w:val="1"/>
    <w:autoRedefine/>
    <w:qFormat/>
    <w:uiPriority w:val="0"/>
    <w:pPr>
      <w:spacing w:line="240" w:lineRule="auto"/>
      <w:ind w:firstLine="420" w:firstLineChars="200"/>
    </w:pPr>
    <w:rPr>
      <w:rFonts w:ascii="宋体" w:hAnsi="宋体" w:cs="宋体" w:eastAsiaTheme="minorEastAsia"/>
      <w:sz w:val="21"/>
    </w:rPr>
  </w:style>
  <w:style w:type="paragraph" w:styleId="9">
    <w:name w:val="Body Text"/>
    <w:basedOn w:val="1"/>
    <w:next w:val="10"/>
    <w:link w:val="28"/>
    <w:autoRedefine/>
    <w:qFormat/>
    <w:uiPriority w:val="0"/>
    <w:pPr>
      <w:spacing w:after="120"/>
    </w:pPr>
  </w:style>
  <w:style w:type="paragraph" w:customStyle="1" w:styleId="10">
    <w:name w:val="Body Text 21"/>
    <w:basedOn w:val="1"/>
    <w:autoRedefine/>
    <w:qFormat/>
    <w:uiPriority w:val="0"/>
    <w:pPr>
      <w:spacing w:after="120" w:line="480" w:lineRule="auto"/>
    </w:pPr>
  </w:style>
  <w:style w:type="paragraph" w:styleId="11">
    <w:name w:val="toc 3"/>
    <w:basedOn w:val="12"/>
    <w:next w:val="1"/>
    <w:autoRedefine/>
    <w:qFormat/>
    <w:uiPriority w:val="0"/>
    <w:pPr>
      <w:spacing w:line="240" w:lineRule="auto"/>
      <w:ind w:left="840" w:leftChars="400"/>
    </w:pPr>
    <w:rPr>
      <w:rFonts w:eastAsia="宋体"/>
      <w:sz w:val="21"/>
      <w:szCs w:val="20"/>
    </w:rPr>
  </w:style>
  <w:style w:type="paragraph" w:styleId="12">
    <w:name w:val="toc 1"/>
    <w:basedOn w:val="1"/>
    <w:next w:val="1"/>
    <w:autoRedefine/>
    <w:qFormat/>
    <w:uiPriority w:val="0"/>
  </w:style>
  <w:style w:type="paragraph" w:styleId="13">
    <w:name w:val="Plain Text"/>
    <w:basedOn w:val="1"/>
    <w:link w:val="36"/>
    <w:autoRedefine/>
    <w:qFormat/>
    <w:uiPriority w:val="0"/>
    <w:rPr>
      <w:rFonts w:ascii="宋体" w:hAnsi="Courier New" w:eastAsia="宋体" w:cs="Courier New"/>
      <w:sz w:val="21"/>
      <w:szCs w:val="21"/>
    </w:rPr>
  </w:style>
  <w:style w:type="paragraph" w:styleId="14">
    <w:name w:val="Date"/>
    <w:basedOn w:val="1"/>
    <w:next w:val="1"/>
    <w:autoRedefine/>
    <w:qFormat/>
    <w:uiPriority w:val="0"/>
    <w:pPr>
      <w:ind w:left="100" w:leftChars="2500"/>
    </w:pPr>
  </w:style>
  <w:style w:type="paragraph" w:styleId="15">
    <w:name w:val="Balloon Text"/>
    <w:basedOn w:val="1"/>
    <w:link w:val="33"/>
    <w:autoRedefine/>
    <w:qFormat/>
    <w:uiPriority w:val="0"/>
    <w:pPr>
      <w:spacing w:line="240" w:lineRule="auto"/>
    </w:pPr>
    <w:rPr>
      <w:sz w:val="18"/>
      <w:szCs w:val="18"/>
    </w:rPr>
  </w:style>
  <w:style w:type="paragraph" w:styleId="16">
    <w:name w:val="footer"/>
    <w:basedOn w:val="1"/>
    <w:link w:val="32"/>
    <w:autoRedefine/>
    <w:qFormat/>
    <w:uiPriority w:val="99"/>
    <w:pPr>
      <w:tabs>
        <w:tab w:val="center" w:pos="4153"/>
        <w:tab w:val="right" w:pos="8306"/>
      </w:tabs>
      <w:snapToGrid w:val="0"/>
      <w:jc w:val="left"/>
    </w:pPr>
    <w:rPr>
      <w:sz w:val="18"/>
      <w:szCs w:val="18"/>
    </w:rPr>
  </w:style>
  <w:style w:type="paragraph" w:styleId="17">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link w:val="43"/>
    <w:autoRedefine/>
    <w:qFormat/>
    <w:uiPriority w:val="0"/>
    <w:pPr>
      <w:spacing w:before="240" w:after="60" w:line="480" w:lineRule="auto"/>
      <w:jc w:val="center"/>
      <w:outlineLvl w:val="0"/>
    </w:pPr>
    <w:rPr>
      <w:rFonts w:ascii="Cambria" w:hAnsi="Cambria" w:eastAsia="宋体"/>
      <w:b/>
      <w:bCs/>
      <w:szCs w:val="32"/>
    </w:rPr>
  </w:style>
  <w:style w:type="paragraph" w:styleId="20">
    <w:name w:val="Body Text First Indent"/>
    <w:basedOn w:val="9"/>
    <w:link w:val="39"/>
    <w:autoRedefine/>
    <w:qFormat/>
    <w:uiPriority w:val="0"/>
    <w:pPr>
      <w:ind w:firstLine="420" w:firstLineChars="100"/>
    </w:pPr>
  </w:style>
  <w:style w:type="character" w:styleId="23">
    <w:name w:val="page number"/>
    <w:basedOn w:val="22"/>
    <w:autoRedefine/>
    <w:qFormat/>
    <w:uiPriority w:val="0"/>
  </w:style>
  <w:style w:type="paragraph" w:customStyle="1" w:styleId="24">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表格内"/>
    <w:basedOn w:val="1"/>
    <w:autoRedefine/>
    <w:qFormat/>
    <w:uiPriority w:val="0"/>
    <w:pPr>
      <w:spacing w:line="360" w:lineRule="exact"/>
      <w:jc w:val="center"/>
    </w:pPr>
    <w:rPr>
      <w:snapToGrid w:val="0"/>
      <w:szCs w:val="21"/>
    </w:rPr>
  </w:style>
  <w:style w:type="paragraph" w:styleId="26">
    <w:name w:val="List Paragraph"/>
    <w:basedOn w:val="1"/>
    <w:autoRedefine/>
    <w:qFormat/>
    <w:uiPriority w:val="34"/>
    <w:pPr>
      <w:ind w:firstLine="420" w:firstLineChars="200"/>
    </w:pPr>
  </w:style>
  <w:style w:type="character" w:customStyle="1" w:styleId="27">
    <w:name w:val="正文文本 Char"/>
    <w:basedOn w:val="22"/>
    <w:autoRedefine/>
    <w:qFormat/>
    <w:uiPriority w:val="0"/>
    <w:rPr>
      <w:kern w:val="2"/>
      <w:sz w:val="21"/>
      <w:szCs w:val="24"/>
    </w:rPr>
  </w:style>
  <w:style w:type="character" w:customStyle="1" w:styleId="28">
    <w:name w:val="正文文本 Char1"/>
    <w:basedOn w:val="22"/>
    <w:link w:val="9"/>
    <w:autoRedefine/>
    <w:qFormat/>
    <w:uiPriority w:val="0"/>
    <w:rPr>
      <w:kern w:val="2"/>
      <w:sz w:val="21"/>
      <w:szCs w:val="24"/>
    </w:rPr>
  </w:style>
  <w:style w:type="character" w:customStyle="1" w:styleId="29">
    <w:name w:val="标题 1 Char"/>
    <w:link w:val="5"/>
    <w:autoRedefine/>
    <w:qFormat/>
    <w:uiPriority w:val="0"/>
    <w:rPr>
      <w:b/>
      <w:kern w:val="44"/>
      <w:sz w:val="44"/>
    </w:rPr>
  </w:style>
  <w:style w:type="character" w:customStyle="1" w:styleId="30">
    <w:name w:val="样式 四号"/>
    <w:autoRedefine/>
    <w:qFormat/>
    <w:uiPriority w:val="0"/>
    <w:rPr>
      <w:sz w:val="28"/>
    </w:rPr>
  </w:style>
  <w:style w:type="character" w:customStyle="1" w:styleId="31">
    <w:name w:val="页眉 Char"/>
    <w:basedOn w:val="22"/>
    <w:link w:val="17"/>
    <w:autoRedefine/>
    <w:qFormat/>
    <w:uiPriority w:val="0"/>
    <w:rPr>
      <w:rFonts w:ascii="Times New Roman" w:hAnsi="Times New Roman" w:eastAsia="仿宋_GB2312"/>
      <w:kern w:val="2"/>
      <w:sz w:val="18"/>
      <w:szCs w:val="18"/>
    </w:rPr>
  </w:style>
  <w:style w:type="character" w:customStyle="1" w:styleId="32">
    <w:name w:val="页脚 Char"/>
    <w:basedOn w:val="22"/>
    <w:link w:val="16"/>
    <w:autoRedefine/>
    <w:qFormat/>
    <w:uiPriority w:val="99"/>
    <w:rPr>
      <w:rFonts w:ascii="Times New Roman" w:hAnsi="Times New Roman" w:eastAsia="仿宋_GB2312"/>
      <w:kern w:val="2"/>
      <w:sz w:val="18"/>
      <w:szCs w:val="18"/>
    </w:rPr>
  </w:style>
  <w:style w:type="character" w:customStyle="1" w:styleId="33">
    <w:name w:val="批注框文本 Char"/>
    <w:basedOn w:val="22"/>
    <w:link w:val="15"/>
    <w:autoRedefine/>
    <w:qFormat/>
    <w:uiPriority w:val="0"/>
    <w:rPr>
      <w:rFonts w:ascii="Times New Roman" w:hAnsi="Times New Roman" w:eastAsia="仿宋_GB2312"/>
      <w:kern w:val="2"/>
      <w:sz w:val="18"/>
      <w:szCs w:val="18"/>
    </w:rPr>
  </w:style>
  <w:style w:type="character" w:customStyle="1" w:styleId="34">
    <w:name w:val="报告书正文 Char"/>
    <w:link w:val="35"/>
    <w:autoRedefine/>
    <w:qFormat/>
    <w:uiPriority w:val="0"/>
    <w:rPr>
      <w:rFonts w:ascii="Times New Roman" w:hAnsi="Times New Roman"/>
      <w:sz w:val="24"/>
      <w:szCs w:val="21"/>
    </w:rPr>
  </w:style>
  <w:style w:type="paragraph" w:customStyle="1" w:styleId="35">
    <w:name w:val="报告书正文"/>
    <w:basedOn w:val="13"/>
    <w:link w:val="34"/>
    <w:autoRedefine/>
    <w:qFormat/>
    <w:uiPriority w:val="0"/>
    <w:pPr>
      <w:widowControl/>
      <w:spacing w:line="360" w:lineRule="auto"/>
      <w:ind w:firstLine="480" w:firstLineChars="200"/>
    </w:pPr>
    <w:rPr>
      <w:rFonts w:ascii="Times New Roman" w:hAnsi="Times New Roman" w:cs="Times New Roman"/>
      <w:kern w:val="0"/>
      <w:sz w:val="24"/>
    </w:rPr>
  </w:style>
  <w:style w:type="character" w:customStyle="1" w:styleId="36">
    <w:name w:val="纯文本 Char"/>
    <w:basedOn w:val="22"/>
    <w:link w:val="13"/>
    <w:autoRedefine/>
    <w:qFormat/>
    <w:uiPriority w:val="0"/>
    <w:rPr>
      <w:rFonts w:ascii="宋体" w:hAnsi="Courier New" w:cs="Courier New"/>
      <w:kern w:val="2"/>
      <w:sz w:val="21"/>
      <w:szCs w:val="21"/>
    </w:rPr>
  </w:style>
  <w:style w:type="character" w:customStyle="1" w:styleId="37">
    <w:name w:val="表内内容 Char Char"/>
    <w:link w:val="38"/>
    <w:autoRedefine/>
    <w:qFormat/>
    <w:uiPriority w:val="0"/>
    <w:rPr>
      <w:rFonts w:ascii="Times New Roman" w:hAnsi="Times New Roman"/>
      <w:kern w:val="2"/>
      <w:sz w:val="21"/>
      <w:szCs w:val="28"/>
    </w:rPr>
  </w:style>
  <w:style w:type="paragraph" w:customStyle="1" w:styleId="38">
    <w:name w:val="表内内容"/>
    <w:basedOn w:val="1"/>
    <w:link w:val="37"/>
    <w:autoRedefine/>
    <w:qFormat/>
    <w:uiPriority w:val="0"/>
    <w:pPr>
      <w:adjustRightInd w:val="0"/>
      <w:spacing w:line="240" w:lineRule="auto"/>
      <w:jc w:val="center"/>
    </w:pPr>
    <w:rPr>
      <w:rFonts w:eastAsia="宋体"/>
      <w:sz w:val="21"/>
      <w:szCs w:val="28"/>
    </w:rPr>
  </w:style>
  <w:style w:type="character" w:customStyle="1" w:styleId="39">
    <w:name w:val="正文首行缩进 Char"/>
    <w:basedOn w:val="28"/>
    <w:link w:val="20"/>
    <w:autoRedefine/>
    <w:qFormat/>
    <w:uiPriority w:val="0"/>
    <w:rPr>
      <w:rFonts w:ascii="Times New Roman" w:hAnsi="Times New Roman" w:eastAsia="仿宋_GB2312"/>
      <w:kern w:val="2"/>
      <w:sz w:val="32"/>
      <w:szCs w:val="24"/>
    </w:rPr>
  </w:style>
  <w:style w:type="character" w:customStyle="1" w:styleId="40">
    <w:name w:val="！正文 Char"/>
    <w:link w:val="41"/>
    <w:autoRedefine/>
    <w:qFormat/>
    <w:uiPriority w:val="0"/>
    <w:rPr>
      <w:rFonts w:ascii="Times New Roman" w:hAnsi="Times New Roman" w:eastAsia="Times New Roman"/>
      <w:sz w:val="24"/>
    </w:rPr>
  </w:style>
  <w:style w:type="paragraph" w:customStyle="1" w:styleId="41">
    <w:name w:val="！正文"/>
    <w:basedOn w:val="1"/>
    <w:link w:val="40"/>
    <w:autoRedefine/>
    <w:qFormat/>
    <w:uiPriority w:val="0"/>
    <w:pPr>
      <w:spacing w:line="360" w:lineRule="auto"/>
      <w:ind w:firstLine="643" w:firstLineChars="200"/>
    </w:pPr>
    <w:rPr>
      <w:rFonts w:eastAsia="Times New Roman"/>
      <w:kern w:val="0"/>
      <w:sz w:val="24"/>
      <w:szCs w:val="20"/>
    </w:rPr>
  </w:style>
  <w:style w:type="paragraph" w:customStyle="1" w:styleId="42">
    <w:name w:val="文本"/>
    <w:basedOn w:val="1"/>
    <w:autoRedefine/>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3">
    <w:name w:val="标题 Char"/>
    <w:link w:val="19"/>
    <w:autoRedefine/>
    <w:qFormat/>
    <w:uiPriority w:val="0"/>
    <w:rPr>
      <w:rFonts w:ascii="Cambria" w:hAnsi="Cambria"/>
      <w:b/>
      <w:bCs/>
      <w:kern w:val="2"/>
      <w:sz w:val="32"/>
      <w:szCs w:val="32"/>
    </w:rPr>
  </w:style>
  <w:style w:type="character" w:customStyle="1" w:styleId="44">
    <w:name w:val="标题 Char1"/>
    <w:basedOn w:val="22"/>
    <w:autoRedefine/>
    <w:qFormat/>
    <w:uiPriority w:val="0"/>
    <w:rPr>
      <w:rFonts w:asciiTheme="majorHAnsi" w:hAnsiTheme="majorHAnsi" w:cstheme="majorBidi"/>
      <w:b/>
      <w:bCs/>
      <w:kern w:val="2"/>
      <w:sz w:val="32"/>
      <w:szCs w:val="32"/>
    </w:rPr>
  </w:style>
  <w:style w:type="paragraph" w:customStyle="1" w:styleId="45">
    <w:name w:val="1-正文"/>
    <w:basedOn w:val="1"/>
    <w:autoRedefine/>
    <w:qFormat/>
    <w:uiPriority w:val="0"/>
    <w:pPr>
      <w:spacing w:line="360" w:lineRule="auto"/>
      <w:ind w:firstLine="200" w:firstLineChars="200"/>
    </w:pPr>
    <w:rPr>
      <w:rFonts w:eastAsia="宋体"/>
      <w:sz w:val="21"/>
      <w:szCs w:val="22"/>
    </w:rPr>
  </w:style>
  <w:style w:type="paragraph" w:customStyle="1" w:styleId="46">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18DF-076C-47BF-BA7D-A758E89BE82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1727</Words>
  <Characters>1853</Characters>
  <Lines>13</Lines>
  <Paragraphs>3</Paragraphs>
  <TotalTime>3</TotalTime>
  <ScaleCrop>false</ScaleCrop>
  <LinksUpToDate>false</LinksUpToDate>
  <CharactersWithSpaces>1921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微软系统</dc:creator>
  <cp:lastModifiedBy>Administrator</cp:lastModifiedBy>
  <cp:lastPrinted>2023-03-16T08:24:00Z</cp:lastPrinted>
  <dcterms:modified xsi:type="dcterms:W3CDTF">2024-02-20T10:55:44Z</dcterms:modified>
  <dc:title>鄯政环〔2014〕号</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3C21C5CAF1754268A654D73A8555608D_13</vt:lpwstr>
  </property>
</Properties>
</file>