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b/>
          <w:bCs/>
          <w:color w:val="FF0000"/>
          <w:szCs w:val="32"/>
        </w:rPr>
      </w:pPr>
    </w:p>
    <w:p>
      <w:pPr>
        <w:pStyle w:val="2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FF0000"/>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lang w:eastAsia="zh-CN"/>
        </w:rPr>
      </w:pPr>
      <w:r>
        <w:rPr>
          <w:rFonts w:hint="eastAsia" w:ascii="仿宋_GB2312" w:hAnsi="宋体" w:cs="宋体"/>
          <w:color w:val="000000"/>
          <w:kern w:val="0"/>
          <w:szCs w:val="32"/>
        </w:rPr>
        <w:t>吐市环监函〔2023〕</w:t>
      </w:r>
      <w:r>
        <w:rPr>
          <w:rFonts w:hint="eastAsia" w:ascii="仿宋_GB2312" w:hAnsi="宋体" w:cs="宋体"/>
          <w:color w:val="000000"/>
          <w:kern w:val="0"/>
          <w:szCs w:val="32"/>
          <w:lang w:val="en-US" w:eastAsia="zh-CN"/>
        </w:rPr>
        <w:t>68</w:t>
      </w:r>
      <w:r>
        <w:rPr>
          <w:rFonts w:hint="eastAsia" w:ascii="仿宋_GB2312" w:hAnsi="宋体" w:cs="宋体"/>
          <w:color w:val="000000"/>
          <w:kern w:val="0"/>
          <w:szCs w:val="32"/>
        </w:rPr>
        <w:t>号</w:t>
      </w:r>
    </w:p>
    <w:p>
      <w:pPr>
        <w:pStyle w:val="2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FF0000"/>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spacing w:val="-6"/>
          <w:sz w:val="44"/>
          <w:szCs w:val="44"/>
          <w:lang w:eastAsia="zh-CN"/>
        </w:rPr>
      </w:pPr>
      <w:r>
        <w:rPr>
          <w:rFonts w:hint="eastAsia" w:ascii="方正小标宋简体" w:hAnsi="方正小标宋简体" w:eastAsia="方正小标宋简体" w:cs="方正小标宋简体"/>
          <w:bCs/>
          <w:spacing w:val="-6"/>
          <w:sz w:val="44"/>
          <w:szCs w:val="44"/>
        </w:rPr>
        <w:t>关于</w:t>
      </w:r>
      <w:r>
        <w:rPr>
          <w:rFonts w:hint="eastAsia" w:ascii="方正小标宋简体" w:hAnsi="方正小标宋简体" w:eastAsia="方正小标宋简体" w:cs="方正小标宋简体"/>
          <w:bCs/>
          <w:spacing w:val="-6"/>
          <w:sz w:val="44"/>
          <w:szCs w:val="44"/>
          <w:lang w:eastAsia="zh-CN"/>
        </w:rPr>
        <w:t>托克逊工业园区天然气母站至新疆致同能源有限公司液化天然气工厂的20万方/天</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spacing w:val="-6"/>
          <w:sz w:val="44"/>
          <w:szCs w:val="44"/>
          <w:lang w:eastAsia="zh-CN"/>
        </w:rPr>
      </w:pPr>
      <w:r>
        <w:rPr>
          <w:rFonts w:hint="eastAsia" w:ascii="方正小标宋简体" w:hAnsi="方正小标宋简体" w:eastAsia="方正小标宋简体" w:cs="方正小标宋简体"/>
          <w:bCs/>
          <w:spacing w:val="-6"/>
          <w:sz w:val="44"/>
          <w:szCs w:val="44"/>
          <w:lang w:eastAsia="zh-CN"/>
        </w:rPr>
        <w:t>（二期30万方/天）供气管线工程</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环境影响报告表的批复</w:t>
      </w:r>
    </w:p>
    <w:p>
      <w:pPr>
        <w:pStyle w:val="17"/>
        <w:keepNext w:val="0"/>
        <w:keepLines w:val="0"/>
        <w:pageBreakBefore w:val="0"/>
        <w:kinsoku/>
        <w:wordWrap/>
        <w:overflowPunct/>
        <w:topLinePunct w:val="0"/>
        <w:autoSpaceDE/>
        <w:autoSpaceDN/>
        <w:bidi w:val="0"/>
        <w:adjustRightInd/>
        <w:snapToGrid/>
        <w:spacing w:after="0" w:line="560" w:lineRule="exact"/>
        <w:ind w:firstLine="32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Cs w:val="32"/>
        </w:rPr>
      </w:pPr>
      <w:r>
        <w:rPr>
          <w:rFonts w:hint="default" w:ascii="Times New Roman" w:hAnsi="Times New Roman" w:cs="Times New Roman"/>
          <w:szCs w:val="32"/>
          <w:lang w:eastAsia="zh-CN"/>
        </w:rPr>
        <w:t>托克逊工业园区天然气母站至新疆致同能源有限公司</w:t>
      </w:r>
      <w:r>
        <w:rPr>
          <w:rFonts w:hint="default" w:ascii="Times New Roman" w:hAnsi="Times New Roman" w:cs="Times New Roman"/>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你单位《关于&lt;</w:t>
      </w:r>
      <w:r>
        <w:rPr>
          <w:rFonts w:hint="eastAsia" w:ascii="仿宋_GB2312" w:hAnsi="仿宋_GB2312" w:eastAsia="仿宋_GB2312" w:cs="仿宋_GB2312"/>
          <w:szCs w:val="32"/>
          <w:lang w:eastAsia="zh-CN"/>
        </w:rPr>
        <w:t>托克逊工业园区天然气母站至新疆致同能源有限公司液化天然气工厂的20万方/天（二期30万方/天）供气管线工程</w:t>
      </w:r>
      <w:r>
        <w:rPr>
          <w:rFonts w:hint="eastAsia" w:ascii="仿宋_GB2312" w:hAnsi="仿宋_GB2312" w:eastAsia="仿宋_GB2312" w:cs="仿宋_GB2312"/>
          <w:szCs w:val="32"/>
        </w:rPr>
        <w:t>环境影响报告表&gt;申请审批的请示》及相关附件收悉</w:t>
      </w:r>
      <w:r>
        <w:rPr>
          <w:rFonts w:hint="eastAsia" w:ascii="仿宋_GB2312" w:hAnsi="仿宋_GB2312" w:cs="仿宋_GB2312"/>
          <w:szCs w:val="32"/>
          <w:lang w:eastAsia="zh-CN"/>
        </w:rPr>
        <w:t>。</w:t>
      </w:r>
      <w:r>
        <w:rPr>
          <w:rFonts w:hint="eastAsia" w:ascii="仿宋_GB2312" w:hAnsi="仿宋_GB2312" w:eastAsia="仿宋_GB2312" w:cs="仿宋_GB2312"/>
          <w:szCs w:val="32"/>
        </w:rPr>
        <w:t>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rPr>
      </w:pPr>
      <w:r>
        <w:rPr>
          <w:rFonts w:hint="eastAsia" w:ascii="仿宋_GB2312" w:hAnsi="仿宋_GB2312" w:eastAsia="仿宋_GB2312" w:cs="仿宋_GB2312"/>
          <w:szCs w:val="32"/>
        </w:rPr>
        <w:t>一、</w:t>
      </w:r>
      <w:r>
        <w:rPr>
          <w:rFonts w:hint="eastAsia" w:ascii="仿宋_GB2312" w:hAnsi="仿宋_GB2312" w:eastAsia="仿宋_GB2312" w:cs="仿宋_GB2312"/>
          <w:szCs w:val="32"/>
          <w:lang w:eastAsia="zh-CN"/>
        </w:rPr>
        <w:t>托克逊工业园区天然气母站至新疆致同能源有限公司液化天然气工厂的20万方/天（二期30万方/天）供气管线工程</w:t>
      </w:r>
      <w:r>
        <w:rPr>
          <w:rFonts w:hint="eastAsia" w:ascii="仿宋_GB2312" w:hAnsi="仿宋_GB2312" w:eastAsia="仿宋_GB2312" w:cs="仿宋_GB2312"/>
          <w:szCs w:val="32"/>
        </w:rPr>
        <w:t>位于</w:t>
      </w:r>
      <w:r>
        <w:rPr>
          <w:rFonts w:hint="eastAsia" w:ascii="仿宋_GB2312" w:hAnsi="仿宋_GB2312" w:eastAsia="仿宋_GB2312" w:cs="仿宋_GB2312"/>
          <w:szCs w:val="32"/>
          <w:lang w:val="en-US" w:eastAsia="zh-CN"/>
        </w:rPr>
        <w:t>新疆托克逊能源重化工工业园</w:t>
      </w:r>
      <w:r>
        <w:rPr>
          <w:rFonts w:hint="eastAsia" w:ascii="仿宋_GB2312" w:hAnsi="仿宋_GB2312" w:eastAsia="仿宋_GB2312" w:cs="仿宋_GB2312"/>
          <w:szCs w:val="32"/>
        </w:rPr>
        <w:t>。本项目建设性质为新建，</w:t>
      </w:r>
      <w:r>
        <w:rPr>
          <w:rFonts w:hint="eastAsia" w:ascii="仿宋_GB2312" w:hAnsi="仿宋_GB2312" w:cs="仿宋_GB2312"/>
          <w:szCs w:val="32"/>
          <w:lang w:val="en-US" w:eastAsia="zh-CN"/>
        </w:rPr>
        <w:t>主要建设</w:t>
      </w:r>
      <w:r>
        <w:rPr>
          <w:rFonts w:hint="eastAsia" w:ascii="仿宋_GB2312" w:hAnsi="仿宋_GB2312" w:eastAsia="仿宋_GB2312" w:cs="仿宋_GB2312"/>
          <w:szCs w:val="32"/>
          <w:lang w:val="en-US" w:eastAsia="zh-CN"/>
        </w:rPr>
        <w:t>供气管道</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起点为托克逊新捷母站，终点为致同能源LNG液化调峰厂，类别为GC1，设计</w:t>
      </w:r>
      <w:bookmarkStart w:id="0" w:name="_GoBack"/>
      <w:bookmarkEnd w:id="0"/>
      <w:r>
        <w:rPr>
          <w:rFonts w:hint="eastAsia" w:ascii="仿宋_GB2312" w:hAnsi="仿宋_GB2312" w:eastAsia="仿宋_GB2312" w:cs="仿宋_GB2312"/>
          <w:szCs w:val="32"/>
          <w:lang w:val="en-US" w:eastAsia="zh-CN"/>
        </w:rPr>
        <w:t>压力9.8MPa，采用DN150L360N无缝钢管，埋深2m。管道长度约2公里；调峰气外输管道起点为致同能源LNG液化调峰厂，终点为门站，类别为GB2，设计压力1.6MPa，采用DN100L245M无缝钢管，埋深2m。</w:t>
      </w:r>
      <w:r>
        <w:rPr>
          <w:rFonts w:hint="eastAsia" w:ascii="仿宋_GB2312" w:hAnsi="仿宋_GB2312" w:eastAsia="仿宋_GB2312" w:cs="仿宋_GB2312"/>
          <w:color w:val="auto"/>
          <w:lang w:val="en-US" w:eastAsia="zh-CN"/>
        </w:rPr>
        <w:t>管道长度约2公里</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项目</w:t>
      </w:r>
      <w:r>
        <w:rPr>
          <w:rFonts w:hint="eastAsia" w:ascii="仿宋_GB2312" w:hAnsi="仿宋_GB2312" w:eastAsia="仿宋_GB2312" w:cs="仿宋_GB2312"/>
          <w:szCs w:val="32"/>
          <w:lang w:val="en-US" w:eastAsia="zh-CN"/>
        </w:rPr>
        <w:t>临时占地</w:t>
      </w:r>
      <w:r>
        <w:rPr>
          <w:rFonts w:hint="eastAsia" w:ascii="仿宋_GB2312" w:hAnsi="仿宋_GB2312" w:cs="仿宋_GB2312"/>
          <w:szCs w:val="32"/>
          <w:lang w:val="en-US" w:eastAsia="zh-CN"/>
        </w:rPr>
        <w:t>面积为</w:t>
      </w:r>
      <w:r>
        <w:rPr>
          <w:rFonts w:hint="eastAsia" w:ascii="仿宋_GB2312" w:hAnsi="仿宋_GB2312" w:eastAsia="仿宋_GB2312" w:cs="仿宋_GB2312"/>
          <w:szCs w:val="32"/>
          <w:lang w:val="en-US" w:eastAsia="zh-CN"/>
        </w:rPr>
        <w:t>34000</w:t>
      </w:r>
      <w:r>
        <w:rPr>
          <w:rFonts w:hint="eastAsia" w:ascii="仿宋_GB2312" w:hAnsi="仿宋_GB2312" w:eastAsia="仿宋_GB2312" w:cs="仿宋_GB2312"/>
          <w:szCs w:val="32"/>
        </w:rPr>
        <w:t>m</w:t>
      </w:r>
      <w:r>
        <w:rPr>
          <w:rFonts w:hint="eastAsia" w:ascii="仿宋_GB2312" w:hAnsi="仿宋_GB2312" w:eastAsia="仿宋_GB2312" w:cs="仿宋_GB2312"/>
          <w:szCs w:val="32"/>
          <w:vertAlign w:val="superscript"/>
        </w:rPr>
        <w:t>2</w:t>
      </w:r>
      <w:r>
        <w:rPr>
          <w:rFonts w:hint="eastAsia" w:ascii="仿宋_GB2312" w:hAnsi="仿宋_GB2312" w:eastAsia="仿宋_GB2312" w:cs="仿宋_GB2312"/>
          <w:szCs w:val="32"/>
          <w:vertAlign w:val="baseline"/>
          <w:lang w:val="en-US" w:eastAsia="zh-CN"/>
        </w:rPr>
        <w:t>，</w:t>
      </w:r>
      <w:r>
        <w:rPr>
          <w:rFonts w:hint="eastAsia" w:ascii="仿宋_GB2312" w:hAnsi="仿宋_GB2312" w:eastAsia="仿宋_GB2312" w:cs="仿宋_GB2312"/>
          <w:szCs w:val="32"/>
        </w:rPr>
        <w:t>总投资</w:t>
      </w:r>
      <w:r>
        <w:rPr>
          <w:rFonts w:hint="eastAsia" w:ascii="仿宋_GB2312" w:hAnsi="仿宋_GB2312" w:eastAsia="仿宋_GB2312" w:cs="仿宋_GB2312"/>
          <w:szCs w:val="32"/>
          <w:lang w:val="en-US" w:eastAsia="zh-CN"/>
        </w:rPr>
        <w:t>367.85</w:t>
      </w:r>
      <w:r>
        <w:rPr>
          <w:rFonts w:hint="eastAsia" w:ascii="仿宋_GB2312" w:hAnsi="仿宋_GB2312" w:eastAsia="仿宋_GB2312" w:cs="仿宋_GB2312"/>
          <w:szCs w:val="32"/>
        </w:rPr>
        <w:t>万元，其中环保投资</w:t>
      </w:r>
      <w:r>
        <w:rPr>
          <w:rFonts w:hint="eastAsia" w:ascii="仿宋_GB2312" w:hAnsi="仿宋_GB2312" w:eastAsia="仿宋_GB2312" w:cs="仿宋_GB2312"/>
          <w:szCs w:val="32"/>
          <w:lang w:val="en-US" w:eastAsia="zh-CN"/>
        </w:rPr>
        <w:t>36</w:t>
      </w:r>
      <w:r>
        <w:rPr>
          <w:rFonts w:hint="eastAsia" w:ascii="仿宋_GB2312" w:hAnsi="仿宋_GB2312" w:eastAsia="仿宋_GB2312" w:cs="仿宋_GB2312"/>
          <w:szCs w:val="32"/>
        </w:rPr>
        <w:t>万元，占总投资的</w:t>
      </w:r>
      <w:r>
        <w:rPr>
          <w:rFonts w:hint="eastAsia" w:ascii="仿宋_GB2312" w:hAnsi="仿宋_GB2312" w:eastAsia="仿宋_GB2312" w:cs="仿宋_GB2312"/>
          <w:szCs w:val="32"/>
          <w:lang w:val="en-US" w:eastAsia="zh-CN"/>
        </w:rPr>
        <w:t>10.06</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根据新疆金咨源建设项目管理咨询有限公司编制的《</w:t>
      </w:r>
      <w:r>
        <w:rPr>
          <w:rFonts w:hint="eastAsia" w:ascii="仿宋_GB2312" w:hAnsi="仿宋_GB2312" w:eastAsia="仿宋_GB2312" w:cs="仿宋_GB2312"/>
          <w:szCs w:val="32"/>
          <w:lang w:eastAsia="zh-CN"/>
        </w:rPr>
        <w:t>托克逊工业园区天然气母站至新疆致同能源有限公司液化天然气工厂的20万方/天（二期30万方/天）供气管线工程</w:t>
      </w:r>
      <w:r>
        <w:rPr>
          <w:rFonts w:hint="eastAsia" w:ascii="仿宋_GB2312" w:hAnsi="仿宋_GB2312" w:eastAsia="仿宋_GB2312" w:cs="仿宋_GB2312"/>
          <w:szCs w:val="32"/>
        </w:rPr>
        <w:t>环境影响报告表》评价结论、</w:t>
      </w:r>
      <w:r>
        <w:rPr>
          <w:rFonts w:hint="eastAsia" w:ascii="仿宋_GB2312" w:hAnsi="仿宋_GB2312" w:eastAsia="仿宋_GB2312" w:cs="仿宋_GB2312"/>
          <w:szCs w:val="32"/>
          <w:lang w:val="en-US" w:eastAsia="zh-CN"/>
        </w:rPr>
        <w:t>托克逊县</w:t>
      </w:r>
      <w:r>
        <w:rPr>
          <w:rFonts w:hint="eastAsia" w:ascii="仿宋_GB2312" w:hAnsi="仿宋_GB2312" w:eastAsia="仿宋_GB2312" w:cs="仿宋_GB2312"/>
          <w:szCs w:val="32"/>
        </w:rPr>
        <w:t>分局《关于</w:t>
      </w:r>
      <w:r>
        <w:rPr>
          <w:rFonts w:hint="eastAsia" w:ascii="仿宋_GB2312" w:hAnsi="仿宋_GB2312" w:eastAsia="仿宋_GB2312" w:cs="仿宋_GB2312"/>
          <w:szCs w:val="32"/>
          <w:lang w:eastAsia="zh-CN"/>
        </w:rPr>
        <w:t>托克逊工业园区天然气母站至新疆致同能源有限公司液化天然气工厂的20万方/天（二期30万方/天）供气管线工程</w:t>
      </w:r>
      <w:r>
        <w:rPr>
          <w:rFonts w:hint="eastAsia" w:ascii="仿宋_GB2312" w:hAnsi="仿宋_GB2312" w:eastAsia="仿宋_GB2312" w:cs="仿宋_GB2312"/>
          <w:szCs w:val="32"/>
        </w:rPr>
        <w:t>环境影响报告表初审意见》（</w:t>
      </w:r>
      <w:r>
        <w:rPr>
          <w:rFonts w:hint="eastAsia" w:ascii="仿宋_GB2312" w:hAnsi="仿宋_GB2312" w:eastAsia="仿宋_GB2312" w:cs="仿宋_GB2312"/>
          <w:szCs w:val="32"/>
          <w:lang w:val="en-US" w:eastAsia="zh-CN"/>
        </w:rPr>
        <w:t>托</w:t>
      </w:r>
      <w:r>
        <w:rPr>
          <w:rFonts w:hint="eastAsia" w:ascii="仿宋_GB2312" w:hAnsi="仿宋_GB2312" w:eastAsia="仿宋_GB2312" w:cs="仿宋_GB2312"/>
          <w:szCs w:val="32"/>
        </w:rPr>
        <w:t>环监函〔2023〕</w:t>
      </w:r>
      <w:r>
        <w:rPr>
          <w:rFonts w:hint="eastAsia" w:ascii="仿宋_GB2312" w:hAnsi="仿宋_GB2312" w:eastAsia="仿宋_GB2312" w:cs="仿宋_GB2312"/>
          <w:szCs w:val="32"/>
          <w:lang w:val="en-US" w:eastAsia="zh-CN"/>
        </w:rPr>
        <w:t>25</w:t>
      </w:r>
      <w:r>
        <w:rPr>
          <w:rFonts w:hint="eastAsia" w:ascii="仿宋_GB2312" w:hAnsi="仿宋_GB2312" w:eastAsia="仿宋_GB2312" w:cs="仿宋_GB2312"/>
          <w:szCs w:val="32"/>
        </w:rPr>
        <w:t>号），该</w:t>
      </w:r>
      <w:r>
        <w:rPr>
          <w:rFonts w:hint="eastAsia" w:ascii="仿宋_GB2312" w:hAnsi="仿宋_GB2312" w:eastAsia="仿宋_GB2312" w:cs="仿宋_GB2312"/>
          <w:szCs w:val="21"/>
        </w:rPr>
        <w:t>项目在落实《报</w:t>
      </w:r>
      <w:r>
        <w:rPr>
          <w:rFonts w:hint="eastAsia" w:ascii="仿宋_GB2312" w:eastAsia="仿宋_GB2312"/>
          <w:color w:val="auto"/>
          <w:sz w:val="32"/>
          <w:szCs w:val="32"/>
        </w:rPr>
        <w:t>告表》提出的各项环境保护措施后，项目所产生的不利影响可以得到缓解和控制。从环境保护的角度，原则同意该项目按照《报告表》中所列项目地点、性质、规模及拟采取的各</w:t>
      </w:r>
      <w:r>
        <w:rPr>
          <w:rFonts w:hint="eastAsia" w:ascii="仿宋_GB2312" w:hAnsi="Times New Roman" w:eastAsia="仿宋_GB2312" w:cs="Times New Roman"/>
          <w:color w:val="auto"/>
          <w:sz w:val="32"/>
          <w:szCs w:val="32"/>
        </w:rPr>
        <w:t>项环境保护措施进行建设。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kern w:val="0"/>
          <w:szCs w:val="32"/>
        </w:rPr>
      </w:pPr>
      <w:r>
        <w:rPr>
          <w:rFonts w:hint="eastAsia" w:ascii="仿宋_GB2312" w:hAnsi="仿宋_GB2312" w:cs="仿宋_GB2312"/>
          <w:kern w:val="0"/>
          <w:szCs w:val="32"/>
          <w:lang w:val="en-US" w:eastAsia="zh-CN"/>
        </w:rPr>
        <w:t>三、</w:t>
      </w:r>
      <w:r>
        <w:rPr>
          <w:rFonts w:hint="eastAsia" w:ascii="仿宋_GB2312" w:hAnsi="仿宋_GB2312" w:eastAsia="仿宋_GB2312" w:cs="仿宋_GB2312"/>
          <w:kern w:val="0"/>
          <w:szCs w:val="32"/>
        </w:rPr>
        <w:t>在项目建设、运行和环境管理中要认真落实《报告表》提出的各项环保要求，严格执行环保“三同时”制度，并重点做好以下工作：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rPr>
        <w:t>（一）</w:t>
      </w:r>
      <w:r>
        <w:rPr>
          <w:rFonts w:hint="default" w:ascii="Times New Roman" w:hAnsi="Times New Roman" w:cs="Times New Roman"/>
          <w:lang w:val="en-US" w:eastAsia="zh-CN"/>
        </w:rPr>
        <w:t>落实施工期各项环保措施。</w:t>
      </w:r>
      <w:r>
        <w:rPr>
          <w:rFonts w:hint="eastAsia" w:cs="Times New Roman"/>
          <w:lang w:val="en-US" w:eastAsia="zh-CN"/>
        </w:rPr>
        <w:t>项目应</w:t>
      </w:r>
      <w:r>
        <w:rPr>
          <w:rFonts w:hint="default" w:ascii="Times New Roman" w:hAnsi="Times New Roman" w:cs="Times New Roman"/>
          <w:lang w:val="en-US" w:eastAsia="zh-CN"/>
        </w:rPr>
        <w:t>加强工程施工期间的环境保护管理工作，减轻施工期废水、扬尘、固体废物和噪声对周围环境产生的不利影响。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（二）强化生态环境保护措施。</w:t>
      </w:r>
      <w:r>
        <w:rPr>
          <w:rFonts w:hint="eastAsia" w:cs="Times New Roman"/>
          <w:lang w:val="en-US" w:eastAsia="zh-CN"/>
        </w:rPr>
        <w:t>项目需</w:t>
      </w:r>
      <w:r>
        <w:rPr>
          <w:rFonts w:hint="default" w:ascii="Times New Roman" w:hAnsi="Times New Roman" w:cs="Times New Roman"/>
          <w:lang w:val="en-US" w:eastAsia="zh-CN"/>
        </w:rPr>
        <w:t>优化施工组织，通过统筹利用现有道路、限定车辆运输路线、加强挖填施工管理等控制占地影响范围，减少工程临时占地和地表开挖造成的不利影响；严格按照有关规定办理建设用地审批手续，合理规划，严格控制临时占地面积；输气管线选线在设计、施工作业时尽量避开植被茂密区域，对规划占地范围外的区域严禁机械及车辆进入、占用，禁止乱轧乱碾，避免破坏自然植被，造成土地松动；管线施工时尽量按地形走向、起伏施工，减少挖填作业量；管沟回填后多余的土方禁止大量集中弃置，临时堆土必须进行拦挡，防止水土流失；施工结束后，及时清理施工现场，对临时占地区域进行平整、恢复原貌；管线上方设置显著标识，防止其他施工活动对管线的破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（三）落实其他环境保护措施。</w:t>
      </w:r>
      <w:r>
        <w:rPr>
          <w:rFonts w:hint="eastAsia" w:cs="Times New Roman"/>
          <w:lang w:val="en-US" w:eastAsia="zh-CN"/>
        </w:rPr>
        <w:t>项目需</w:t>
      </w:r>
      <w:r>
        <w:rPr>
          <w:rFonts w:hint="default" w:ascii="Times New Roman" w:hAnsi="Times New Roman" w:cs="Times New Roman"/>
          <w:lang w:val="en-US" w:eastAsia="zh-CN"/>
        </w:rPr>
        <w:t>强化绿色施工，加强施工工地环境管理，采取定点堆放物料、洒水、遮盖、限速等措施防治扬尘污染；合理安排施工时间，选用噪声低、能耗小的设备，定期对机械维护保养；合理规划临时占地，控制临时占地范围，对工作区域外的场地严禁机械及车辆进入、占用，避免破坏植被和造成土地松动；管线试压废水收集至临时沉淀池，沉淀后的废水循环使用，用于周边洒水降尘；固体废物应依法分类妥善处置；严禁使用不合格的产品，定期对管线进行巡视；定期对管线进行超声波检查，对壁厚低于规定要求的管段应及时更换，消除爆管的隐患；定期对输气管线上的安全保护设施，如截断阀、安全阀、放空系统等进行检查，使管道在超压时能够得到安全处理，在管道破裂时及时截断上下游管段，减少事故时天然气的释放量，使危害影响范围减小到最低程度；定期开展地下水、土壤环境质量跟踪监测，对环境污染隐患做到及早发现、及时处理；强化环境风险防范，制定环境应急预案，对现有突发环境事件应急预案进行必要的完善和补充，并定期开展应急演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lang w:val="en-US" w:eastAsia="zh-CN"/>
        </w:rPr>
      </w:pPr>
      <w:r>
        <w:rPr>
          <w:rFonts w:hint="eastAsia" w:ascii="仿宋_GB2312" w:hAnsi="仿宋_GB2312" w:cs="仿宋_GB2312"/>
          <w:szCs w:val="32"/>
          <w:lang w:val="en-US" w:eastAsia="zh-CN"/>
        </w:rPr>
        <w:t>四</w:t>
      </w:r>
      <w:r>
        <w:rPr>
          <w:rFonts w:hint="eastAsia" w:ascii="仿宋_GB2312" w:hAnsi="仿宋_GB2312" w:eastAsia="仿宋_GB2312" w:cs="仿宋_GB2312"/>
          <w:szCs w:val="32"/>
        </w:rPr>
        <w:t>、本项目在发生实际排污行为之前，必须按相关规范要求申领排污许可证，在排污许可证中载明批准的环境影响报告表中各项环境保护措施、污染物排放清单等的执行情况及其他有关内容，并按证排污。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本项目施工期和运营期的环境监督管理由托克逊县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六</w:t>
      </w:r>
      <w:r>
        <w:rPr>
          <w:rFonts w:hint="eastAsia" w:ascii="仿宋_GB2312" w:hAnsi="仿宋_GB2312" w:eastAsia="仿宋_GB2312" w:cs="仿宋_GB2312"/>
          <w:szCs w:val="32"/>
        </w:rPr>
        <w:t>、你公司应在收到本批复后20个工作日内，将批准后的《报告表》分送至</w:t>
      </w:r>
      <w:r>
        <w:rPr>
          <w:rFonts w:hint="eastAsia" w:ascii="仿宋_GB2312" w:hAnsi="仿宋_GB2312" w:cs="仿宋_GB2312"/>
          <w:szCs w:val="32"/>
          <w:lang w:val="en-US" w:eastAsia="zh-CN"/>
        </w:rPr>
        <w:t>托克逊县</w:t>
      </w:r>
      <w:r>
        <w:rPr>
          <w:rFonts w:hint="eastAsia" w:ascii="仿宋_GB2312" w:hAnsi="仿宋_GB2312" w:eastAsia="仿宋_GB2312" w:cs="仿宋_GB2312"/>
          <w:szCs w:val="32"/>
        </w:rPr>
        <w:t>分局，并按规定接受各级生态环境主管部门的监督检查。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Cs w:val="32"/>
        </w:rPr>
      </w:pPr>
      <w:r>
        <w:rPr>
          <w:rFonts w:hint="default" w:ascii="Times New Roman" w:hAnsi="Times New Roman" w:cs="Times New Roman"/>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Cs w:val="32"/>
        </w:rPr>
      </w:pPr>
      <w:r>
        <w:rPr>
          <w:rFonts w:hint="default" w:ascii="Times New Roman" w:hAnsi="Times New Roman" w:cs="Times New Roman"/>
          <w:szCs w:val="32"/>
        </w:rPr>
        <w:t xml:space="preserve">                    </w:t>
      </w:r>
      <w:r>
        <w:rPr>
          <w:rFonts w:hint="default" w:ascii="仿宋_GB2312" w:hAnsi="仿宋_GB2312" w:eastAsia="仿宋_GB2312" w:cs="仿宋_GB2312"/>
          <w:szCs w:val="32"/>
        </w:rPr>
        <w:t xml:space="preserve">  吐鲁番市生态环境局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Cs w:val="32"/>
        </w:rPr>
      </w:pPr>
      <w:r>
        <w:rPr>
          <w:rFonts w:hint="default" w:ascii="仿宋_GB2312" w:hAnsi="仿宋_GB2312" w:eastAsia="仿宋_GB2312" w:cs="仿宋_GB2312"/>
          <w:szCs w:val="32"/>
        </w:rPr>
        <w:t xml:space="preserve">                      </w:t>
      </w:r>
      <w:r>
        <w:rPr>
          <w:rFonts w:hint="eastAsia" w:ascii="仿宋_GB2312" w:hAnsi="仿宋_GB2312" w:cs="仿宋_GB2312"/>
          <w:szCs w:val="32"/>
          <w:lang w:val="en-US" w:eastAsia="zh-CN"/>
        </w:rPr>
        <w:t xml:space="preserve"> </w:t>
      </w:r>
      <w:r>
        <w:rPr>
          <w:rFonts w:hint="default" w:ascii="仿宋_GB2312" w:hAnsi="仿宋_GB2312" w:eastAsia="仿宋_GB2312" w:cs="仿宋_GB2312"/>
          <w:szCs w:val="32"/>
        </w:rPr>
        <w:t>2022年</w:t>
      </w:r>
      <w:r>
        <w:rPr>
          <w:rFonts w:hint="eastAsia" w:ascii="仿宋_GB2312" w:hAnsi="仿宋_GB2312" w:cs="仿宋_GB2312"/>
          <w:szCs w:val="32"/>
          <w:lang w:val="en-US" w:eastAsia="zh-CN"/>
        </w:rPr>
        <w:t>10</w:t>
      </w:r>
      <w:r>
        <w:rPr>
          <w:rFonts w:hint="default" w:ascii="仿宋_GB2312" w:hAnsi="仿宋_GB2312" w:eastAsia="仿宋_GB2312" w:cs="仿宋_GB2312"/>
          <w:szCs w:val="32"/>
        </w:rPr>
        <w:t>月</w:t>
      </w:r>
      <w:r>
        <w:rPr>
          <w:rFonts w:hint="eastAsia" w:ascii="仿宋_GB2312" w:hAnsi="仿宋_GB2312" w:cs="仿宋_GB2312"/>
          <w:szCs w:val="32"/>
          <w:lang w:val="en-US" w:eastAsia="zh-CN"/>
        </w:rPr>
        <w:t>7</w:t>
      </w:r>
      <w:r>
        <w:rPr>
          <w:rFonts w:hint="default" w:ascii="仿宋_GB2312" w:hAnsi="仿宋_GB2312" w:eastAsia="仿宋_GB2312" w:cs="仿宋_GB231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Cs w:val="32"/>
        </w:rPr>
      </w:pPr>
      <w:r>
        <w:rPr>
          <w:rFonts w:hint="default" w:ascii="仿宋_GB2312" w:hAnsi="仿宋_GB2312" w:eastAsia="仿宋_GB2312" w:cs="仿宋_GB2312"/>
          <w:szCs w:val="32"/>
        </w:rPr>
        <w:t>抄送：市生态环境局</w:t>
      </w:r>
      <w:r>
        <w:rPr>
          <w:rFonts w:hint="eastAsia" w:ascii="仿宋_GB2312" w:hAnsi="仿宋_GB2312" w:cs="仿宋_GB2312"/>
          <w:szCs w:val="32"/>
          <w:lang w:val="en-US" w:eastAsia="zh-CN"/>
        </w:rPr>
        <w:t>托克逊县</w:t>
      </w:r>
      <w:r>
        <w:rPr>
          <w:rFonts w:hint="default" w:ascii="仿宋_GB2312" w:hAnsi="仿宋_GB2312" w:eastAsia="仿宋_GB2312" w:cs="仿宋_GB2312"/>
          <w:szCs w:val="32"/>
        </w:rPr>
        <w:t>分局，市生态环境保护综合行政执法支队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4"/>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4"/>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85B0C"/>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66FF8"/>
    <w:rsid w:val="001700D7"/>
    <w:rsid w:val="00176035"/>
    <w:rsid w:val="00183715"/>
    <w:rsid w:val="0018447C"/>
    <w:rsid w:val="0019002A"/>
    <w:rsid w:val="0019095B"/>
    <w:rsid w:val="00193015"/>
    <w:rsid w:val="001970D3"/>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97AC4"/>
    <w:rsid w:val="002A3564"/>
    <w:rsid w:val="002B16A1"/>
    <w:rsid w:val="002B6D04"/>
    <w:rsid w:val="002C5C30"/>
    <w:rsid w:val="002C63CB"/>
    <w:rsid w:val="002C7C42"/>
    <w:rsid w:val="002D0826"/>
    <w:rsid w:val="002D3E68"/>
    <w:rsid w:val="002D5E6B"/>
    <w:rsid w:val="002D7EB6"/>
    <w:rsid w:val="002E058D"/>
    <w:rsid w:val="002E19D3"/>
    <w:rsid w:val="002F0A27"/>
    <w:rsid w:val="002F246F"/>
    <w:rsid w:val="002F6B69"/>
    <w:rsid w:val="003016AC"/>
    <w:rsid w:val="00302FA1"/>
    <w:rsid w:val="0030367C"/>
    <w:rsid w:val="0030523F"/>
    <w:rsid w:val="00306C3E"/>
    <w:rsid w:val="0031465D"/>
    <w:rsid w:val="00314F74"/>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4FDA"/>
    <w:rsid w:val="00797250"/>
    <w:rsid w:val="007A1342"/>
    <w:rsid w:val="007A5B1D"/>
    <w:rsid w:val="007A7957"/>
    <w:rsid w:val="007B0CC1"/>
    <w:rsid w:val="007B17DA"/>
    <w:rsid w:val="007B440D"/>
    <w:rsid w:val="007B753F"/>
    <w:rsid w:val="007C01AF"/>
    <w:rsid w:val="007C064D"/>
    <w:rsid w:val="007C2AB4"/>
    <w:rsid w:val="007C3627"/>
    <w:rsid w:val="007C76C3"/>
    <w:rsid w:val="007E7F7A"/>
    <w:rsid w:val="007F06F2"/>
    <w:rsid w:val="007F0AF3"/>
    <w:rsid w:val="007F52DE"/>
    <w:rsid w:val="00800136"/>
    <w:rsid w:val="00807A1D"/>
    <w:rsid w:val="00811A70"/>
    <w:rsid w:val="008142DC"/>
    <w:rsid w:val="00817BD3"/>
    <w:rsid w:val="00830C26"/>
    <w:rsid w:val="0084399B"/>
    <w:rsid w:val="0085082B"/>
    <w:rsid w:val="008563E4"/>
    <w:rsid w:val="008572DD"/>
    <w:rsid w:val="00861569"/>
    <w:rsid w:val="00874380"/>
    <w:rsid w:val="00874FBD"/>
    <w:rsid w:val="0088108F"/>
    <w:rsid w:val="008841B6"/>
    <w:rsid w:val="00885921"/>
    <w:rsid w:val="00891894"/>
    <w:rsid w:val="008A5452"/>
    <w:rsid w:val="008B2C97"/>
    <w:rsid w:val="008C09A4"/>
    <w:rsid w:val="008D7070"/>
    <w:rsid w:val="008E2A27"/>
    <w:rsid w:val="008F31EA"/>
    <w:rsid w:val="008F40CA"/>
    <w:rsid w:val="008F4CA6"/>
    <w:rsid w:val="008F552A"/>
    <w:rsid w:val="008F5F82"/>
    <w:rsid w:val="008F66E3"/>
    <w:rsid w:val="009001D9"/>
    <w:rsid w:val="00903D49"/>
    <w:rsid w:val="00906C55"/>
    <w:rsid w:val="00910341"/>
    <w:rsid w:val="00914BCC"/>
    <w:rsid w:val="0091736A"/>
    <w:rsid w:val="009275B9"/>
    <w:rsid w:val="00927942"/>
    <w:rsid w:val="009313F8"/>
    <w:rsid w:val="00943623"/>
    <w:rsid w:val="00945FBF"/>
    <w:rsid w:val="00947D90"/>
    <w:rsid w:val="009506AE"/>
    <w:rsid w:val="009566CD"/>
    <w:rsid w:val="00956F74"/>
    <w:rsid w:val="0096124E"/>
    <w:rsid w:val="0096181A"/>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4DA3"/>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6643B"/>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668A"/>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4AC"/>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848"/>
    <w:rsid w:val="00F50F13"/>
    <w:rsid w:val="00F53803"/>
    <w:rsid w:val="00F544BA"/>
    <w:rsid w:val="00F54B70"/>
    <w:rsid w:val="00F56642"/>
    <w:rsid w:val="00F72289"/>
    <w:rsid w:val="00F739A9"/>
    <w:rsid w:val="00F870A6"/>
    <w:rsid w:val="00F90E0B"/>
    <w:rsid w:val="00F918AB"/>
    <w:rsid w:val="00F925E5"/>
    <w:rsid w:val="00F93E48"/>
    <w:rsid w:val="00F97D93"/>
    <w:rsid w:val="00FA1880"/>
    <w:rsid w:val="00FA22E2"/>
    <w:rsid w:val="00FB07F3"/>
    <w:rsid w:val="00FB2CDC"/>
    <w:rsid w:val="00FB672F"/>
    <w:rsid w:val="00FC3A17"/>
    <w:rsid w:val="00FC3A23"/>
    <w:rsid w:val="00FC5086"/>
    <w:rsid w:val="00FC5595"/>
    <w:rsid w:val="00FC5AA7"/>
    <w:rsid w:val="00FD017F"/>
    <w:rsid w:val="00FD1C1C"/>
    <w:rsid w:val="00FD2E47"/>
    <w:rsid w:val="00FD42C4"/>
    <w:rsid w:val="00FE7848"/>
    <w:rsid w:val="00FF2324"/>
    <w:rsid w:val="00FF428A"/>
    <w:rsid w:val="00FF4997"/>
    <w:rsid w:val="00FF544B"/>
    <w:rsid w:val="00FF66B5"/>
    <w:rsid w:val="01AC0139"/>
    <w:rsid w:val="021A0131"/>
    <w:rsid w:val="03E1080D"/>
    <w:rsid w:val="04782A92"/>
    <w:rsid w:val="07A13635"/>
    <w:rsid w:val="08101DB2"/>
    <w:rsid w:val="081E50D6"/>
    <w:rsid w:val="08A17FE2"/>
    <w:rsid w:val="08BA4909"/>
    <w:rsid w:val="0B3D6DBF"/>
    <w:rsid w:val="0B5310FE"/>
    <w:rsid w:val="0B591DA9"/>
    <w:rsid w:val="0B592086"/>
    <w:rsid w:val="0B6A45FE"/>
    <w:rsid w:val="0C3D6A94"/>
    <w:rsid w:val="0C5817A4"/>
    <w:rsid w:val="0D6E42F3"/>
    <w:rsid w:val="0DB45986"/>
    <w:rsid w:val="0E21123B"/>
    <w:rsid w:val="0EDB39A1"/>
    <w:rsid w:val="0EF0248D"/>
    <w:rsid w:val="0F31473F"/>
    <w:rsid w:val="0F925C73"/>
    <w:rsid w:val="10E8147E"/>
    <w:rsid w:val="110B2B14"/>
    <w:rsid w:val="113B2E9C"/>
    <w:rsid w:val="13871C6A"/>
    <w:rsid w:val="14132147"/>
    <w:rsid w:val="14F34426"/>
    <w:rsid w:val="159535B3"/>
    <w:rsid w:val="15E82E53"/>
    <w:rsid w:val="16154DB6"/>
    <w:rsid w:val="16276BA3"/>
    <w:rsid w:val="170744E6"/>
    <w:rsid w:val="17680846"/>
    <w:rsid w:val="17F51B4E"/>
    <w:rsid w:val="18202BA6"/>
    <w:rsid w:val="18677510"/>
    <w:rsid w:val="1881634D"/>
    <w:rsid w:val="19515DE6"/>
    <w:rsid w:val="1A910094"/>
    <w:rsid w:val="1CBB3234"/>
    <w:rsid w:val="1E386095"/>
    <w:rsid w:val="1E9D2F50"/>
    <w:rsid w:val="1EC82A0B"/>
    <w:rsid w:val="1F6E0254"/>
    <w:rsid w:val="1F846FD2"/>
    <w:rsid w:val="1F8C1DF0"/>
    <w:rsid w:val="208C266E"/>
    <w:rsid w:val="20B415FA"/>
    <w:rsid w:val="20DA3519"/>
    <w:rsid w:val="211903B5"/>
    <w:rsid w:val="21AF6086"/>
    <w:rsid w:val="21FF1EE9"/>
    <w:rsid w:val="224C4814"/>
    <w:rsid w:val="22F7744E"/>
    <w:rsid w:val="230439E3"/>
    <w:rsid w:val="233174FD"/>
    <w:rsid w:val="23AC703D"/>
    <w:rsid w:val="23F32A04"/>
    <w:rsid w:val="25417661"/>
    <w:rsid w:val="25AD7DBF"/>
    <w:rsid w:val="25C41A79"/>
    <w:rsid w:val="25D01CF0"/>
    <w:rsid w:val="25D21F9B"/>
    <w:rsid w:val="265C67D3"/>
    <w:rsid w:val="274E23CA"/>
    <w:rsid w:val="2771557E"/>
    <w:rsid w:val="280244F4"/>
    <w:rsid w:val="28B279B4"/>
    <w:rsid w:val="28DB0A41"/>
    <w:rsid w:val="29FF142C"/>
    <w:rsid w:val="2AEA33A3"/>
    <w:rsid w:val="2B297934"/>
    <w:rsid w:val="2BA50779"/>
    <w:rsid w:val="2C677E7C"/>
    <w:rsid w:val="2D1B099D"/>
    <w:rsid w:val="2D46550B"/>
    <w:rsid w:val="2D99774B"/>
    <w:rsid w:val="2E162043"/>
    <w:rsid w:val="2E884E15"/>
    <w:rsid w:val="2E8C1473"/>
    <w:rsid w:val="2F5940C6"/>
    <w:rsid w:val="303B31BD"/>
    <w:rsid w:val="30DC6DFC"/>
    <w:rsid w:val="314D2F79"/>
    <w:rsid w:val="3301756A"/>
    <w:rsid w:val="339207B1"/>
    <w:rsid w:val="343E4AEE"/>
    <w:rsid w:val="356F2FDD"/>
    <w:rsid w:val="360F151B"/>
    <w:rsid w:val="36F4783D"/>
    <w:rsid w:val="37FF78CB"/>
    <w:rsid w:val="38A25E40"/>
    <w:rsid w:val="38A62207"/>
    <w:rsid w:val="39302546"/>
    <w:rsid w:val="39AE6358"/>
    <w:rsid w:val="3B645DEA"/>
    <w:rsid w:val="3C783F36"/>
    <w:rsid w:val="3C9A7261"/>
    <w:rsid w:val="3D123278"/>
    <w:rsid w:val="3D306D49"/>
    <w:rsid w:val="3D9F41EB"/>
    <w:rsid w:val="3E0A3243"/>
    <w:rsid w:val="3F764CA9"/>
    <w:rsid w:val="3FF95F26"/>
    <w:rsid w:val="408F0DDD"/>
    <w:rsid w:val="419C2F68"/>
    <w:rsid w:val="41D31183"/>
    <w:rsid w:val="42AD47DE"/>
    <w:rsid w:val="43D10B6C"/>
    <w:rsid w:val="43DB1093"/>
    <w:rsid w:val="4456763F"/>
    <w:rsid w:val="44B72988"/>
    <w:rsid w:val="44D76B6A"/>
    <w:rsid w:val="452D416E"/>
    <w:rsid w:val="454145FF"/>
    <w:rsid w:val="45C717F4"/>
    <w:rsid w:val="46EB5F4B"/>
    <w:rsid w:val="476834A9"/>
    <w:rsid w:val="478168F7"/>
    <w:rsid w:val="484F7E61"/>
    <w:rsid w:val="485727E6"/>
    <w:rsid w:val="48BC3CB4"/>
    <w:rsid w:val="492C6C09"/>
    <w:rsid w:val="4B3F3CD1"/>
    <w:rsid w:val="4B7D2042"/>
    <w:rsid w:val="4CCE3A8F"/>
    <w:rsid w:val="4DFB264D"/>
    <w:rsid w:val="4E887C97"/>
    <w:rsid w:val="502E4CE4"/>
    <w:rsid w:val="5036491C"/>
    <w:rsid w:val="51AA321A"/>
    <w:rsid w:val="51BB5F74"/>
    <w:rsid w:val="51FC3859"/>
    <w:rsid w:val="52B81A73"/>
    <w:rsid w:val="536F179E"/>
    <w:rsid w:val="53A02794"/>
    <w:rsid w:val="53A551A0"/>
    <w:rsid w:val="543D7B60"/>
    <w:rsid w:val="551C59CE"/>
    <w:rsid w:val="56AE3064"/>
    <w:rsid w:val="585D60C3"/>
    <w:rsid w:val="58693CF0"/>
    <w:rsid w:val="58E05BE3"/>
    <w:rsid w:val="58E6094E"/>
    <w:rsid w:val="59962476"/>
    <w:rsid w:val="5A2140DC"/>
    <w:rsid w:val="5B920B35"/>
    <w:rsid w:val="5B9447E3"/>
    <w:rsid w:val="5BA04C44"/>
    <w:rsid w:val="5C6A7016"/>
    <w:rsid w:val="5CD45920"/>
    <w:rsid w:val="5D541F57"/>
    <w:rsid w:val="5E1A3D21"/>
    <w:rsid w:val="5F634B38"/>
    <w:rsid w:val="5FD70968"/>
    <w:rsid w:val="604D14A3"/>
    <w:rsid w:val="606377EC"/>
    <w:rsid w:val="60907D75"/>
    <w:rsid w:val="62CA45A2"/>
    <w:rsid w:val="63546188"/>
    <w:rsid w:val="63B13956"/>
    <w:rsid w:val="6422105A"/>
    <w:rsid w:val="64572442"/>
    <w:rsid w:val="647B64A1"/>
    <w:rsid w:val="653E05DE"/>
    <w:rsid w:val="668D671F"/>
    <w:rsid w:val="67911F69"/>
    <w:rsid w:val="67D15A5F"/>
    <w:rsid w:val="67E9565E"/>
    <w:rsid w:val="6832145A"/>
    <w:rsid w:val="68E13002"/>
    <w:rsid w:val="6A1324A1"/>
    <w:rsid w:val="6AF46054"/>
    <w:rsid w:val="6B1C21F3"/>
    <w:rsid w:val="6C9524DD"/>
    <w:rsid w:val="6D6B00E5"/>
    <w:rsid w:val="6D794D48"/>
    <w:rsid w:val="6DC721AC"/>
    <w:rsid w:val="6E691593"/>
    <w:rsid w:val="6F686FC6"/>
    <w:rsid w:val="70963436"/>
    <w:rsid w:val="715F724B"/>
    <w:rsid w:val="73545095"/>
    <w:rsid w:val="736F49C4"/>
    <w:rsid w:val="73FA40C7"/>
    <w:rsid w:val="74D95E13"/>
    <w:rsid w:val="74DA7762"/>
    <w:rsid w:val="74E760B5"/>
    <w:rsid w:val="750503BE"/>
    <w:rsid w:val="751172B8"/>
    <w:rsid w:val="761843EB"/>
    <w:rsid w:val="764A076A"/>
    <w:rsid w:val="77427A58"/>
    <w:rsid w:val="776F4AC7"/>
    <w:rsid w:val="77A837BF"/>
    <w:rsid w:val="78541493"/>
    <w:rsid w:val="78A25126"/>
    <w:rsid w:val="78D554E1"/>
    <w:rsid w:val="7A7244D9"/>
    <w:rsid w:val="7D741AB5"/>
    <w:rsid w:val="7F286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7"/>
    <w:qFormat/>
    <w:uiPriority w:val="0"/>
    <w:pPr>
      <w:keepNext/>
      <w:keepLines/>
      <w:spacing w:line="576" w:lineRule="auto"/>
      <w:outlineLvl w:val="0"/>
    </w:pPr>
    <w:rPr>
      <w:b/>
      <w:kern w:val="44"/>
      <w:sz w:val="44"/>
    </w:rPr>
  </w:style>
  <w:style w:type="paragraph" w:styleId="2">
    <w:name w:val="heading 3"/>
    <w:basedOn w:val="1"/>
    <w:next w:val="1"/>
    <w:qFormat/>
    <w:uiPriority w:val="0"/>
    <w:pPr>
      <w:keepNext/>
      <w:keepLines/>
      <w:spacing w:before="260" w:after="260" w:line="416" w:lineRule="auto"/>
      <w:outlineLvl w:val="2"/>
    </w:pPr>
    <w:rPr>
      <w:b/>
      <w:bCs/>
      <w:szCs w:val="32"/>
    </w:rPr>
  </w:style>
  <w:style w:type="paragraph" w:styleId="4">
    <w:name w:val="heading 4"/>
    <w:basedOn w:val="1"/>
    <w:next w:val="1"/>
    <w:unhideWhenUsed/>
    <w:qFormat/>
    <w:uiPriority w:val="0"/>
    <w:pPr>
      <w:keepNext/>
      <w:keepLines/>
      <w:jc w:val="left"/>
      <w:outlineLvl w:val="3"/>
    </w:pPr>
    <w:rPr>
      <w:rFonts w:eastAsia="宋体"/>
      <w:b/>
      <w:bCs/>
      <w:sz w:val="28"/>
      <w:szCs w:val="28"/>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uto"/>
      <w:ind w:firstLine="420" w:firstLineChars="200"/>
    </w:pPr>
    <w:rPr>
      <w:rFonts w:ascii="宋体" w:hAnsi="宋体" w:cs="宋体" w:eastAsiaTheme="minorEastAsia"/>
      <w:sz w:val="21"/>
    </w:rPr>
  </w:style>
  <w:style w:type="paragraph" w:styleId="6">
    <w:name w:val="Body Text"/>
    <w:basedOn w:val="1"/>
    <w:link w:val="26"/>
    <w:qFormat/>
    <w:uiPriority w:val="0"/>
    <w:pPr>
      <w:spacing w:after="120"/>
    </w:pPr>
  </w:style>
  <w:style w:type="paragraph" w:styleId="7">
    <w:name w:val="Body Text Indent"/>
    <w:basedOn w:val="1"/>
    <w:next w:val="8"/>
    <w:qFormat/>
    <w:uiPriority w:val="0"/>
    <w:pPr>
      <w:spacing w:line="360" w:lineRule="auto"/>
      <w:ind w:firstLine="495"/>
    </w:pPr>
    <w:rPr>
      <w:rFonts w:ascii="宋体" w:hAnsi="宋体"/>
      <w:sz w:val="24"/>
    </w:rPr>
  </w:style>
  <w:style w:type="paragraph" w:customStyle="1" w:styleId="8">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9">
    <w:name w:val="toc 3"/>
    <w:basedOn w:val="10"/>
    <w:next w:val="1"/>
    <w:qFormat/>
    <w:uiPriority w:val="0"/>
    <w:pPr>
      <w:spacing w:line="240" w:lineRule="auto"/>
      <w:ind w:left="840" w:leftChars="400"/>
    </w:pPr>
    <w:rPr>
      <w:rFonts w:eastAsia="宋体"/>
      <w:sz w:val="21"/>
      <w:szCs w:val="20"/>
    </w:rPr>
  </w:style>
  <w:style w:type="paragraph" w:styleId="10">
    <w:name w:val="toc 1"/>
    <w:basedOn w:val="1"/>
    <w:next w:val="1"/>
    <w:qFormat/>
    <w:uiPriority w:val="0"/>
  </w:style>
  <w:style w:type="paragraph" w:styleId="11">
    <w:name w:val="Plain Text"/>
    <w:basedOn w:val="1"/>
    <w:link w:val="34"/>
    <w:qFormat/>
    <w:uiPriority w:val="0"/>
    <w:rPr>
      <w:rFonts w:ascii="宋体" w:hAnsi="Courier New" w:eastAsia="宋体" w:cs="Courier New"/>
      <w:sz w:val="21"/>
      <w:szCs w:val="21"/>
    </w:rPr>
  </w:style>
  <w:style w:type="paragraph" w:styleId="12">
    <w:name w:val="Date"/>
    <w:basedOn w:val="1"/>
    <w:next w:val="1"/>
    <w:qFormat/>
    <w:uiPriority w:val="0"/>
    <w:pPr>
      <w:ind w:left="100" w:leftChars="2500"/>
    </w:pPr>
  </w:style>
  <w:style w:type="paragraph" w:styleId="13">
    <w:name w:val="Balloon Text"/>
    <w:basedOn w:val="1"/>
    <w:link w:val="31"/>
    <w:qFormat/>
    <w:uiPriority w:val="0"/>
    <w:pPr>
      <w:spacing w:line="240" w:lineRule="auto"/>
    </w:pPr>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1"/>
    <w:link w:val="41"/>
    <w:qFormat/>
    <w:uiPriority w:val="0"/>
    <w:pPr>
      <w:spacing w:before="240" w:after="60" w:line="480" w:lineRule="auto"/>
      <w:jc w:val="center"/>
      <w:outlineLvl w:val="0"/>
    </w:pPr>
    <w:rPr>
      <w:rFonts w:ascii="Cambria" w:hAnsi="Cambria" w:eastAsia="宋体"/>
      <w:b/>
      <w:bCs/>
      <w:szCs w:val="32"/>
    </w:rPr>
  </w:style>
  <w:style w:type="paragraph" w:styleId="17">
    <w:name w:val="Body Text First Indent"/>
    <w:basedOn w:val="6"/>
    <w:link w:val="37"/>
    <w:qFormat/>
    <w:uiPriority w:val="0"/>
    <w:pPr>
      <w:ind w:firstLine="420" w:firstLineChars="100"/>
    </w:pPr>
  </w:style>
  <w:style w:type="paragraph" w:styleId="18">
    <w:name w:val="Body Text First Indent 2"/>
    <w:basedOn w:val="7"/>
    <w:next w:val="1"/>
    <w:qFormat/>
    <w:uiPriority w:val="0"/>
    <w:pPr>
      <w:ind w:firstLine="420" w:firstLineChars="200"/>
    </w:pPr>
    <w:rPr>
      <w:sz w:val="21"/>
    </w:rPr>
  </w:style>
  <w:style w:type="character" w:styleId="21">
    <w:name w:val="page number"/>
    <w:basedOn w:val="20"/>
    <w:qFormat/>
    <w:uiPriority w:val="0"/>
  </w:style>
  <w:style w:type="paragraph" w:customStyle="1" w:styleId="22">
    <w:name w:val="表格内"/>
    <w:basedOn w:val="1"/>
    <w:qFormat/>
    <w:uiPriority w:val="0"/>
    <w:pPr>
      <w:spacing w:line="360" w:lineRule="exact"/>
      <w:jc w:val="center"/>
    </w:pPr>
    <w:rPr>
      <w:snapToGrid w:val="0"/>
      <w:szCs w:val="21"/>
    </w:rPr>
  </w:style>
  <w:style w:type="paragraph" w:customStyle="1" w:styleId="2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正文文本 Char"/>
    <w:basedOn w:val="20"/>
    <w:qFormat/>
    <w:uiPriority w:val="0"/>
    <w:rPr>
      <w:kern w:val="2"/>
      <w:sz w:val="21"/>
      <w:szCs w:val="24"/>
    </w:rPr>
  </w:style>
  <w:style w:type="character" w:customStyle="1" w:styleId="26">
    <w:name w:val="正文文本 Char1"/>
    <w:basedOn w:val="20"/>
    <w:link w:val="6"/>
    <w:qFormat/>
    <w:uiPriority w:val="0"/>
    <w:rPr>
      <w:kern w:val="2"/>
      <w:sz w:val="21"/>
      <w:szCs w:val="24"/>
    </w:rPr>
  </w:style>
  <w:style w:type="character" w:customStyle="1" w:styleId="27">
    <w:name w:val="标题 1 Char"/>
    <w:link w:val="3"/>
    <w:qFormat/>
    <w:uiPriority w:val="0"/>
    <w:rPr>
      <w:b/>
      <w:kern w:val="44"/>
      <w:sz w:val="44"/>
    </w:rPr>
  </w:style>
  <w:style w:type="character" w:customStyle="1" w:styleId="28">
    <w:name w:val="样式 四号"/>
    <w:qFormat/>
    <w:uiPriority w:val="0"/>
    <w:rPr>
      <w:sz w:val="28"/>
    </w:rPr>
  </w:style>
  <w:style w:type="character" w:customStyle="1" w:styleId="29">
    <w:name w:val="页眉 Char"/>
    <w:basedOn w:val="20"/>
    <w:link w:val="15"/>
    <w:qFormat/>
    <w:uiPriority w:val="0"/>
    <w:rPr>
      <w:rFonts w:ascii="Times New Roman" w:hAnsi="Times New Roman" w:eastAsia="仿宋_GB2312"/>
      <w:kern w:val="2"/>
      <w:sz w:val="18"/>
      <w:szCs w:val="18"/>
    </w:rPr>
  </w:style>
  <w:style w:type="character" w:customStyle="1" w:styleId="30">
    <w:name w:val="页脚 Char"/>
    <w:basedOn w:val="20"/>
    <w:link w:val="14"/>
    <w:qFormat/>
    <w:uiPriority w:val="99"/>
    <w:rPr>
      <w:rFonts w:ascii="Times New Roman" w:hAnsi="Times New Roman" w:eastAsia="仿宋_GB2312"/>
      <w:kern w:val="2"/>
      <w:sz w:val="18"/>
      <w:szCs w:val="18"/>
    </w:rPr>
  </w:style>
  <w:style w:type="character" w:customStyle="1" w:styleId="31">
    <w:name w:val="批注框文本 Char"/>
    <w:basedOn w:val="20"/>
    <w:link w:val="13"/>
    <w:qFormat/>
    <w:uiPriority w:val="0"/>
    <w:rPr>
      <w:rFonts w:ascii="Times New Roman" w:hAnsi="Times New Roman" w:eastAsia="仿宋_GB2312"/>
      <w:kern w:val="2"/>
      <w:sz w:val="18"/>
      <w:szCs w:val="18"/>
    </w:rPr>
  </w:style>
  <w:style w:type="character" w:customStyle="1" w:styleId="32">
    <w:name w:val="报告书正文 Char"/>
    <w:link w:val="33"/>
    <w:qFormat/>
    <w:uiPriority w:val="0"/>
    <w:rPr>
      <w:rFonts w:ascii="Times New Roman" w:hAnsi="Times New Roman"/>
      <w:sz w:val="24"/>
      <w:szCs w:val="21"/>
    </w:rPr>
  </w:style>
  <w:style w:type="paragraph" w:customStyle="1" w:styleId="33">
    <w:name w:val="报告书正文"/>
    <w:basedOn w:val="11"/>
    <w:link w:val="32"/>
    <w:qFormat/>
    <w:uiPriority w:val="0"/>
    <w:pPr>
      <w:widowControl/>
      <w:spacing w:line="360" w:lineRule="auto"/>
      <w:ind w:firstLine="480" w:firstLineChars="200"/>
    </w:pPr>
    <w:rPr>
      <w:rFonts w:ascii="Times New Roman" w:hAnsi="Times New Roman" w:cs="Times New Roman"/>
      <w:kern w:val="0"/>
      <w:sz w:val="24"/>
    </w:rPr>
  </w:style>
  <w:style w:type="character" w:customStyle="1" w:styleId="34">
    <w:name w:val="纯文本 Char"/>
    <w:basedOn w:val="20"/>
    <w:link w:val="11"/>
    <w:qFormat/>
    <w:uiPriority w:val="0"/>
    <w:rPr>
      <w:rFonts w:ascii="宋体" w:hAnsi="Courier New" w:cs="Courier New"/>
      <w:kern w:val="2"/>
      <w:sz w:val="21"/>
      <w:szCs w:val="21"/>
    </w:rPr>
  </w:style>
  <w:style w:type="character" w:customStyle="1" w:styleId="35">
    <w:name w:val="表内内容 Char Char"/>
    <w:link w:val="36"/>
    <w:qFormat/>
    <w:uiPriority w:val="0"/>
    <w:rPr>
      <w:rFonts w:ascii="Times New Roman" w:hAnsi="Times New Roman"/>
      <w:kern w:val="2"/>
      <w:sz w:val="21"/>
      <w:szCs w:val="28"/>
    </w:rPr>
  </w:style>
  <w:style w:type="paragraph" w:customStyle="1" w:styleId="36">
    <w:name w:val="表内内容"/>
    <w:basedOn w:val="1"/>
    <w:link w:val="35"/>
    <w:qFormat/>
    <w:uiPriority w:val="0"/>
    <w:pPr>
      <w:adjustRightInd w:val="0"/>
      <w:spacing w:line="240" w:lineRule="auto"/>
      <w:jc w:val="center"/>
    </w:pPr>
    <w:rPr>
      <w:rFonts w:eastAsia="宋体"/>
      <w:sz w:val="21"/>
      <w:szCs w:val="28"/>
    </w:rPr>
  </w:style>
  <w:style w:type="character" w:customStyle="1" w:styleId="37">
    <w:name w:val="正文首行缩进 Char"/>
    <w:basedOn w:val="26"/>
    <w:link w:val="17"/>
    <w:qFormat/>
    <w:uiPriority w:val="0"/>
    <w:rPr>
      <w:rFonts w:ascii="Times New Roman" w:hAnsi="Times New Roman" w:eastAsia="仿宋_GB2312"/>
      <w:kern w:val="2"/>
      <w:sz w:val="32"/>
      <w:szCs w:val="24"/>
    </w:rPr>
  </w:style>
  <w:style w:type="character" w:customStyle="1" w:styleId="38">
    <w:name w:val="！正文 Char"/>
    <w:link w:val="39"/>
    <w:qFormat/>
    <w:uiPriority w:val="0"/>
    <w:rPr>
      <w:rFonts w:ascii="Times New Roman" w:hAnsi="Times New Roman" w:eastAsia="Times New Roman"/>
      <w:sz w:val="24"/>
    </w:rPr>
  </w:style>
  <w:style w:type="paragraph" w:customStyle="1" w:styleId="39">
    <w:name w:val="！正文"/>
    <w:basedOn w:val="1"/>
    <w:link w:val="38"/>
    <w:qFormat/>
    <w:uiPriority w:val="0"/>
    <w:pPr>
      <w:spacing w:line="360" w:lineRule="auto"/>
      <w:ind w:firstLine="643" w:firstLineChars="200"/>
    </w:pPr>
    <w:rPr>
      <w:rFonts w:eastAsia="Times New Roman"/>
      <w:kern w:val="0"/>
      <w:sz w:val="24"/>
      <w:szCs w:val="20"/>
    </w:rPr>
  </w:style>
  <w:style w:type="paragraph" w:customStyle="1" w:styleId="40">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1">
    <w:name w:val="标题 Char"/>
    <w:link w:val="16"/>
    <w:qFormat/>
    <w:uiPriority w:val="0"/>
    <w:rPr>
      <w:rFonts w:ascii="Cambria" w:hAnsi="Cambria"/>
      <w:b/>
      <w:bCs/>
      <w:kern w:val="2"/>
      <w:sz w:val="32"/>
      <w:szCs w:val="32"/>
    </w:rPr>
  </w:style>
  <w:style w:type="character" w:customStyle="1" w:styleId="42">
    <w:name w:val="标题 Char1"/>
    <w:basedOn w:val="20"/>
    <w:qFormat/>
    <w:uiPriority w:val="0"/>
    <w:rPr>
      <w:rFonts w:asciiTheme="majorHAnsi" w:hAnsiTheme="majorHAnsi" w:cstheme="majorBidi"/>
      <w:b/>
      <w:bCs/>
      <w:kern w:val="2"/>
      <w:sz w:val="32"/>
      <w:szCs w:val="32"/>
    </w:rPr>
  </w:style>
  <w:style w:type="paragraph" w:customStyle="1" w:styleId="43">
    <w:name w:val="1-正文"/>
    <w:basedOn w:val="1"/>
    <w:qFormat/>
    <w:uiPriority w:val="0"/>
    <w:pPr>
      <w:spacing w:line="360" w:lineRule="auto"/>
      <w:ind w:firstLine="200" w:firstLineChars="200"/>
    </w:pPr>
    <w:rPr>
      <w:rFonts w:eastAsia="宋体"/>
      <w:sz w:val="21"/>
      <w:szCs w:val="22"/>
    </w:rPr>
  </w:style>
  <w:style w:type="paragraph" w:customStyle="1" w:styleId="4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正文1"/>
    <w:basedOn w:val="1"/>
    <w:qFormat/>
    <w:uiPriority w:val="0"/>
    <w:pPr>
      <w:suppressAutoHyphens/>
      <w:bidi w:val="0"/>
      <w:adjustRightInd w:val="0"/>
      <w:spacing w:line="560" w:lineRule="exact"/>
      <w:ind w:firstLine="640" w:firstLineChars="200"/>
      <w:textAlignment w:val="baseline"/>
    </w:pPr>
    <w:rPr>
      <w:rFonts w:ascii="仿宋_GB2312" w:hAnsi="仿宋_GB2312" w:eastAsia="仿宋_GB2312" w:cs="Times New Roman"/>
      <w:snapToGrid w:val="0"/>
      <w:color w:val="auto"/>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A7724-1E9E-49B0-BD62-64E799243C7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2272</Words>
  <Characters>2475</Characters>
  <Lines>14</Lines>
  <Paragraphs>3</Paragraphs>
  <TotalTime>40</TotalTime>
  <ScaleCrop>false</ScaleCrop>
  <LinksUpToDate>false</LinksUpToDate>
  <CharactersWithSpaces>2538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2023-11-09T09:47:37Z</cp:lastPrinted>
  <dcterms:modified xsi:type="dcterms:W3CDTF">2023-11-09T09:47:50Z</dcterms:modified>
  <dc:title>鄯政环〔2014〕号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DDDDBFB12C6E422DBA4D4FD33AF4ACD8_13</vt:lpwstr>
  </property>
</Properties>
</file>