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600" w:lineRule="exact"/>
        <w:jc w:val="both"/>
        <w:textAlignment w:val="auto"/>
        <w:rPr>
          <w:rFonts w:ascii="仿宋_GB2312" w:hAnsi="宋体" w:cs="宋体"/>
          <w:color w:val="000000"/>
          <w:kern w:val="0"/>
          <w:szCs w:val="32"/>
        </w:rPr>
      </w:pPr>
    </w:p>
    <w:p>
      <w:pPr>
        <w:pageBreakBefore w:val="0"/>
        <w:kinsoku/>
        <w:wordWrap/>
        <w:overflowPunct/>
        <w:topLinePunct w:val="0"/>
        <w:autoSpaceDE/>
        <w:autoSpaceDN/>
        <w:bidi w:val="0"/>
        <w:adjustRightInd/>
        <w:snapToGrid/>
        <w:spacing w:line="600" w:lineRule="exact"/>
        <w:jc w:val="right"/>
        <w:textAlignment w:val="auto"/>
        <w:rPr>
          <w:rFonts w:ascii="仿宋_GB2312" w:hAnsi="宋体" w:cs="宋体"/>
          <w:color w:val="000000"/>
          <w:kern w:val="0"/>
          <w:szCs w:val="32"/>
        </w:rPr>
      </w:pPr>
    </w:p>
    <w:p>
      <w:pPr>
        <w:keepNext w:val="0"/>
        <w:keepLines w:val="0"/>
        <w:pageBreakBefore w:val="0"/>
        <w:kinsoku/>
        <w:wordWrap/>
        <w:overflowPunct/>
        <w:topLinePunct w:val="0"/>
        <w:autoSpaceDE/>
        <w:autoSpaceDN/>
        <w:bidi w:val="0"/>
        <w:adjustRightInd/>
        <w:snapToGrid/>
        <w:spacing w:line="600" w:lineRule="exact"/>
        <w:jc w:val="right"/>
        <w:textAlignment w:val="auto"/>
        <w:rPr>
          <w:rFonts w:ascii="仿宋_GB2312"/>
          <w:szCs w:val="32"/>
        </w:rPr>
      </w:pPr>
      <w:r>
        <w:rPr>
          <w:rFonts w:hint="eastAsia" w:ascii="仿宋_GB2312" w:hAnsi="宋体" w:cs="宋体"/>
          <w:color w:val="000000"/>
          <w:kern w:val="0"/>
          <w:szCs w:val="32"/>
        </w:rPr>
        <w:t>吐市环监函〔2023〕</w:t>
      </w:r>
      <w:r>
        <w:rPr>
          <w:rFonts w:hint="eastAsia" w:ascii="仿宋_GB2312" w:hAnsi="宋体" w:cs="宋体"/>
          <w:color w:val="000000"/>
          <w:kern w:val="0"/>
          <w:szCs w:val="32"/>
          <w:lang w:val="en-US" w:eastAsia="zh-CN"/>
        </w:rPr>
        <w:t>69</w:t>
      </w:r>
      <w:r>
        <w:rPr>
          <w:rFonts w:hint="eastAsia" w:ascii="仿宋_GB2312" w:hAnsi="宋体" w:cs="宋体"/>
          <w:color w:val="000000"/>
          <w:kern w:val="0"/>
          <w:szCs w:val="32"/>
        </w:rPr>
        <w:t>号</w:t>
      </w:r>
    </w:p>
    <w:p>
      <w:pPr>
        <w:pageBreakBefore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Cs/>
          <w:color w:val="000000"/>
          <w:spacing w:val="-6"/>
          <w:sz w:val="44"/>
          <w:szCs w:val="44"/>
        </w:rPr>
      </w:pPr>
    </w:p>
    <w:p>
      <w:pPr>
        <w:pageBreakBefore w:val="0"/>
        <w:kinsoku/>
        <w:wordWrap/>
        <w:overflowPunct/>
        <w:topLinePunct w:val="0"/>
        <w:autoSpaceDE/>
        <w:autoSpaceDN/>
        <w:bidi w:val="0"/>
        <w:adjustRightInd/>
        <w:snapToGrid/>
        <w:spacing w:line="600" w:lineRule="exact"/>
        <w:jc w:val="center"/>
        <w:textAlignment w:val="auto"/>
        <w:outlineLvl w:val="0"/>
        <w:rPr>
          <w:rFonts w:ascii="方正小标宋简体" w:hAnsi="方正小标宋简体" w:eastAsia="方正小标宋简体" w:cs="方正小标宋简体"/>
          <w:bCs/>
          <w:color w:val="000000"/>
          <w:spacing w:val="-6"/>
          <w:sz w:val="44"/>
          <w:szCs w:val="44"/>
        </w:rPr>
      </w:pPr>
      <w:r>
        <w:rPr>
          <w:rFonts w:hint="eastAsia" w:ascii="方正小标宋简体" w:hAnsi="方正小标宋简体" w:eastAsia="方正小标宋简体" w:cs="方正小标宋简体"/>
          <w:bCs/>
          <w:color w:val="000000"/>
          <w:spacing w:val="-6"/>
          <w:sz w:val="44"/>
          <w:szCs w:val="44"/>
        </w:rPr>
        <w:t>关于</w:t>
      </w:r>
      <w:r>
        <w:rPr>
          <w:rFonts w:hint="eastAsia" w:ascii="方正小标宋简体" w:hAnsi="方正小标宋简体" w:eastAsia="方正小标宋简体" w:cs="方正小标宋简体"/>
          <w:bCs/>
          <w:color w:val="000000"/>
          <w:spacing w:val="-6"/>
          <w:sz w:val="44"/>
          <w:szCs w:val="44"/>
          <w:lang w:eastAsia="zh-CN"/>
        </w:rPr>
        <w:t>新疆托克逊县天彩金矿现有采坑区域地质环境治理恢复工程</w:t>
      </w:r>
      <w:r>
        <w:rPr>
          <w:rFonts w:hint="eastAsia" w:ascii="方正小标宋简体" w:hAnsi="方正小标宋简体" w:eastAsia="方正小标宋简体" w:cs="方正小标宋简体"/>
          <w:bCs/>
          <w:color w:val="000000"/>
          <w:spacing w:val="-6"/>
          <w:sz w:val="44"/>
          <w:szCs w:val="44"/>
        </w:rPr>
        <w:t>环境影响报告表的批复</w:t>
      </w:r>
    </w:p>
    <w:p>
      <w:pPr>
        <w:pStyle w:val="17"/>
        <w:pageBreakBefore w:val="0"/>
        <w:kinsoku/>
        <w:wordWrap/>
        <w:overflowPunct/>
        <w:topLinePunct w:val="0"/>
        <w:autoSpaceDE/>
        <w:autoSpaceDN/>
        <w:bidi w:val="0"/>
        <w:adjustRightInd/>
        <w:snapToGrid/>
        <w:spacing w:after="0" w:line="600" w:lineRule="exact"/>
        <w:ind w:firstLine="320"/>
        <w:textAlignment w:val="auto"/>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Cs w:val="32"/>
        </w:rPr>
      </w:pPr>
      <w:r>
        <w:rPr>
          <w:rFonts w:hint="eastAsia" w:ascii="仿宋_GB2312" w:hAnsi="仿宋_GB2312" w:cs="仿宋_GB2312"/>
          <w:b w:val="0"/>
          <w:bCs w:val="0"/>
          <w:i w:val="0"/>
          <w:iCs w:val="0"/>
          <w:caps w:val="0"/>
          <w:color w:val="000000"/>
          <w:spacing w:val="0"/>
          <w:kern w:val="0"/>
          <w:sz w:val="32"/>
          <w:szCs w:val="32"/>
          <w:shd w:val="clear" w:color="auto" w:fill="FFFFFF"/>
          <w:lang w:val="en-US" w:eastAsia="zh-CN" w:bidi="ar"/>
        </w:rPr>
        <w:t>新疆托克逊县厚旺金矿有限责任公司</w:t>
      </w:r>
      <w:r>
        <w:rPr>
          <w:rFonts w:hint="eastAsia" w:ascii="仿宋_GB2312" w:hAnsi="仿宋_GB2312" w:eastAsia="仿宋_GB2312" w:cs="仿宋_GB231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你单位《关于&lt;</w:t>
      </w:r>
      <w:r>
        <w:rPr>
          <w:rFonts w:hint="eastAsia" w:ascii="仿宋_GB2312" w:hAnsi="仿宋_GB2312" w:cs="仿宋_GB2312"/>
          <w:szCs w:val="21"/>
          <w:lang w:eastAsia="zh-CN"/>
        </w:rPr>
        <w:t>新疆托克逊县天彩金矿现有采坑区域地质环境治理恢复工程</w:t>
      </w:r>
      <w:r>
        <w:rPr>
          <w:rFonts w:hint="eastAsia" w:ascii="仿宋_GB2312" w:hAnsi="仿宋_GB2312" w:eastAsia="仿宋_GB2312" w:cs="仿宋_GB2312"/>
          <w:szCs w:val="32"/>
        </w:rPr>
        <w:t>环境影响报告表&gt;申请审批的请示》及相关附件收悉。经研究，批复如下：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一、</w:t>
      </w:r>
      <w:r>
        <w:rPr>
          <w:rFonts w:hint="eastAsia" w:ascii="仿宋_GB2312" w:hAnsi="仿宋_GB2312" w:cs="仿宋_GB2312"/>
          <w:szCs w:val="21"/>
          <w:lang w:eastAsia="zh-CN"/>
        </w:rPr>
        <w:t>新疆托克逊县天彩金矿现有采坑区域地质环境治理恢复工程</w:t>
      </w:r>
      <w:r>
        <w:rPr>
          <w:rFonts w:hint="eastAsia" w:ascii="仿宋_GB2312" w:hAnsi="仿宋_GB2312" w:eastAsia="仿宋_GB2312" w:cs="仿宋_GB2312"/>
          <w:szCs w:val="32"/>
        </w:rPr>
        <w:t>位于</w:t>
      </w:r>
      <w:r>
        <w:rPr>
          <w:color w:val="auto"/>
        </w:rPr>
        <w:t>新疆维吾尔</w:t>
      </w:r>
      <w:r>
        <w:rPr>
          <w:rFonts w:hint="eastAsia"/>
          <w:color w:val="auto"/>
        </w:rPr>
        <w:t>自治区</w:t>
      </w:r>
      <w:r>
        <w:rPr>
          <w:color w:val="auto"/>
        </w:rPr>
        <w:t>吐鲁番市</w:t>
      </w:r>
      <w:r>
        <w:rPr>
          <w:rFonts w:hint="eastAsia"/>
          <w:color w:val="auto"/>
        </w:rPr>
        <w:t>托克逊县库米什镇</w:t>
      </w:r>
      <w:bookmarkStart w:id="0" w:name="_GoBack"/>
      <w:bookmarkEnd w:id="0"/>
      <w:r>
        <w:rPr>
          <w:rFonts w:hint="eastAsia" w:ascii="仿宋_GB2312" w:hAnsi="仿宋_GB2312" w:eastAsia="仿宋_GB2312" w:cs="仿宋_GB2312"/>
          <w:szCs w:val="32"/>
        </w:rPr>
        <w:t>。本项目建设性质为新建，</w:t>
      </w:r>
      <w:r>
        <w:rPr>
          <w:rFonts w:hint="eastAsia"/>
          <w:color w:val="auto"/>
        </w:rPr>
        <w:t>对新疆托克逊县天彩金矿现有采坑区域存在的地质灾害隐患进行治理，治理面积为58228m</w:t>
      </w:r>
      <w:r>
        <w:rPr>
          <w:rFonts w:hint="eastAsia"/>
          <w:color w:val="auto"/>
          <w:vertAlign w:val="superscript"/>
        </w:rPr>
        <w:t>2</w:t>
      </w:r>
      <w:r>
        <w:rPr>
          <w:rFonts w:hint="eastAsia"/>
          <w:color w:val="auto"/>
        </w:rPr>
        <w:t>，对治理区采取“削方工程—回填压实—土地平整”的顺序进行施工，消除崩塌/滑坡地质灾害。治理工程量为：削方回填方量174292m</w:t>
      </w:r>
      <w:r>
        <w:rPr>
          <w:rFonts w:hint="eastAsia"/>
          <w:color w:val="auto"/>
          <w:vertAlign w:val="superscript"/>
        </w:rPr>
        <w:t>3</w:t>
      </w:r>
      <w:r>
        <w:rPr>
          <w:rFonts w:hint="eastAsia"/>
          <w:color w:val="auto"/>
        </w:rPr>
        <w:t>，土地平整工作量17977m</w:t>
      </w:r>
      <w:r>
        <w:rPr>
          <w:rFonts w:hint="eastAsia"/>
          <w:color w:val="auto"/>
          <w:vertAlign w:val="superscript"/>
        </w:rPr>
        <w:t>3</w:t>
      </w:r>
      <w:r>
        <w:rPr>
          <w:rFonts w:hint="eastAsia"/>
          <w:color w:val="auto"/>
        </w:rPr>
        <w:t>，削方量全部用于回填矿坑，无弃土。</w:t>
      </w:r>
      <w:r>
        <w:rPr>
          <w:rFonts w:hint="eastAsia" w:ascii="仿宋_GB2312" w:hAnsi="仿宋_GB2312" w:eastAsia="仿宋_GB2312" w:cs="仿宋_GB2312"/>
          <w:szCs w:val="32"/>
        </w:rPr>
        <w:t>总投资</w:t>
      </w:r>
      <w:r>
        <w:rPr>
          <w:rFonts w:hint="eastAsia" w:ascii="仿宋_GB2312" w:hAnsi="仿宋_GB2312" w:cs="仿宋_GB2312"/>
          <w:szCs w:val="32"/>
          <w:lang w:val="en-US" w:eastAsia="zh-CN"/>
        </w:rPr>
        <w:t>2071.78</w:t>
      </w:r>
      <w:r>
        <w:rPr>
          <w:rFonts w:hint="eastAsia" w:ascii="仿宋_GB2312" w:hAnsi="仿宋_GB2312" w:eastAsia="仿宋_GB2312" w:cs="仿宋_GB2312"/>
          <w:szCs w:val="32"/>
        </w:rPr>
        <w:t>万元，其中环保投资</w:t>
      </w:r>
      <w:r>
        <w:rPr>
          <w:rFonts w:hint="eastAsia" w:ascii="仿宋_GB2312" w:hAnsi="仿宋_GB2312" w:cs="仿宋_GB2312"/>
          <w:szCs w:val="32"/>
          <w:lang w:val="en-US" w:eastAsia="zh-CN"/>
        </w:rPr>
        <w:t>11.6</w:t>
      </w:r>
      <w:r>
        <w:rPr>
          <w:rFonts w:hint="eastAsia" w:ascii="仿宋_GB2312" w:hAnsi="仿宋_GB2312" w:eastAsia="仿宋_GB2312" w:cs="仿宋_GB2312"/>
          <w:szCs w:val="32"/>
        </w:rPr>
        <w:t>万元，占总投资的</w:t>
      </w:r>
      <w:r>
        <w:rPr>
          <w:rFonts w:hint="eastAsia" w:ascii="仿宋_GB2312" w:hAnsi="仿宋_GB2312" w:cs="仿宋_GB2312"/>
          <w:szCs w:val="32"/>
          <w:lang w:val="en-US" w:eastAsia="zh-CN"/>
        </w:rPr>
        <w:t>0.6</w:t>
      </w:r>
      <w:r>
        <w:rPr>
          <w:rFonts w:hint="eastAsia" w:ascii="仿宋_GB2312" w:hAnsi="仿宋_GB2312" w:eastAsia="仿宋_GB2312" w:cs="仿宋_GB231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仿宋_GB2312" w:cs="仿宋_GB2312"/>
          <w:szCs w:val="32"/>
          <w:lang w:val="en-US" w:eastAsia="zh-CN"/>
        </w:rPr>
        <w:t>二、</w:t>
      </w:r>
      <w:r>
        <w:rPr>
          <w:rFonts w:hint="eastAsia" w:ascii="仿宋_GB2312" w:hAnsi="仿宋_GB2312" w:eastAsia="仿宋_GB2312" w:cs="仿宋_GB2312"/>
          <w:szCs w:val="32"/>
        </w:rPr>
        <w:t>根据</w:t>
      </w:r>
      <w:r>
        <w:rPr>
          <w:rFonts w:hint="eastAsia" w:ascii="仿宋_GB2312" w:hAnsi="仿宋_GB2312" w:cs="仿宋_GB2312"/>
          <w:szCs w:val="32"/>
          <w:lang w:eastAsia="zh-CN"/>
        </w:rPr>
        <w:t>吐鲁番天熙环保技术咨询有限公司</w:t>
      </w:r>
      <w:r>
        <w:rPr>
          <w:rFonts w:hint="eastAsia" w:ascii="仿宋_GB2312" w:hAnsi="仿宋_GB2312" w:eastAsia="仿宋_GB2312" w:cs="仿宋_GB2312"/>
          <w:szCs w:val="32"/>
        </w:rPr>
        <w:t>编制的《</w:t>
      </w:r>
      <w:r>
        <w:rPr>
          <w:rFonts w:hint="eastAsia" w:ascii="仿宋_GB2312" w:hAnsi="仿宋_GB2312" w:cs="仿宋_GB2312"/>
          <w:szCs w:val="21"/>
          <w:lang w:eastAsia="zh-CN"/>
        </w:rPr>
        <w:t>新疆托克逊县天彩金矿现有采坑区域地质环境治理恢复工程</w:t>
      </w:r>
      <w:r>
        <w:rPr>
          <w:rFonts w:hint="eastAsia" w:ascii="仿宋_GB2312" w:hAnsi="仿宋_GB2312" w:eastAsia="仿宋_GB2312" w:cs="仿宋_GB2312"/>
          <w:szCs w:val="32"/>
        </w:rPr>
        <w:t>环境影响报告表》评价结论、</w:t>
      </w:r>
      <w:r>
        <w:rPr>
          <w:rFonts w:hint="eastAsia" w:ascii="仿宋_GB2312" w:hAnsi="仿宋_GB2312" w:cs="仿宋_GB2312"/>
          <w:szCs w:val="32"/>
          <w:lang w:val="en-US" w:eastAsia="zh-CN"/>
        </w:rPr>
        <w:t>吐鲁番市生态环境局托克逊县</w:t>
      </w:r>
      <w:r>
        <w:rPr>
          <w:rFonts w:hint="eastAsia" w:ascii="仿宋_GB2312" w:hAnsi="仿宋_GB2312" w:eastAsia="仿宋_GB2312" w:cs="仿宋_GB2312"/>
          <w:szCs w:val="32"/>
        </w:rPr>
        <w:t>分局《关于</w:t>
      </w:r>
      <w:r>
        <w:rPr>
          <w:rFonts w:hint="eastAsia" w:ascii="仿宋_GB2312" w:hAnsi="仿宋_GB2312" w:cs="仿宋_GB2312"/>
          <w:szCs w:val="21"/>
          <w:lang w:eastAsia="zh-CN"/>
        </w:rPr>
        <w:t>新疆托克逊县天彩金矿现有采坑区域地质环境治理恢复工程</w:t>
      </w:r>
      <w:r>
        <w:rPr>
          <w:rFonts w:hint="eastAsia" w:ascii="仿宋_GB2312" w:hAnsi="仿宋_GB2312" w:eastAsia="仿宋_GB2312" w:cs="仿宋_GB2312"/>
          <w:szCs w:val="32"/>
        </w:rPr>
        <w:t>环境影响报告表的初审意见》</w:t>
      </w:r>
      <w:r>
        <w:rPr>
          <w:rFonts w:hint="eastAsia" w:ascii="仿宋_GB2312" w:hAnsi="仿宋_GB2312" w:eastAsia="仿宋_GB2312" w:cs="仿宋_GB2312"/>
          <w:color w:val="auto"/>
          <w:szCs w:val="32"/>
        </w:rPr>
        <w:t>（</w:t>
      </w:r>
      <w:r>
        <w:rPr>
          <w:rFonts w:hint="eastAsia" w:ascii="仿宋_GB2312" w:hAnsi="仿宋_GB2312" w:cs="仿宋_GB2312"/>
          <w:color w:val="auto"/>
          <w:szCs w:val="32"/>
          <w:lang w:val="en-US" w:eastAsia="zh-CN"/>
        </w:rPr>
        <w:t>托</w:t>
      </w:r>
      <w:r>
        <w:rPr>
          <w:rFonts w:hint="eastAsia" w:ascii="仿宋_GB2312" w:hAnsi="仿宋_GB2312" w:eastAsia="仿宋_GB2312" w:cs="仿宋_GB2312"/>
          <w:color w:val="auto"/>
          <w:szCs w:val="32"/>
          <w:lang w:eastAsia="zh-CN"/>
        </w:rPr>
        <w:t>环监函〔</w:t>
      </w:r>
      <w:r>
        <w:rPr>
          <w:rFonts w:hint="eastAsia" w:ascii="仿宋_GB2312" w:hAnsi="仿宋_GB2312" w:eastAsia="仿宋_GB2312" w:cs="仿宋_GB2312"/>
          <w:color w:val="auto"/>
          <w:szCs w:val="32"/>
          <w:lang w:val="en-US" w:eastAsia="zh-CN"/>
        </w:rPr>
        <w:t>2023</w:t>
      </w:r>
      <w:r>
        <w:rPr>
          <w:rFonts w:hint="eastAsia" w:ascii="仿宋_GB2312" w:hAnsi="仿宋_GB2312" w:eastAsia="仿宋_GB2312" w:cs="仿宋_GB2312"/>
          <w:color w:val="auto"/>
          <w:szCs w:val="32"/>
          <w:lang w:eastAsia="zh-CN"/>
        </w:rPr>
        <w:t>〕</w:t>
      </w:r>
      <w:r>
        <w:rPr>
          <w:rFonts w:hint="eastAsia" w:ascii="仿宋_GB2312" w:hAnsi="仿宋_GB2312" w:cs="仿宋_GB2312"/>
          <w:color w:val="auto"/>
          <w:szCs w:val="32"/>
          <w:highlight w:val="none"/>
          <w:lang w:val="en-US" w:eastAsia="zh-CN"/>
        </w:rPr>
        <w:t>30</w:t>
      </w:r>
      <w:r>
        <w:rPr>
          <w:rFonts w:hint="eastAsia" w:ascii="仿宋_GB2312" w:hAnsi="仿宋_GB2312" w:eastAsia="仿宋_GB2312" w:cs="仿宋_GB2312"/>
          <w:szCs w:val="32"/>
        </w:rPr>
        <w:t>号），</w:t>
      </w:r>
      <w:r>
        <w:rPr>
          <w:rFonts w:hint="eastAsia" w:ascii="仿宋_GB2312" w:eastAsia="仿宋_GB2312"/>
          <w:color w:val="auto"/>
          <w:sz w:val="32"/>
          <w:szCs w:val="32"/>
        </w:rPr>
        <w:t>该项目在落实《报告表》提出的各项环境保护措施后，项目所产生的不利影响可以得到缓解和控制。从环境保护的角度，原则同意该项目按照《报告表》中所列项目地点、性质、规模及拟采取的各</w:t>
      </w:r>
      <w:r>
        <w:rPr>
          <w:rFonts w:hint="eastAsia" w:ascii="仿宋_GB2312" w:hAnsi="Times New Roman" w:eastAsia="仿宋_GB2312" w:cs="Times New Roman"/>
          <w:color w:val="auto"/>
          <w:sz w:val="32"/>
          <w:szCs w:val="32"/>
        </w:rPr>
        <w:t>项环境保护措施进行建设。</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Cs w:val="32"/>
        </w:rPr>
      </w:pPr>
      <w:r>
        <w:rPr>
          <w:rFonts w:hint="eastAsia" w:ascii="仿宋_GB2312" w:hAnsi="仿宋_GB2312" w:cs="仿宋_GB2312"/>
          <w:kern w:val="0"/>
          <w:szCs w:val="32"/>
          <w:lang w:val="en-US" w:eastAsia="zh-CN"/>
        </w:rPr>
        <w:t>三、</w:t>
      </w:r>
      <w:r>
        <w:rPr>
          <w:rFonts w:hint="eastAsia" w:ascii="仿宋_GB2312" w:hAnsi="仿宋_GB2312" w:eastAsia="仿宋_GB2312" w:cs="仿宋_GB2312"/>
          <w:kern w:val="0"/>
          <w:szCs w:val="32"/>
        </w:rPr>
        <w:t>在项目建设、运行和环境管理中要认真落实《报告表》提出的各项环保要求，严格执行环保“三同时”制度，并重点做好以下工作：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（一）落实</w:t>
      </w:r>
      <w:r>
        <w:rPr>
          <w:rFonts w:hint="eastAsia"/>
          <w:color w:val="auto"/>
        </w:rPr>
        <w:t>生态环境措施</w:t>
      </w:r>
      <w:r>
        <w:rPr>
          <w:rFonts w:hint="eastAsia" w:ascii="仿宋_GB2312" w:hAnsi="仿宋_GB2312" w:eastAsia="仿宋_GB2312" w:cs="仿宋_GB2312"/>
        </w:rPr>
        <w:t>。</w:t>
      </w:r>
      <w:r>
        <w:rPr>
          <w:rFonts w:hint="eastAsia"/>
          <w:color w:val="auto"/>
        </w:rPr>
        <w:t>施工过程中须严格控制施工作业面，采取水土保持措施，做好施工规划，合理布局施工总图，分片区施工</w:t>
      </w:r>
      <w:r>
        <w:rPr>
          <w:rFonts w:hint="eastAsia"/>
          <w:color w:val="auto"/>
          <w:lang w:eastAsia="zh-CN"/>
        </w:rPr>
        <w:t>，</w:t>
      </w:r>
      <w:r>
        <w:rPr>
          <w:rFonts w:hint="eastAsia"/>
          <w:color w:val="auto"/>
        </w:rPr>
        <w:t>减少临时占地和重复施工，尽量做到小范围内的土方平衡，减少土方的堆放时间，施工取土时采取平行作业，边开挖、边平整</w:t>
      </w:r>
      <w:r>
        <w:rPr>
          <w:rFonts w:hint="eastAsia"/>
          <w:color w:val="auto"/>
          <w:lang w:eastAsia="zh-CN"/>
        </w:rPr>
        <w:t>。</w:t>
      </w:r>
      <w:r>
        <w:rPr>
          <w:rFonts w:hint="eastAsia"/>
          <w:color w:val="auto"/>
        </w:rPr>
        <w:t>严禁非法猎捕鸟类、兽类等野生动物</w:t>
      </w:r>
      <w:r>
        <w:rPr>
          <w:rFonts w:hint="eastAsia" w:ascii="仿宋_GB2312" w:hAnsi="仿宋_GB2312" w:eastAsia="仿宋_GB2312" w:cs="仿宋_GB231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rPr>
        <w:t>（二）落实</w:t>
      </w:r>
      <w:r>
        <w:rPr>
          <w:rFonts w:hint="eastAsia" w:ascii="仿宋_GB2312" w:hAnsi="仿宋_GB2312" w:cs="仿宋_GB2312"/>
          <w:kern w:val="0"/>
          <w:szCs w:val="32"/>
          <w:lang w:val="en-US" w:eastAsia="zh-CN"/>
        </w:rPr>
        <w:t>大气</w:t>
      </w:r>
      <w:r>
        <w:rPr>
          <w:rFonts w:hint="eastAsia" w:ascii="仿宋_GB2312" w:hAnsi="仿宋_GB2312" w:eastAsia="仿宋_GB2312" w:cs="仿宋_GB2312"/>
          <w:kern w:val="0"/>
          <w:szCs w:val="32"/>
        </w:rPr>
        <w:t>污染防治措施。</w:t>
      </w:r>
      <w:r>
        <w:rPr>
          <w:rFonts w:hint="eastAsia"/>
          <w:color w:val="auto"/>
        </w:rPr>
        <w:t>施工</w:t>
      </w:r>
      <w:r>
        <w:rPr>
          <w:rFonts w:hint="eastAsia"/>
          <w:color w:val="auto"/>
          <w:lang w:val="en-US" w:eastAsia="zh-CN"/>
        </w:rPr>
        <w:t>现场</w:t>
      </w:r>
      <w:r>
        <w:rPr>
          <w:rFonts w:hint="eastAsia"/>
          <w:color w:val="auto"/>
        </w:rPr>
        <w:t>洒水降尘，减少扬尘</w:t>
      </w:r>
      <w:r>
        <w:rPr>
          <w:rFonts w:hint="eastAsia" w:ascii="仿宋_GB2312" w:hAnsi="仿宋_GB2312" w:eastAsia="仿宋_GB2312" w:cs="仿宋_GB2312"/>
          <w:kern w:val="0"/>
          <w:szCs w:val="32"/>
          <w:lang w:eastAsia="zh-CN"/>
        </w:rPr>
        <w:t>。</w:t>
      </w:r>
      <w:r>
        <w:rPr>
          <w:rFonts w:hint="eastAsia"/>
          <w:color w:val="auto"/>
        </w:rPr>
        <w:t>合理安排施工工序，尽量避免在大风气象条件下施工。进行分片区施工，及时覆盖未施工区域，尽可能减少大面积施工，以减少扬尘产生。</w:t>
      </w:r>
      <w:r>
        <w:rPr>
          <w:rFonts w:hint="eastAsia"/>
          <w:color w:val="auto"/>
          <w:lang w:val="en-US" w:eastAsia="zh-CN"/>
        </w:rPr>
        <w:t>爆破作业采用潜孔爆破，爆破作业前后洒水降尘。机械及车辆</w:t>
      </w:r>
      <w:r>
        <w:rPr>
          <w:rFonts w:hint="eastAsia"/>
          <w:color w:val="auto"/>
        </w:rPr>
        <w:t>采用合格油品</w:t>
      </w:r>
      <w:r>
        <w:rPr>
          <w:rFonts w:hint="eastAsia"/>
          <w:color w:val="auto"/>
          <w:lang w:eastAsia="zh-CN"/>
        </w:rPr>
        <w:t>，</w:t>
      </w:r>
      <w:r>
        <w:rPr>
          <w:rFonts w:hint="eastAsia"/>
          <w:color w:val="auto"/>
        </w:rPr>
        <w:t>做好车辆设备维保工作</w:t>
      </w:r>
      <w:r>
        <w:rPr>
          <w:rFonts w:hint="eastAsia"/>
          <w:color w:val="auto"/>
          <w:lang w:eastAsia="zh-CN"/>
        </w:rPr>
        <w:t>，</w:t>
      </w:r>
      <w:r>
        <w:rPr>
          <w:rFonts w:hint="eastAsia"/>
          <w:color w:val="auto"/>
        </w:rPr>
        <w:t>采用低污染物排放</w:t>
      </w:r>
      <w:r>
        <w:rPr>
          <w:rFonts w:hint="eastAsia"/>
          <w:color w:val="auto"/>
          <w:lang w:val="en-US" w:eastAsia="zh-CN"/>
        </w:rPr>
        <w:t>机械</w:t>
      </w:r>
      <w:r>
        <w:rPr>
          <w:rFonts w:hint="eastAsia"/>
          <w:color w:val="auto"/>
        </w:rPr>
        <w:t>和车辆</w:t>
      </w:r>
      <w:r>
        <w:rPr>
          <w:rFonts w:hint="eastAsia"/>
          <w:color w:val="auto"/>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Cs w:val="32"/>
          <w:lang w:eastAsia="zh-CN"/>
        </w:rPr>
      </w:pPr>
      <w:r>
        <w:rPr>
          <w:rFonts w:hint="eastAsia" w:ascii="仿宋_GB2312" w:hAnsi="仿宋_GB2312" w:eastAsia="仿宋_GB2312" w:cs="仿宋_GB2312"/>
          <w:kern w:val="0"/>
          <w:szCs w:val="32"/>
        </w:rPr>
        <w:t>（三）落实水污染防治措施。</w:t>
      </w:r>
      <w:r>
        <w:rPr>
          <w:rFonts w:hint="eastAsia"/>
          <w:color w:val="auto"/>
        </w:rPr>
        <w:t>施工机械、车辆及设备清洗废水经隔油沉淀池处理后用于洒水降尘</w:t>
      </w:r>
      <w:r>
        <w:rPr>
          <w:rFonts w:hint="eastAsia"/>
          <w:color w:val="auto"/>
          <w:lang w:eastAsia="zh-CN"/>
        </w:rPr>
        <w:t>，</w:t>
      </w:r>
      <w:r>
        <w:rPr>
          <w:rFonts w:hint="eastAsia"/>
          <w:color w:val="auto"/>
        </w:rPr>
        <w:t>不外排。施工营地设置简易厕所，生活污水排入化粪池处理达到《污水综合排放标准》（GB8978-1996）三级标准后</w:t>
      </w:r>
      <w:r>
        <w:rPr>
          <w:rFonts w:hint="eastAsia"/>
          <w:color w:val="auto"/>
          <w:lang w:val="en-US" w:eastAsia="zh-CN"/>
        </w:rPr>
        <w:t>经</w:t>
      </w:r>
      <w:r>
        <w:rPr>
          <w:rFonts w:hint="eastAsia"/>
          <w:color w:val="auto"/>
        </w:rPr>
        <w:t>吸污车运至托克逊县污水处理厂处置。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eastAsia="仿宋_GB2312"/>
          <w:color w:val="auto"/>
          <w:lang w:eastAsia="zh-CN"/>
        </w:rPr>
      </w:pPr>
      <w:r>
        <w:rPr>
          <w:rFonts w:hint="eastAsia" w:ascii="仿宋_GB2312" w:hAnsi="仿宋_GB2312" w:eastAsia="仿宋_GB2312" w:cs="仿宋_GB2312"/>
          <w:kern w:val="0"/>
          <w:szCs w:val="32"/>
        </w:rPr>
        <w:t>（四）落实固体废物污染防治措施。</w:t>
      </w:r>
      <w:r>
        <w:rPr>
          <w:rFonts w:hint="eastAsia"/>
          <w:color w:val="auto"/>
        </w:rPr>
        <w:t>生活垃圾集中收集运至当地生活垃圾填埋场处置</w:t>
      </w:r>
      <w:r>
        <w:rPr>
          <w:rFonts w:hint="eastAsia"/>
          <w:color w:val="auto"/>
          <w:lang w:eastAsia="zh-CN"/>
        </w:rPr>
        <w:t>。</w:t>
      </w:r>
      <w:r>
        <w:rPr>
          <w:rFonts w:hint="eastAsia"/>
          <w:color w:val="auto"/>
        </w:rPr>
        <w:t>废弃包装物集中收集后外售废品收购站</w:t>
      </w:r>
      <w:r>
        <w:rPr>
          <w:rFonts w:hint="eastAsia"/>
          <w:color w:val="auto"/>
          <w:lang w:eastAsia="zh-CN"/>
        </w:rPr>
        <w:t>，</w:t>
      </w:r>
      <w:r>
        <w:rPr>
          <w:rFonts w:hint="eastAsia" w:ascii="仿宋_GB2312" w:hAnsi="仿宋_GB2312" w:eastAsia="仿宋_GB2312" w:cs="仿宋_GB2312"/>
          <w:kern w:val="0"/>
          <w:szCs w:val="32"/>
          <w:lang w:eastAsia="zh-CN"/>
        </w:rPr>
        <w:t>产生的一般固废管理满足《一般工业固体废物贮存和填埋污染控制标准》（GB18599-2020）要求。</w:t>
      </w:r>
      <w:r>
        <w:rPr>
          <w:rFonts w:hint="eastAsia"/>
          <w:color w:val="auto"/>
        </w:rPr>
        <w:t>隔油沉淀池产生的含油污泥直接由有危险废物处置资质的单位统一处置，现场不储存</w:t>
      </w:r>
      <w:r>
        <w:rPr>
          <w:rFonts w:hint="eastAsia"/>
          <w:color w:val="auto"/>
          <w:lang w:eastAsia="zh-CN"/>
        </w:rPr>
        <w:t>，</w:t>
      </w:r>
      <w:r>
        <w:rPr>
          <w:rFonts w:hint="eastAsia" w:ascii="仿宋_GB2312" w:hAnsi="仿宋_GB2312" w:eastAsia="仿宋_GB2312" w:cs="仿宋_GB2312"/>
          <w:kern w:val="0"/>
          <w:szCs w:val="32"/>
          <w:lang w:eastAsia="zh-CN"/>
        </w:rPr>
        <w:t>危险废物管理</w:t>
      </w:r>
      <w:r>
        <w:rPr>
          <w:rFonts w:hint="eastAsia" w:ascii="仿宋_GB2312" w:hAnsi="仿宋_GB2312" w:cs="仿宋_GB2312"/>
          <w:kern w:val="0"/>
          <w:szCs w:val="32"/>
          <w:lang w:val="en-US" w:eastAsia="zh-CN"/>
        </w:rPr>
        <w:t>须</w:t>
      </w:r>
      <w:r>
        <w:rPr>
          <w:rFonts w:hint="eastAsia" w:ascii="仿宋_GB2312" w:hAnsi="仿宋_GB2312" w:eastAsia="仿宋_GB2312" w:cs="仿宋_GB2312"/>
          <w:kern w:val="0"/>
          <w:szCs w:val="32"/>
          <w:lang w:eastAsia="zh-CN"/>
        </w:rPr>
        <w:t>满足《危险废物贮存污染控制标准》（GB18597-2023）、《危险废物收集贮存运输技术规范》（HJ2025-2012)及《危险废物转移管理办法》（部令第23号）要求。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（五）落实噪声防治措施。</w:t>
      </w:r>
      <w:r>
        <w:rPr>
          <w:rFonts w:hint="eastAsia"/>
          <w:color w:val="auto"/>
        </w:rPr>
        <w:t>爆破采用潜孔爆破</w:t>
      </w:r>
      <w:r>
        <w:rPr>
          <w:rFonts w:hint="eastAsia"/>
          <w:color w:val="auto"/>
          <w:lang w:eastAsia="zh-CN"/>
        </w:rPr>
        <w:t>。</w:t>
      </w:r>
      <w:r>
        <w:rPr>
          <w:rFonts w:hint="eastAsia"/>
          <w:color w:val="auto"/>
        </w:rPr>
        <w:t>施工道路旁设置限速标志，</w:t>
      </w:r>
      <w:r>
        <w:rPr>
          <w:rFonts w:hint="eastAsia"/>
          <w:color w:val="auto"/>
          <w:lang w:val="en-US" w:eastAsia="zh-CN"/>
        </w:rPr>
        <w:t>减少</w:t>
      </w:r>
      <w:r>
        <w:rPr>
          <w:rFonts w:hint="eastAsia"/>
          <w:color w:val="auto"/>
        </w:rPr>
        <w:t>交通噪声影响</w:t>
      </w:r>
      <w:r>
        <w:rPr>
          <w:rFonts w:hint="eastAsia"/>
          <w:color w:val="auto"/>
          <w:lang w:eastAsia="zh-CN"/>
        </w:rPr>
        <w:t>。</w:t>
      </w:r>
      <w:r>
        <w:rPr>
          <w:rFonts w:hint="eastAsia"/>
          <w:color w:val="auto"/>
        </w:rPr>
        <w:t>加强对施工机械的维护保养</w:t>
      </w:r>
      <w:r>
        <w:rPr>
          <w:rFonts w:hint="eastAsia"/>
          <w:color w:val="auto"/>
          <w:lang w:eastAsia="zh-CN"/>
        </w:rPr>
        <w:t>。</w:t>
      </w:r>
      <w:r>
        <w:rPr>
          <w:rFonts w:hint="eastAsia"/>
          <w:color w:val="auto"/>
        </w:rPr>
        <w:t>施工期场界噪声排放</w:t>
      </w:r>
      <w:r>
        <w:rPr>
          <w:rFonts w:hint="eastAsia"/>
          <w:color w:val="auto"/>
          <w:lang w:val="en-US" w:eastAsia="zh-CN"/>
        </w:rPr>
        <w:t>满足</w:t>
      </w:r>
      <w:r>
        <w:rPr>
          <w:color w:val="auto"/>
        </w:rPr>
        <w:t>《建筑施工场界环境噪声排放标准》（GB12523-2011）中表1</w:t>
      </w:r>
      <w:r>
        <w:rPr>
          <w:rFonts w:hint="eastAsia" w:ascii="仿宋_GB2312" w:hAnsi="仿宋_GB2312" w:eastAsia="仿宋_GB2312" w:cs="仿宋_GB2312"/>
          <w:szCs w:val="32"/>
        </w:rPr>
        <w:t>标准</w:t>
      </w:r>
      <w:r>
        <w:rPr>
          <w:rFonts w:hint="eastAsia" w:ascii="仿宋_GB2312" w:hAnsi="仿宋_GB2312" w:eastAsia="仿宋_GB2312" w:cs="仿宋_GB2312"/>
          <w:szCs w:val="32"/>
          <w:lang w:eastAsia="zh-CN"/>
        </w:rPr>
        <w:t>要求</w:t>
      </w:r>
      <w:r>
        <w:rPr>
          <w:rFonts w:hint="eastAsia" w:ascii="仿宋_GB2312" w:hAnsi="仿宋_GB2312" w:eastAsia="仿宋_GB2312" w:cs="仿宋_GB2312"/>
          <w:szCs w:val="32"/>
        </w:rPr>
        <w:t>。</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w:t>
      </w:r>
      <w:r>
        <w:rPr>
          <w:rFonts w:hint="eastAsia" w:ascii="仿宋_GB2312" w:hAnsi="仿宋_GB2312" w:cs="仿宋_GB2312"/>
          <w:szCs w:val="32"/>
          <w:lang w:val="en-US" w:eastAsia="zh-CN"/>
        </w:rPr>
        <w:t>六</w:t>
      </w:r>
      <w:r>
        <w:rPr>
          <w:rFonts w:hint="eastAsia" w:ascii="仿宋_GB2312" w:hAnsi="仿宋_GB2312" w:eastAsia="仿宋_GB2312" w:cs="仿宋_GB2312"/>
          <w:szCs w:val="32"/>
        </w:rPr>
        <w:t>）建立严格的环境管理体系。</w:t>
      </w:r>
      <w:r>
        <w:rPr>
          <w:rFonts w:hint="eastAsia" w:ascii="仿宋_GB2312" w:hAnsi="仿宋_GB2312" w:cs="仿宋_GB2312"/>
          <w:szCs w:val="32"/>
          <w:lang w:val="en-US" w:eastAsia="zh-CN"/>
        </w:rPr>
        <w:t>项目</w:t>
      </w:r>
      <w:r>
        <w:rPr>
          <w:rFonts w:hint="eastAsia" w:ascii="仿宋_GB2312" w:hAnsi="仿宋_GB2312" w:eastAsia="仿宋_GB2312" w:cs="仿宋_GB2312"/>
          <w:szCs w:val="32"/>
        </w:rPr>
        <w:t>严格落实《报告表》提出的各项事故防范和应急措施</w:t>
      </w:r>
      <w:r>
        <w:rPr>
          <w:rFonts w:hint="eastAsia"/>
          <w:color w:val="auto"/>
          <w:lang w:eastAsia="zh-CN"/>
        </w:rPr>
        <w:t>。</w:t>
      </w:r>
      <w:r>
        <w:rPr>
          <w:rFonts w:hint="eastAsia"/>
          <w:color w:val="auto"/>
        </w:rPr>
        <w:t>做好项目安全的设计，确保填土区整体的稳固性能，避免滑坡的风险事故发生</w:t>
      </w:r>
      <w:r>
        <w:rPr>
          <w:rFonts w:hint="eastAsia" w:ascii="仿宋_GB2312" w:hAnsi="仿宋_GB2312" w:eastAsia="仿宋_GB2312" w:cs="仿宋_GB2312"/>
          <w:szCs w:val="32"/>
        </w:rPr>
        <w:t>。提高操作管理水平，加强设备管理、维护及操作人员的教育培训，控制和降低环境风险，杜绝环境污染事故的发生。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cs="仿宋_GB2312"/>
          <w:szCs w:val="32"/>
          <w:lang w:val="en-US" w:eastAsia="zh-CN"/>
        </w:rPr>
        <w:t>四</w:t>
      </w:r>
      <w:r>
        <w:rPr>
          <w:rFonts w:hint="eastAsia" w:ascii="仿宋_GB2312" w:hAnsi="仿宋_GB2312" w:eastAsia="仿宋_GB2312" w:cs="仿宋_GB2312"/>
          <w:szCs w:val="32"/>
        </w:rPr>
        <w:t>、本项目的环境监督管理由</w:t>
      </w:r>
      <w:r>
        <w:rPr>
          <w:rFonts w:hint="eastAsia" w:ascii="仿宋_GB2312" w:hAnsi="仿宋_GB2312" w:cs="仿宋_GB2312"/>
          <w:szCs w:val="32"/>
          <w:lang w:val="en-US" w:eastAsia="zh-CN"/>
        </w:rPr>
        <w:t>吐鲁番市生态环境局托克逊县</w:t>
      </w:r>
      <w:r>
        <w:rPr>
          <w:rFonts w:hint="eastAsia" w:ascii="仿宋_GB2312" w:hAnsi="仿宋_GB2312" w:eastAsia="仿宋_GB2312" w:cs="仿宋_GB2312"/>
          <w:szCs w:val="32"/>
        </w:rPr>
        <w:t>分局负责，市生态环境保护综合行政执法支队不定期进行抽查。项目竣工后，须按规定程序开展竣工环境保护验收，验收合格后，方可正式投入运行。如项目的性质、规模、地点、工艺或者防治污染、防止生态破坏的措施发生重大变动，须报我局重新审批。自环评批复文件批准之日起，如工程超过5年未开工建设，环境影响评价文件应当报我局重新审核。</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五、你公司应在收到本批复后20个工作日内，将批准后的《报告表》分送至</w:t>
      </w:r>
      <w:r>
        <w:rPr>
          <w:rFonts w:hint="eastAsia" w:ascii="仿宋_GB2312" w:hAnsi="仿宋_GB2312" w:cs="仿宋_GB2312"/>
          <w:szCs w:val="32"/>
          <w:lang w:eastAsia="zh-CN"/>
        </w:rPr>
        <w:t>吐鲁番市生态环境局托克逊县分局</w:t>
      </w:r>
      <w:r>
        <w:rPr>
          <w:rFonts w:hint="eastAsia" w:ascii="仿宋_GB2312" w:hAnsi="仿宋_GB2312" w:eastAsia="仿宋_GB2312" w:cs="仿宋_GB2312"/>
          <w:szCs w:val="32"/>
        </w:rPr>
        <w:t xml:space="preserve">，并按规定接受各级生态环境主管部门的监督检查。    </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hint="eastAsia" w:ascii="仿宋_GB2312" w:hAnsi="仿宋_GB2312" w:eastAsia="仿宋_GB2312" w:cs="仿宋_GB2312"/>
          <w:szCs w:val="32"/>
        </w:rPr>
      </w:pPr>
      <w:r>
        <w:rPr>
          <w:rFonts w:hint="eastAsia" w:ascii="仿宋_GB2312" w:hAnsi="仿宋_GB2312" w:eastAsia="仿宋_GB2312" w:cs="仿宋_GB2312"/>
          <w:szCs w:val="32"/>
        </w:rPr>
        <w:t xml:space="preserve">                      吐鲁番市生态环境局</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hint="eastAsia" w:ascii="仿宋_GB2312" w:hAnsi="仿宋_GB2312" w:eastAsia="仿宋_GB2312" w:cs="仿宋_GB2312"/>
          <w:szCs w:val="32"/>
        </w:rPr>
      </w:pPr>
      <w:r>
        <w:rPr>
          <w:rFonts w:hint="eastAsia" w:ascii="仿宋_GB2312" w:hAnsi="仿宋_GB2312" w:eastAsia="仿宋_GB2312" w:cs="仿宋_GB2312"/>
          <w:szCs w:val="32"/>
        </w:rPr>
        <w:t xml:space="preserve">                      202</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年</w:t>
      </w:r>
      <w:r>
        <w:rPr>
          <w:rFonts w:hint="eastAsia" w:ascii="仿宋_GB2312" w:hAnsi="仿宋_GB2312" w:cs="仿宋_GB2312"/>
          <w:szCs w:val="32"/>
          <w:lang w:val="en-US" w:eastAsia="zh-CN"/>
        </w:rPr>
        <w:t>10</w:t>
      </w:r>
      <w:r>
        <w:rPr>
          <w:rFonts w:hint="eastAsia" w:ascii="仿宋_GB2312" w:hAnsi="仿宋_GB2312" w:eastAsia="仿宋_GB2312" w:cs="仿宋_GB2312"/>
          <w:szCs w:val="32"/>
        </w:rPr>
        <w:t>月</w:t>
      </w:r>
      <w:r>
        <w:rPr>
          <w:rFonts w:hint="eastAsia" w:ascii="仿宋_GB2312" w:hAnsi="仿宋_GB2312" w:cs="仿宋_GB2312"/>
          <w:szCs w:val="32"/>
          <w:lang w:val="en-US" w:eastAsia="zh-CN"/>
        </w:rPr>
        <w:t>7</w:t>
      </w:r>
      <w:r>
        <w:rPr>
          <w:rFonts w:hint="eastAsia" w:ascii="仿宋_GB2312" w:hAnsi="仿宋_GB2312" w:eastAsia="仿宋_GB2312" w:cs="仿宋_GB2312"/>
          <w:szCs w:val="32"/>
        </w:rPr>
        <w:t>日</w:t>
      </w:r>
    </w:p>
    <w:p>
      <w:pPr>
        <w:pageBreakBefore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cs="仿宋_GB2312"/>
          <w:szCs w:val="32"/>
        </w:rPr>
      </w:pPr>
      <w:r>
        <w:rPr>
          <w:rFonts w:hint="eastAsia" w:ascii="仿宋_GB2312" w:hAnsi="仿宋_GB2312" w:cs="仿宋_GB2312"/>
          <w:szCs w:val="32"/>
        </w:rPr>
        <w:t>抄送：</w:t>
      </w:r>
      <w:r>
        <w:rPr>
          <w:rFonts w:hint="eastAsia" w:ascii="仿宋_GB2312" w:hAnsi="仿宋_GB2312" w:cs="仿宋_GB2312"/>
          <w:spacing w:val="-20"/>
          <w:szCs w:val="32"/>
          <w:lang w:eastAsia="zh-CN"/>
        </w:rPr>
        <w:t>吐鲁番市生态环境局托克逊县分局</w:t>
      </w:r>
      <w:r>
        <w:rPr>
          <w:rFonts w:hint="eastAsia" w:ascii="仿宋_GB2312" w:hAnsi="仿宋_GB2312" w:cs="仿宋_GB2312"/>
          <w:spacing w:val="-20"/>
          <w:szCs w:val="32"/>
        </w:rPr>
        <w:t>，市生态环境保护综合行政执法支队</w:t>
      </w:r>
    </w:p>
    <w:sectPr>
      <w:headerReference r:id="rId5" w:type="default"/>
      <w:footerReference r:id="rId6" w:type="default"/>
      <w:footerReference r:id="rId7" w:type="even"/>
      <w:pgSz w:w="11906" w:h="16838"/>
      <w:pgMar w:top="2098" w:right="1474" w:bottom="1985" w:left="1588" w:header="851" w:footer="992" w:gutter="0"/>
      <w:pgNumType w:fmt="numberInDash"/>
      <w:cols w:space="425"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613990"/>
    </w:sdtPr>
    <w:sdtContent>
      <w:p>
        <w:pPr>
          <w:pStyle w:val="14"/>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7498845"/>
    </w:sdtPr>
    <w:sdtContent>
      <w:p>
        <w:pPr>
          <w:pStyle w:val="14"/>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4 -</w:t>
        </w:r>
        <w:r>
          <w:rPr>
            <w:rFonts w:ascii="宋体" w:hAnsi="宋体" w:eastAsia="宋体"/>
            <w:sz w:val="28"/>
            <w:szCs w:val="28"/>
          </w:rPr>
          <w:fldChar w:fldCharType="end"/>
        </w:r>
      </w:p>
    </w:sdtContent>
  </w:sdt>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NzA3NWY5ZmFmNmQ5YTM3NDE3YzE2MjA1ZjExMjAifQ=="/>
  </w:docVars>
  <w:rsids>
    <w:rsidRoot w:val="001C0A3B"/>
    <w:rsid w:val="00003456"/>
    <w:rsid w:val="00006D3A"/>
    <w:rsid w:val="000112AF"/>
    <w:rsid w:val="000116CF"/>
    <w:rsid w:val="00014810"/>
    <w:rsid w:val="00015732"/>
    <w:rsid w:val="0002249C"/>
    <w:rsid w:val="00022E2B"/>
    <w:rsid w:val="00024CBD"/>
    <w:rsid w:val="000271C9"/>
    <w:rsid w:val="00027257"/>
    <w:rsid w:val="00030D70"/>
    <w:rsid w:val="00031C30"/>
    <w:rsid w:val="00041D0A"/>
    <w:rsid w:val="0004542E"/>
    <w:rsid w:val="00050D7D"/>
    <w:rsid w:val="00052FE7"/>
    <w:rsid w:val="000579FB"/>
    <w:rsid w:val="00070613"/>
    <w:rsid w:val="00071398"/>
    <w:rsid w:val="000729AD"/>
    <w:rsid w:val="000746D8"/>
    <w:rsid w:val="00074E1B"/>
    <w:rsid w:val="0008366B"/>
    <w:rsid w:val="0008583A"/>
    <w:rsid w:val="00094616"/>
    <w:rsid w:val="000A1E99"/>
    <w:rsid w:val="000A5A6B"/>
    <w:rsid w:val="000A7C57"/>
    <w:rsid w:val="000B163B"/>
    <w:rsid w:val="000B26D2"/>
    <w:rsid w:val="000C15E4"/>
    <w:rsid w:val="000C45DE"/>
    <w:rsid w:val="000C53E2"/>
    <w:rsid w:val="000C772F"/>
    <w:rsid w:val="000D61FE"/>
    <w:rsid w:val="000D701E"/>
    <w:rsid w:val="000E2660"/>
    <w:rsid w:val="000E4DF3"/>
    <w:rsid w:val="001004AB"/>
    <w:rsid w:val="00104D0F"/>
    <w:rsid w:val="00106CEC"/>
    <w:rsid w:val="00112CC3"/>
    <w:rsid w:val="00116919"/>
    <w:rsid w:val="00124AF5"/>
    <w:rsid w:val="00131F5D"/>
    <w:rsid w:val="00133618"/>
    <w:rsid w:val="00133624"/>
    <w:rsid w:val="00135469"/>
    <w:rsid w:val="001358A7"/>
    <w:rsid w:val="00136B83"/>
    <w:rsid w:val="001443C4"/>
    <w:rsid w:val="00147D42"/>
    <w:rsid w:val="001537ED"/>
    <w:rsid w:val="00155C61"/>
    <w:rsid w:val="00157ADC"/>
    <w:rsid w:val="00157E20"/>
    <w:rsid w:val="001610C7"/>
    <w:rsid w:val="001625FB"/>
    <w:rsid w:val="00162B1A"/>
    <w:rsid w:val="001700D7"/>
    <w:rsid w:val="00176035"/>
    <w:rsid w:val="00183715"/>
    <w:rsid w:val="0018447C"/>
    <w:rsid w:val="0019002A"/>
    <w:rsid w:val="0019095B"/>
    <w:rsid w:val="00193015"/>
    <w:rsid w:val="001978BF"/>
    <w:rsid w:val="001A10BA"/>
    <w:rsid w:val="001A45B1"/>
    <w:rsid w:val="001B0753"/>
    <w:rsid w:val="001B4E67"/>
    <w:rsid w:val="001C0A3B"/>
    <w:rsid w:val="001C0C0C"/>
    <w:rsid w:val="001C39FD"/>
    <w:rsid w:val="001C4963"/>
    <w:rsid w:val="001D297C"/>
    <w:rsid w:val="001D464D"/>
    <w:rsid w:val="001D76A6"/>
    <w:rsid w:val="001D7F69"/>
    <w:rsid w:val="001E3356"/>
    <w:rsid w:val="001E3719"/>
    <w:rsid w:val="001E4131"/>
    <w:rsid w:val="001E6630"/>
    <w:rsid w:val="001F2063"/>
    <w:rsid w:val="001F3B50"/>
    <w:rsid w:val="001F4A9A"/>
    <w:rsid w:val="001F5D12"/>
    <w:rsid w:val="001F61B2"/>
    <w:rsid w:val="00201C46"/>
    <w:rsid w:val="00203E2E"/>
    <w:rsid w:val="00215417"/>
    <w:rsid w:val="00227330"/>
    <w:rsid w:val="00227880"/>
    <w:rsid w:val="00227F61"/>
    <w:rsid w:val="00236373"/>
    <w:rsid w:val="00237652"/>
    <w:rsid w:val="0024219A"/>
    <w:rsid w:val="00247BED"/>
    <w:rsid w:val="00252B6A"/>
    <w:rsid w:val="0028183D"/>
    <w:rsid w:val="00284B73"/>
    <w:rsid w:val="00287CA1"/>
    <w:rsid w:val="002A3564"/>
    <w:rsid w:val="002B16A1"/>
    <w:rsid w:val="002B6D04"/>
    <w:rsid w:val="002C5C30"/>
    <w:rsid w:val="002C63CB"/>
    <w:rsid w:val="002C7C42"/>
    <w:rsid w:val="002D0826"/>
    <w:rsid w:val="002D3E68"/>
    <w:rsid w:val="002D5E6B"/>
    <w:rsid w:val="002E058D"/>
    <w:rsid w:val="002E19D3"/>
    <w:rsid w:val="002F0A27"/>
    <w:rsid w:val="002F246F"/>
    <w:rsid w:val="002F6B69"/>
    <w:rsid w:val="003016AC"/>
    <w:rsid w:val="00302FA1"/>
    <w:rsid w:val="0030367C"/>
    <w:rsid w:val="0030523F"/>
    <w:rsid w:val="00306C3E"/>
    <w:rsid w:val="0031465D"/>
    <w:rsid w:val="00314F74"/>
    <w:rsid w:val="00316035"/>
    <w:rsid w:val="00317B51"/>
    <w:rsid w:val="00322A44"/>
    <w:rsid w:val="00324A80"/>
    <w:rsid w:val="003304BF"/>
    <w:rsid w:val="003332E5"/>
    <w:rsid w:val="00335F07"/>
    <w:rsid w:val="00341E96"/>
    <w:rsid w:val="003667CB"/>
    <w:rsid w:val="00366E6E"/>
    <w:rsid w:val="003714BB"/>
    <w:rsid w:val="00381F57"/>
    <w:rsid w:val="00393829"/>
    <w:rsid w:val="003968D5"/>
    <w:rsid w:val="003B3298"/>
    <w:rsid w:val="003B3A89"/>
    <w:rsid w:val="003B5D7E"/>
    <w:rsid w:val="003B6116"/>
    <w:rsid w:val="003D1CAC"/>
    <w:rsid w:val="003D4205"/>
    <w:rsid w:val="003E6831"/>
    <w:rsid w:val="003F1D14"/>
    <w:rsid w:val="00403B09"/>
    <w:rsid w:val="00413A95"/>
    <w:rsid w:val="00422D21"/>
    <w:rsid w:val="0043683D"/>
    <w:rsid w:val="0044278B"/>
    <w:rsid w:val="004443D8"/>
    <w:rsid w:val="004456D6"/>
    <w:rsid w:val="00447A34"/>
    <w:rsid w:val="00450BF0"/>
    <w:rsid w:val="00451348"/>
    <w:rsid w:val="00452FFE"/>
    <w:rsid w:val="00453CEE"/>
    <w:rsid w:val="00460B03"/>
    <w:rsid w:val="00466080"/>
    <w:rsid w:val="004773E5"/>
    <w:rsid w:val="00477537"/>
    <w:rsid w:val="00481238"/>
    <w:rsid w:val="00481A0A"/>
    <w:rsid w:val="0048767D"/>
    <w:rsid w:val="004917B9"/>
    <w:rsid w:val="00496B91"/>
    <w:rsid w:val="004A10E0"/>
    <w:rsid w:val="004A1951"/>
    <w:rsid w:val="004B1BC2"/>
    <w:rsid w:val="004B3324"/>
    <w:rsid w:val="004B4C10"/>
    <w:rsid w:val="004C3ED5"/>
    <w:rsid w:val="004C7CD7"/>
    <w:rsid w:val="004D0F50"/>
    <w:rsid w:val="004D6F24"/>
    <w:rsid w:val="004F021F"/>
    <w:rsid w:val="00501121"/>
    <w:rsid w:val="005015E8"/>
    <w:rsid w:val="00501DC6"/>
    <w:rsid w:val="00503159"/>
    <w:rsid w:val="00504409"/>
    <w:rsid w:val="00504578"/>
    <w:rsid w:val="005079D3"/>
    <w:rsid w:val="00510C73"/>
    <w:rsid w:val="005160D6"/>
    <w:rsid w:val="00535698"/>
    <w:rsid w:val="00540F94"/>
    <w:rsid w:val="005433D1"/>
    <w:rsid w:val="00543F62"/>
    <w:rsid w:val="00553232"/>
    <w:rsid w:val="00553C33"/>
    <w:rsid w:val="005560B4"/>
    <w:rsid w:val="00556559"/>
    <w:rsid w:val="00563DFA"/>
    <w:rsid w:val="00584954"/>
    <w:rsid w:val="00586A54"/>
    <w:rsid w:val="00586E3A"/>
    <w:rsid w:val="00587B81"/>
    <w:rsid w:val="00593A31"/>
    <w:rsid w:val="00596BB5"/>
    <w:rsid w:val="005A00F3"/>
    <w:rsid w:val="005A3D2A"/>
    <w:rsid w:val="005A4CE9"/>
    <w:rsid w:val="005A763A"/>
    <w:rsid w:val="005B0790"/>
    <w:rsid w:val="005C454F"/>
    <w:rsid w:val="005D4584"/>
    <w:rsid w:val="005D51BC"/>
    <w:rsid w:val="005D6AA6"/>
    <w:rsid w:val="005D791A"/>
    <w:rsid w:val="005F23E1"/>
    <w:rsid w:val="005F2F55"/>
    <w:rsid w:val="005F3405"/>
    <w:rsid w:val="005F612B"/>
    <w:rsid w:val="006055E9"/>
    <w:rsid w:val="00616540"/>
    <w:rsid w:val="006209FF"/>
    <w:rsid w:val="00621FDB"/>
    <w:rsid w:val="006346A9"/>
    <w:rsid w:val="00640963"/>
    <w:rsid w:val="00644BE2"/>
    <w:rsid w:val="00644E66"/>
    <w:rsid w:val="0064717B"/>
    <w:rsid w:val="00652019"/>
    <w:rsid w:val="00654028"/>
    <w:rsid w:val="00656F42"/>
    <w:rsid w:val="0066284C"/>
    <w:rsid w:val="00663113"/>
    <w:rsid w:val="006661AB"/>
    <w:rsid w:val="00666F98"/>
    <w:rsid w:val="0068162F"/>
    <w:rsid w:val="00681EAE"/>
    <w:rsid w:val="006821CA"/>
    <w:rsid w:val="00683475"/>
    <w:rsid w:val="00684923"/>
    <w:rsid w:val="00691379"/>
    <w:rsid w:val="006941F2"/>
    <w:rsid w:val="0069463B"/>
    <w:rsid w:val="006A4157"/>
    <w:rsid w:val="006B4550"/>
    <w:rsid w:val="006C3B87"/>
    <w:rsid w:val="006C4A14"/>
    <w:rsid w:val="006C4A66"/>
    <w:rsid w:val="006C5CF0"/>
    <w:rsid w:val="006C5E22"/>
    <w:rsid w:val="006D38B2"/>
    <w:rsid w:val="006D58DA"/>
    <w:rsid w:val="006E4AA2"/>
    <w:rsid w:val="006E6572"/>
    <w:rsid w:val="006F28BC"/>
    <w:rsid w:val="006F46F4"/>
    <w:rsid w:val="007056CD"/>
    <w:rsid w:val="00706552"/>
    <w:rsid w:val="00710223"/>
    <w:rsid w:val="00724ADB"/>
    <w:rsid w:val="00727AFA"/>
    <w:rsid w:val="0073272A"/>
    <w:rsid w:val="007335CD"/>
    <w:rsid w:val="00734F0C"/>
    <w:rsid w:val="007353EA"/>
    <w:rsid w:val="0073674E"/>
    <w:rsid w:val="00736EA7"/>
    <w:rsid w:val="00742C5F"/>
    <w:rsid w:val="007563B6"/>
    <w:rsid w:val="00760618"/>
    <w:rsid w:val="00764830"/>
    <w:rsid w:val="00767E32"/>
    <w:rsid w:val="00773D62"/>
    <w:rsid w:val="00783254"/>
    <w:rsid w:val="00783950"/>
    <w:rsid w:val="00783D08"/>
    <w:rsid w:val="007929E3"/>
    <w:rsid w:val="007949F7"/>
    <w:rsid w:val="00797250"/>
    <w:rsid w:val="007A1342"/>
    <w:rsid w:val="007A5B1D"/>
    <w:rsid w:val="007A7957"/>
    <w:rsid w:val="007B0CC1"/>
    <w:rsid w:val="007B17DA"/>
    <w:rsid w:val="007B440D"/>
    <w:rsid w:val="007B753F"/>
    <w:rsid w:val="007C01AF"/>
    <w:rsid w:val="007C2AB4"/>
    <w:rsid w:val="007C3627"/>
    <w:rsid w:val="007C76C3"/>
    <w:rsid w:val="007E5D96"/>
    <w:rsid w:val="007E7F7A"/>
    <w:rsid w:val="007F06F2"/>
    <w:rsid w:val="007F0AF3"/>
    <w:rsid w:val="007F52DE"/>
    <w:rsid w:val="00800136"/>
    <w:rsid w:val="00811A70"/>
    <w:rsid w:val="008142DC"/>
    <w:rsid w:val="00817BD3"/>
    <w:rsid w:val="00830C26"/>
    <w:rsid w:val="0084399B"/>
    <w:rsid w:val="0085082B"/>
    <w:rsid w:val="008563E4"/>
    <w:rsid w:val="008572DD"/>
    <w:rsid w:val="00861569"/>
    <w:rsid w:val="00874FBD"/>
    <w:rsid w:val="0088108F"/>
    <w:rsid w:val="008841B6"/>
    <w:rsid w:val="00885921"/>
    <w:rsid w:val="00891894"/>
    <w:rsid w:val="008A5452"/>
    <w:rsid w:val="008B2C97"/>
    <w:rsid w:val="008C09A4"/>
    <w:rsid w:val="008D7070"/>
    <w:rsid w:val="008E2A27"/>
    <w:rsid w:val="008F2D95"/>
    <w:rsid w:val="008F31EA"/>
    <w:rsid w:val="008F40CA"/>
    <w:rsid w:val="008F4CA6"/>
    <w:rsid w:val="008F552A"/>
    <w:rsid w:val="008F5F82"/>
    <w:rsid w:val="008F66E3"/>
    <w:rsid w:val="009001D9"/>
    <w:rsid w:val="00903D49"/>
    <w:rsid w:val="00906C55"/>
    <w:rsid w:val="00910341"/>
    <w:rsid w:val="00914BCC"/>
    <w:rsid w:val="0091736A"/>
    <w:rsid w:val="00927942"/>
    <w:rsid w:val="009313F8"/>
    <w:rsid w:val="00943623"/>
    <w:rsid w:val="00945FBF"/>
    <w:rsid w:val="00947D90"/>
    <w:rsid w:val="009506AE"/>
    <w:rsid w:val="009566CD"/>
    <w:rsid w:val="00956F74"/>
    <w:rsid w:val="0096124E"/>
    <w:rsid w:val="00964740"/>
    <w:rsid w:val="00974242"/>
    <w:rsid w:val="0097514C"/>
    <w:rsid w:val="00977049"/>
    <w:rsid w:val="00977D63"/>
    <w:rsid w:val="00981A4B"/>
    <w:rsid w:val="00982EB3"/>
    <w:rsid w:val="00983387"/>
    <w:rsid w:val="009837AE"/>
    <w:rsid w:val="009848E0"/>
    <w:rsid w:val="009A03D5"/>
    <w:rsid w:val="009A15F1"/>
    <w:rsid w:val="009A2099"/>
    <w:rsid w:val="009A48FC"/>
    <w:rsid w:val="009A75B8"/>
    <w:rsid w:val="009B50CE"/>
    <w:rsid w:val="009B5D50"/>
    <w:rsid w:val="009C0655"/>
    <w:rsid w:val="009C0E5A"/>
    <w:rsid w:val="009C141A"/>
    <w:rsid w:val="009C2FCA"/>
    <w:rsid w:val="009C6511"/>
    <w:rsid w:val="009D68D0"/>
    <w:rsid w:val="009D7466"/>
    <w:rsid w:val="009E29FF"/>
    <w:rsid w:val="009F363D"/>
    <w:rsid w:val="009F401D"/>
    <w:rsid w:val="009F7AF4"/>
    <w:rsid w:val="00A06003"/>
    <w:rsid w:val="00A17767"/>
    <w:rsid w:val="00A220F1"/>
    <w:rsid w:val="00A2556D"/>
    <w:rsid w:val="00A34EB3"/>
    <w:rsid w:val="00A43F58"/>
    <w:rsid w:val="00A47053"/>
    <w:rsid w:val="00A50F04"/>
    <w:rsid w:val="00A52E48"/>
    <w:rsid w:val="00A56F84"/>
    <w:rsid w:val="00A64AB2"/>
    <w:rsid w:val="00A656E5"/>
    <w:rsid w:val="00A70964"/>
    <w:rsid w:val="00A7271D"/>
    <w:rsid w:val="00A75C25"/>
    <w:rsid w:val="00A77616"/>
    <w:rsid w:val="00A860A2"/>
    <w:rsid w:val="00A91DDF"/>
    <w:rsid w:val="00A95AA5"/>
    <w:rsid w:val="00AA18DA"/>
    <w:rsid w:val="00AA5161"/>
    <w:rsid w:val="00AB3780"/>
    <w:rsid w:val="00AB4DE3"/>
    <w:rsid w:val="00AB6A62"/>
    <w:rsid w:val="00AC25BD"/>
    <w:rsid w:val="00AC38D6"/>
    <w:rsid w:val="00AC3E78"/>
    <w:rsid w:val="00AD172A"/>
    <w:rsid w:val="00AD6F2F"/>
    <w:rsid w:val="00AE64F5"/>
    <w:rsid w:val="00B012BB"/>
    <w:rsid w:val="00B037FC"/>
    <w:rsid w:val="00B1084A"/>
    <w:rsid w:val="00B13421"/>
    <w:rsid w:val="00B2033A"/>
    <w:rsid w:val="00B26472"/>
    <w:rsid w:val="00B26E3E"/>
    <w:rsid w:val="00B32F7B"/>
    <w:rsid w:val="00B3710E"/>
    <w:rsid w:val="00B40A8E"/>
    <w:rsid w:val="00B416D9"/>
    <w:rsid w:val="00B50915"/>
    <w:rsid w:val="00B5105D"/>
    <w:rsid w:val="00B51704"/>
    <w:rsid w:val="00B52498"/>
    <w:rsid w:val="00B5549F"/>
    <w:rsid w:val="00B5684C"/>
    <w:rsid w:val="00B6055E"/>
    <w:rsid w:val="00B60A70"/>
    <w:rsid w:val="00B65D5F"/>
    <w:rsid w:val="00B83EF9"/>
    <w:rsid w:val="00B85A11"/>
    <w:rsid w:val="00B872F7"/>
    <w:rsid w:val="00B90824"/>
    <w:rsid w:val="00B90FDB"/>
    <w:rsid w:val="00B91271"/>
    <w:rsid w:val="00BA0AF9"/>
    <w:rsid w:val="00BA218F"/>
    <w:rsid w:val="00BB01D5"/>
    <w:rsid w:val="00BB6DBB"/>
    <w:rsid w:val="00BC1089"/>
    <w:rsid w:val="00BC6DC0"/>
    <w:rsid w:val="00BD1BD1"/>
    <w:rsid w:val="00BD3B53"/>
    <w:rsid w:val="00BE6775"/>
    <w:rsid w:val="00BE6F2B"/>
    <w:rsid w:val="00C02572"/>
    <w:rsid w:val="00C02797"/>
    <w:rsid w:val="00C17E16"/>
    <w:rsid w:val="00C31FFA"/>
    <w:rsid w:val="00C355EE"/>
    <w:rsid w:val="00C362F6"/>
    <w:rsid w:val="00C37CD3"/>
    <w:rsid w:val="00C51E6C"/>
    <w:rsid w:val="00C5362E"/>
    <w:rsid w:val="00C63180"/>
    <w:rsid w:val="00C71CC5"/>
    <w:rsid w:val="00C918BE"/>
    <w:rsid w:val="00CA597B"/>
    <w:rsid w:val="00CA6600"/>
    <w:rsid w:val="00CB0397"/>
    <w:rsid w:val="00CB0E12"/>
    <w:rsid w:val="00CB1B0B"/>
    <w:rsid w:val="00CB1F63"/>
    <w:rsid w:val="00CB51EA"/>
    <w:rsid w:val="00CC240A"/>
    <w:rsid w:val="00CC6DB9"/>
    <w:rsid w:val="00CD0376"/>
    <w:rsid w:val="00CD478E"/>
    <w:rsid w:val="00CD733D"/>
    <w:rsid w:val="00CD7695"/>
    <w:rsid w:val="00CD7787"/>
    <w:rsid w:val="00CE1E86"/>
    <w:rsid w:val="00CE2881"/>
    <w:rsid w:val="00CE28CE"/>
    <w:rsid w:val="00CE6870"/>
    <w:rsid w:val="00CF289D"/>
    <w:rsid w:val="00D018A3"/>
    <w:rsid w:val="00D02B69"/>
    <w:rsid w:val="00D0334F"/>
    <w:rsid w:val="00D10C51"/>
    <w:rsid w:val="00D11120"/>
    <w:rsid w:val="00D11833"/>
    <w:rsid w:val="00D136DE"/>
    <w:rsid w:val="00D141C1"/>
    <w:rsid w:val="00D168D4"/>
    <w:rsid w:val="00D1704C"/>
    <w:rsid w:val="00D17901"/>
    <w:rsid w:val="00D243ED"/>
    <w:rsid w:val="00D24C9F"/>
    <w:rsid w:val="00D24EE1"/>
    <w:rsid w:val="00D32730"/>
    <w:rsid w:val="00D32F55"/>
    <w:rsid w:val="00D36ECD"/>
    <w:rsid w:val="00D4026A"/>
    <w:rsid w:val="00D406FB"/>
    <w:rsid w:val="00D44F5E"/>
    <w:rsid w:val="00D5189A"/>
    <w:rsid w:val="00D526DC"/>
    <w:rsid w:val="00D567EE"/>
    <w:rsid w:val="00D64680"/>
    <w:rsid w:val="00D747AB"/>
    <w:rsid w:val="00D74A82"/>
    <w:rsid w:val="00D761A0"/>
    <w:rsid w:val="00D81961"/>
    <w:rsid w:val="00D92B53"/>
    <w:rsid w:val="00D97FF4"/>
    <w:rsid w:val="00DA746A"/>
    <w:rsid w:val="00DA79C5"/>
    <w:rsid w:val="00DB0581"/>
    <w:rsid w:val="00DB55F8"/>
    <w:rsid w:val="00DC0EE9"/>
    <w:rsid w:val="00DC48BA"/>
    <w:rsid w:val="00DC6C44"/>
    <w:rsid w:val="00DD102A"/>
    <w:rsid w:val="00DD20E0"/>
    <w:rsid w:val="00DF7498"/>
    <w:rsid w:val="00E048F7"/>
    <w:rsid w:val="00E1041E"/>
    <w:rsid w:val="00E11C86"/>
    <w:rsid w:val="00E122AE"/>
    <w:rsid w:val="00E13825"/>
    <w:rsid w:val="00E20EC1"/>
    <w:rsid w:val="00E26CFE"/>
    <w:rsid w:val="00E26FFB"/>
    <w:rsid w:val="00E34319"/>
    <w:rsid w:val="00E377DB"/>
    <w:rsid w:val="00E379CD"/>
    <w:rsid w:val="00E40406"/>
    <w:rsid w:val="00E46A0C"/>
    <w:rsid w:val="00E548AE"/>
    <w:rsid w:val="00E63CBA"/>
    <w:rsid w:val="00E705F8"/>
    <w:rsid w:val="00E713B7"/>
    <w:rsid w:val="00E73594"/>
    <w:rsid w:val="00E80400"/>
    <w:rsid w:val="00E858A1"/>
    <w:rsid w:val="00E94FF7"/>
    <w:rsid w:val="00E97824"/>
    <w:rsid w:val="00EA1E58"/>
    <w:rsid w:val="00EA28A2"/>
    <w:rsid w:val="00EA46F2"/>
    <w:rsid w:val="00EB12B3"/>
    <w:rsid w:val="00EC0B19"/>
    <w:rsid w:val="00ED5CFF"/>
    <w:rsid w:val="00EE0C6F"/>
    <w:rsid w:val="00EE7B9C"/>
    <w:rsid w:val="00EF039D"/>
    <w:rsid w:val="00F01A99"/>
    <w:rsid w:val="00F0249A"/>
    <w:rsid w:val="00F02C92"/>
    <w:rsid w:val="00F070E0"/>
    <w:rsid w:val="00F0757F"/>
    <w:rsid w:val="00F079E5"/>
    <w:rsid w:val="00F13A8C"/>
    <w:rsid w:val="00F22C07"/>
    <w:rsid w:val="00F23579"/>
    <w:rsid w:val="00F2402E"/>
    <w:rsid w:val="00F2405E"/>
    <w:rsid w:val="00F24A22"/>
    <w:rsid w:val="00F25EE2"/>
    <w:rsid w:val="00F30A79"/>
    <w:rsid w:val="00F30E2C"/>
    <w:rsid w:val="00F36AC6"/>
    <w:rsid w:val="00F40C55"/>
    <w:rsid w:val="00F50F13"/>
    <w:rsid w:val="00F53803"/>
    <w:rsid w:val="00F54B70"/>
    <w:rsid w:val="00F56642"/>
    <w:rsid w:val="00F72289"/>
    <w:rsid w:val="00F870A6"/>
    <w:rsid w:val="00F90E0B"/>
    <w:rsid w:val="00F918AB"/>
    <w:rsid w:val="00F93E48"/>
    <w:rsid w:val="00F97D93"/>
    <w:rsid w:val="00FA1880"/>
    <w:rsid w:val="00FA22E2"/>
    <w:rsid w:val="00FB07F3"/>
    <w:rsid w:val="00FB2CDC"/>
    <w:rsid w:val="00FB672F"/>
    <w:rsid w:val="00FC3A17"/>
    <w:rsid w:val="00FC3A23"/>
    <w:rsid w:val="00FC5595"/>
    <w:rsid w:val="00FC5AA7"/>
    <w:rsid w:val="00FD017F"/>
    <w:rsid w:val="00FD1C1C"/>
    <w:rsid w:val="00FD2E47"/>
    <w:rsid w:val="00FD42C4"/>
    <w:rsid w:val="00FE7848"/>
    <w:rsid w:val="00FF2324"/>
    <w:rsid w:val="00FF428A"/>
    <w:rsid w:val="00FF4997"/>
    <w:rsid w:val="00FF544B"/>
    <w:rsid w:val="00FF66B5"/>
    <w:rsid w:val="01AC0139"/>
    <w:rsid w:val="021A0131"/>
    <w:rsid w:val="02F20021"/>
    <w:rsid w:val="03E1080D"/>
    <w:rsid w:val="04782A92"/>
    <w:rsid w:val="067326F7"/>
    <w:rsid w:val="07A13635"/>
    <w:rsid w:val="08101DB2"/>
    <w:rsid w:val="081E50D6"/>
    <w:rsid w:val="08A17FE2"/>
    <w:rsid w:val="08BA4909"/>
    <w:rsid w:val="0B3D6DBF"/>
    <w:rsid w:val="0B5310FE"/>
    <w:rsid w:val="0B591DA9"/>
    <w:rsid w:val="0B592086"/>
    <w:rsid w:val="0C3D6A94"/>
    <w:rsid w:val="0C5817A4"/>
    <w:rsid w:val="0CD148A7"/>
    <w:rsid w:val="0D6E42F3"/>
    <w:rsid w:val="0DB45986"/>
    <w:rsid w:val="0E0511A8"/>
    <w:rsid w:val="0E21123B"/>
    <w:rsid w:val="0EDB39A1"/>
    <w:rsid w:val="0EF0248D"/>
    <w:rsid w:val="0F31473F"/>
    <w:rsid w:val="0F925C73"/>
    <w:rsid w:val="10E8147E"/>
    <w:rsid w:val="110B2B14"/>
    <w:rsid w:val="113B2E9C"/>
    <w:rsid w:val="11D83C50"/>
    <w:rsid w:val="12577999"/>
    <w:rsid w:val="13871C6A"/>
    <w:rsid w:val="14132147"/>
    <w:rsid w:val="14F34426"/>
    <w:rsid w:val="159535B3"/>
    <w:rsid w:val="15E82E53"/>
    <w:rsid w:val="16276BA3"/>
    <w:rsid w:val="170744E6"/>
    <w:rsid w:val="17680846"/>
    <w:rsid w:val="17F51B4E"/>
    <w:rsid w:val="18202BA6"/>
    <w:rsid w:val="18677510"/>
    <w:rsid w:val="1881634D"/>
    <w:rsid w:val="1A910094"/>
    <w:rsid w:val="1C3924C7"/>
    <w:rsid w:val="1C454A3D"/>
    <w:rsid w:val="1CBB3234"/>
    <w:rsid w:val="1DF4614E"/>
    <w:rsid w:val="1E386095"/>
    <w:rsid w:val="1E9D2F50"/>
    <w:rsid w:val="1F6E0254"/>
    <w:rsid w:val="1F846FD2"/>
    <w:rsid w:val="1F8C1DF0"/>
    <w:rsid w:val="20B415FA"/>
    <w:rsid w:val="20DA3519"/>
    <w:rsid w:val="211903B5"/>
    <w:rsid w:val="21AF6086"/>
    <w:rsid w:val="21D7200F"/>
    <w:rsid w:val="21FF1EE9"/>
    <w:rsid w:val="22250FCC"/>
    <w:rsid w:val="224C4814"/>
    <w:rsid w:val="22F7744E"/>
    <w:rsid w:val="230439E3"/>
    <w:rsid w:val="23AC703D"/>
    <w:rsid w:val="25417661"/>
    <w:rsid w:val="25AD7DBF"/>
    <w:rsid w:val="25C41A79"/>
    <w:rsid w:val="25D01CF0"/>
    <w:rsid w:val="25D21F9B"/>
    <w:rsid w:val="265C67D3"/>
    <w:rsid w:val="274E23CA"/>
    <w:rsid w:val="2771557E"/>
    <w:rsid w:val="280244F4"/>
    <w:rsid w:val="28814A83"/>
    <w:rsid w:val="28B279B4"/>
    <w:rsid w:val="28DB0A41"/>
    <w:rsid w:val="29FF142C"/>
    <w:rsid w:val="2AEA33A3"/>
    <w:rsid w:val="2B0D1D89"/>
    <w:rsid w:val="2B297934"/>
    <w:rsid w:val="2B522706"/>
    <w:rsid w:val="2BA50779"/>
    <w:rsid w:val="2C677E7C"/>
    <w:rsid w:val="2D081019"/>
    <w:rsid w:val="2D1B099D"/>
    <w:rsid w:val="2D46550B"/>
    <w:rsid w:val="2D99774B"/>
    <w:rsid w:val="2E884E15"/>
    <w:rsid w:val="2E8C1473"/>
    <w:rsid w:val="2EE02CED"/>
    <w:rsid w:val="2F5940C6"/>
    <w:rsid w:val="30034B0E"/>
    <w:rsid w:val="303B31BD"/>
    <w:rsid w:val="30DC6DFC"/>
    <w:rsid w:val="320610D1"/>
    <w:rsid w:val="3301756A"/>
    <w:rsid w:val="33102644"/>
    <w:rsid w:val="339207B1"/>
    <w:rsid w:val="34B50EE4"/>
    <w:rsid w:val="356F2FDD"/>
    <w:rsid w:val="36F4783D"/>
    <w:rsid w:val="377203B8"/>
    <w:rsid w:val="37FF78CB"/>
    <w:rsid w:val="389B4910"/>
    <w:rsid w:val="38A25E40"/>
    <w:rsid w:val="38A62207"/>
    <w:rsid w:val="39456A46"/>
    <w:rsid w:val="39AE6358"/>
    <w:rsid w:val="3BB12285"/>
    <w:rsid w:val="3C783F36"/>
    <w:rsid w:val="3C9A7261"/>
    <w:rsid w:val="3CCA40CD"/>
    <w:rsid w:val="3CE12F4D"/>
    <w:rsid w:val="3D123278"/>
    <w:rsid w:val="3D306D49"/>
    <w:rsid w:val="3D9F41EB"/>
    <w:rsid w:val="3E0A3243"/>
    <w:rsid w:val="3E69770C"/>
    <w:rsid w:val="3F764CA9"/>
    <w:rsid w:val="3FF95F26"/>
    <w:rsid w:val="408F0DDD"/>
    <w:rsid w:val="414D5F20"/>
    <w:rsid w:val="419C2F68"/>
    <w:rsid w:val="41D31183"/>
    <w:rsid w:val="42AD47DE"/>
    <w:rsid w:val="43D10B6C"/>
    <w:rsid w:val="43DB1093"/>
    <w:rsid w:val="444530DF"/>
    <w:rsid w:val="44B72988"/>
    <w:rsid w:val="44D76B6A"/>
    <w:rsid w:val="45232E60"/>
    <w:rsid w:val="452D416E"/>
    <w:rsid w:val="454145FF"/>
    <w:rsid w:val="45C717F4"/>
    <w:rsid w:val="46320AD4"/>
    <w:rsid w:val="46C819FD"/>
    <w:rsid w:val="46EB5F4B"/>
    <w:rsid w:val="476834A9"/>
    <w:rsid w:val="478168F7"/>
    <w:rsid w:val="484F7E61"/>
    <w:rsid w:val="485727E6"/>
    <w:rsid w:val="48BC3CB4"/>
    <w:rsid w:val="492C6C09"/>
    <w:rsid w:val="4B3F3CD1"/>
    <w:rsid w:val="4B7D2042"/>
    <w:rsid w:val="4CCE3A8F"/>
    <w:rsid w:val="4D924016"/>
    <w:rsid w:val="4DFB264D"/>
    <w:rsid w:val="4E887C97"/>
    <w:rsid w:val="502E4CE4"/>
    <w:rsid w:val="5036491C"/>
    <w:rsid w:val="51AA321A"/>
    <w:rsid w:val="51BB5F74"/>
    <w:rsid w:val="51D30789"/>
    <w:rsid w:val="51FC3859"/>
    <w:rsid w:val="529761EA"/>
    <w:rsid w:val="52B81A73"/>
    <w:rsid w:val="53130FEB"/>
    <w:rsid w:val="536F179E"/>
    <w:rsid w:val="53A02794"/>
    <w:rsid w:val="53A551A0"/>
    <w:rsid w:val="5411106D"/>
    <w:rsid w:val="543D7B60"/>
    <w:rsid w:val="551C59CE"/>
    <w:rsid w:val="55803AC7"/>
    <w:rsid w:val="56AE3064"/>
    <w:rsid w:val="57E66C63"/>
    <w:rsid w:val="585D60C3"/>
    <w:rsid w:val="58693CF0"/>
    <w:rsid w:val="58E05BE3"/>
    <w:rsid w:val="58E6094E"/>
    <w:rsid w:val="59454242"/>
    <w:rsid w:val="59962476"/>
    <w:rsid w:val="5A2140DC"/>
    <w:rsid w:val="5A3D61AC"/>
    <w:rsid w:val="5B920B35"/>
    <w:rsid w:val="5B9447E3"/>
    <w:rsid w:val="5BA04C44"/>
    <w:rsid w:val="5C6A7016"/>
    <w:rsid w:val="5CD45920"/>
    <w:rsid w:val="5D541F57"/>
    <w:rsid w:val="5DBD6881"/>
    <w:rsid w:val="5DEA37ED"/>
    <w:rsid w:val="5E1A3D21"/>
    <w:rsid w:val="5F634B38"/>
    <w:rsid w:val="5FD70968"/>
    <w:rsid w:val="604D14A3"/>
    <w:rsid w:val="606377EC"/>
    <w:rsid w:val="60907D75"/>
    <w:rsid w:val="62720811"/>
    <w:rsid w:val="62CA45A2"/>
    <w:rsid w:val="63546188"/>
    <w:rsid w:val="63B13956"/>
    <w:rsid w:val="6422105A"/>
    <w:rsid w:val="644E2D40"/>
    <w:rsid w:val="64572442"/>
    <w:rsid w:val="64684836"/>
    <w:rsid w:val="647B64A1"/>
    <w:rsid w:val="653E05DE"/>
    <w:rsid w:val="668D671F"/>
    <w:rsid w:val="67911F69"/>
    <w:rsid w:val="67D15A5F"/>
    <w:rsid w:val="67E9565E"/>
    <w:rsid w:val="6832145A"/>
    <w:rsid w:val="68E13002"/>
    <w:rsid w:val="6A1324A1"/>
    <w:rsid w:val="6AF46054"/>
    <w:rsid w:val="6B1C21F3"/>
    <w:rsid w:val="6B2C30FA"/>
    <w:rsid w:val="6BA60F2C"/>
    <w:rsid w:val="6C9524DD"/>
    <w:rsid w:val="6D6B00E5"/>
    <w:rsid w:val="6D794D48"/>
    <w:rsid w:val="6DC721AC"/>
    <w:rsid w:val="6E691593"/>
    <w:rsid w:val="6E9804E8"/>
    <w:rsid w:val="6EDA6267"/>
    <w:rsid w:val="6F686FC6"/>
    <w:rsid w:val="6FB5098B"/>
    <w:rsid w:val="70963436"/>
    <w:rsid w:val="715F724B"/>
    <w:rsid w:val="71BF4634"/>
    <w:rsid w:val="736F49C4"/>
    <w:rsid w:val="7384437F"/>
    <w:rsid w:val="73FA40C7"/>
    <w:rsid w:val="74D95E13"/>
    <w:rsid w:val="74DA7762"/>
    <w:rsid w:val="74E760B5"/>
    <w:rsid w:val="750503BE"/>
    <w:rsid w:val="751172B8"/>
    <w:rsid w:val="75F33E51"/>
    <w:rsid w:val="764A076A"/>
    <w:rsid w:val="77427A58"/>
    <w:rsid w:val="776F4AC7"/>
    <w:rsid w:val="77CE0ABB"/>
    <w:rsid w:val="78541493"/>
    <w:rsid w:val="78A25126"/>
    <w:rsid w:val="78D554E1"/>
    <w:rsid w:val="7A7244D9"/>
    <w:rsid w:val="7B9C6D7F"/>
    <w:rsid w:val="7D741AB5"/>
    <w:rsid w:val="7F28622A"/>
    <w:rsid w:val="7F362D77"/>
    <w:rsid w:val="7FC632C4"/>
    <w:rsid w:val="7FD47B21"/>
    <w:rsid w:val="7FD74D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27"/>
    <w:qFormat/>
    <w:uiPriority w:val="0"/>
    <w:pPr>
      <w:keepNext/>
      <w:keepLines/>
      <w:spacing w:line="576" w:lineRule="auto"/>
      <w:outlineLvl w:val="0"/>
    </w:pPr>
    <w:rPr>
      <w:b/>
      <w:kern w:val="44"/>
      <w:sz w:val="44"/>
    </w:rPr>
  </w:style>
  <w:style w:type="paragraph" w:styleId="2">
    <w:name w:val="heading 3"/>
    <w:basedOn w:val="1"/>
    <w:next w:val="1"/>
    <w:qFormat/>
    <w:uiPriority w:val="0"/>
    <w:pPr>
      <w:keepNext/>
      <w:keepLines/>
      <w:spacing w:before="260" w:after="260" w:line="416" w:lineRule="auto"/>
      <w:outlineLvl w:val="2"/>
    </w:pPr>
    <w:rPr>
      <w:b/>
      <w:bCs/>
      <w:szCs w:val="32"/>
    </w:rPr>
  </w:style>
  <w:style w:type="paragraph" w:styleId="4">
    <w:name w:val="heading 4"/>
    <w:basedOn w:val="1"/>
    <w:next w:val="1"/>
    <w:unhideWhenUsed/>
    <w:qFormat/>
    <w:uiPriority w:val="0"/>
    <w:pPr>
      <w:keepNext/>
      <w:keepLines/>
      <w:jc w:val="left"/>
      <w:outlineLvl w:val="3"/>
    </w:pPr>
    <w:rPr>
      <w:rFonts w:eastAsia="宋体"/>
      <w:b/>
      <w:bCs/>
      <w:sz w:val="28"/>
      <w:szCs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240" w:lineRule="auto"/>
      <w:ind w:firstLine="420" w:firstLineChars="200"/>
    </w:pPr>
    <w:rPr>
      <w:rFonts w:ascii="宋体" w:hAnsi="宋体" w:cs="宋体" w:eastAsiaTheme="minorEastAsia"/>
      <w:sz w:val="21"/>
    </w:rPr>
  </w:style>
  <w:style w:type="paragraph" w:styleId="6">
    <w:name w:val="Body Text"/>
    <w:basedOn w:val="1"/>
    <w:link w:val="26"/>
    <w:qFormat/>
    <w:uiPriority w:val="0"/>
    <w:pPr>
      <w:spacing w:after="120"/>
    </w:pPr>
  </w:style>
  <w:style w:type="paragraph" w:styleId="7">
    <w:name w:val="Body Text Indent"/>
    <w:basedOn w:val="1"/>
    <w:next w:val="8"/>
    <w:qFormat/>
    <w:uiPriority w:val="0"/>
    <w:pPr>
      <w:spacing w:line="360" w:lineRule="auto"/>
      <w:ind w:firstLine="495"/>
    </w:pPr>
    <w:rPr>
      <w:rFonts w:ascii="宋体" w:hAnsi="宋体"/>
      <w:sz w:val="24"/>
    </w:rPr>
  </w:style>
  <w:style w:type="paragraph" w:customStyle="1" w:styleId="8">
    <w:name w:val="样式 正文文本缩进 + 行距: 1.5 倍行距"/>
    <w:basedOn w:val="1"/>
    <w:qFormat/>
    <w:uiPriority w:val="0"/>
    <w:pPr>
      <w:spacing w:after="120" w:line="360" w:lineRule="auto"/>
      <w:ind w:left="32" w:leftChars="32" w:firstLine="200" w:firstLineChars="200"/>
    </w:pPr>
    <w:rPr>
      <w:rFonts w:cs="宋体"/>
      <w:lang w:bidi="ar-SA"/>
    </w:rPr>
  </w:style>
  <w:style w:type="paragraph" w:styleId="9">
    <w:name w:val="toc 3"/>
    <w:basedOn w:val="10"/>
    <w:next w:val="1"/>
    <w:qFormat/>
    <w:uiPriority w:val="0"/>
    <w:pPr>
      <w:spacing w:line="240" w:lineRule="auto"/>
      <w:ind w:left="840" w:leftChars="400"/>
    </w:pPr>
    <w:rPr>
      <w:rFonts w:eastAsia="宋体"/>
      <w:sz w:val="21"/>
      <w:szCs w:val="20"/>
    </w:rPr>
  </w:style>
  <w:style w:type="paragraph" w:styleId="10">
    <w:name w:val="toc 1"/>
    <w:basedOn w:val="1"/>
    <w:next w:val="1"/>
    <w:qFormat/>
    <w:uiPriority w:val="0"/>
  </w:style>
  <w:style w:type="paragraph" w:styleId="11">
    <w:name w:val="Plain Text"/>
    <w:basedOn w:val="1"/>
    <w:link w:val="34"/>
    <w:qFormat/>
    <w:uiPriority w:val="0"/>
    <w:rPr>
      <w:rFonts w:ascii="宋体" w:hAnsi="Courier New" w:eastAsia="宋体" w:cs="Courier New"/>
      <w:sz w:val="21"/>
      <w:szCs w:val="21"/>
    </w:rPr>
  </w:style>
  <w:style w:type="paragraph" w:styleId="12">
    <w:name w:val="Date"/>
    <w:basedOn w:val="1"/>
    <w:next w:val="1"/>
    <w:qFormat/>
    <w:uiPriority w:val="0"/>
    <w:pPr>
      <w:ind w:left="100" w:leftChars="2500"/>
    </w:pPr>
  </w:style>
  <w:style w:type="paragraph" w:styleId="13">
    <w:name w:val="Balloon Text"/>
    <w:basedOn w:val="1"/>
    <w:link w:val="31"/>
    <w:qFormat/>
    <w:uiPriority w:val="0"/>
    <w:pPr>
      <w:spacing w:line="240" w:lineRule="auto"/>
    </w:pPr>
    <w:rPr>
      <w:sz w:val="18"/>
      <w:szCs w:val="18"/>
    </w:rPr>
  </w:style>
  <w:style w:type="paragraph" w:styleId="14">
    <w:name w:val="footer"/>
    <w:basedOn w:val="1"/>
    <w:link w:val="30"/>
    <w:qFormat/>
    <w:uiPriority w:val="99"/>
    <w:pPr>
      <w:tabs>
        <w:tab w:val="center" w:pos="4153"/>
        <w:tab w:val="right" w:pos="8306"/>
      </w:tabs>
      <w:snapToGrid w:val="0"/>
      <w:jc w:val="left"/>
    </w:pPr>
    <w:rPr>
      <w:sz w:val="18"/>
      <w:szCs w:val="18"/>
    </w:rPr>
  </w:style>
  <w:style w:type="paragraph" w:styleId="15">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1"/>
    <w:link w:val="41"/>
    <w:qFormat/>
    <w:uiPriority w:val="0"/>
    <w:pPr>
      <w:spacing w:before="240" w:after="60" w:line="480" w:lineRule="auto"/>
      <w:jc w:val="center"/>
      <w:outlineLvl w:val="0"/>
    </w:pPr>
    <w:rPr>
      <w:rFonts w:ascii="Cambria" w:hAnsi="Cambria" w:eastAsia="宋体"/>
      <w:b/>
      <w:bCs/>
      <w:szCs w:val="32"/>
    </w:rPr>
  </w:style>
  <w:style w:type="paragraph" w:styleId="17">
    <w:name w:val="Body Text First Indent"/>
    <w:basedOn w:val="6"/>
    <w:link w:val="37"/>
    <w:qFormat/>
    <w:uiPriority w:val="0"/>
    <w:pPr>
      <w:ind w:firstLine="420" w:firstLineChars="100"/>
    </w:pPr>
  </w:style>
  <w:style w:type="paragraph" w:styleId="18">
    <w:name w:val="Body Text First Indent 2"/>
    <w:basedOn w:val="7"/>
    <w:next w:val="1"/>
    <w:qFormat/>
    <w:uiPriority w:val="0"/>
    <w:pPr>
      <w:ind w:firstLine="420" w:firstLineChars="200"/>
    </w:pPr>
    <w:rPr>
      <w:sz w:val="21"/>
    </w:rPr>
  </w:style>
  <w:style w:type="character" w:styleId="21">
    <w:name w:val="page number"/>
    <w:basedOn w:val="20"/>
    <w:qFormat/>
    <w:uiPriority w:val="0"/>
  </w:style>
  <w:style w:type="paragraph" w:customStyle="1" w:styleId="2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表格内"/>
    <w:basedOn w:val="1"/>
    <w:qFormat/>
    <w:uiPriority w:val="0"/>
    <w:pPr>
      <w:spacing w:line="360" w:lineRule="exact"/>
      <w:jc w:val="center"/>
    </w:pPr>
    <w:rPr>
      <w:snapToGrid w:val="0"/>
      <w:szCs w:val="21"/>
    </w:rPr>
  </w:style>
  <w:style w:type="paragraph" w:styleId="24">
    <w:name w:val="List Paragraph"/>
    <w:basedOn w:val="1"/>
    <w:qFormat/>
    <w:uiPriority w:val="34"/>
    <w:pPr>
      <w:ind w:firstLine="420" w:firstLineChars="200"/>
    </w:pPr>
  </w:style>
  <w:style w:type="character" w:customStyle="1" w:styleId="25">
    <w:name w:val="正文文本 Char"/>
    <w:basedOn w:val="20"/>
    <w:qFormat/>
    <w:uiPriority w:val="0"/>
    <w:rPr>
      <w:kern w:val="2"/>
      <w:sz w:val="21"/>
      <w:szCs w:val="24"/>
    </w:rPr>
  </w:style>
  <w:style w:type="character" w:customStyle="1" w:styleId="26">
    <w:name w:val="正文文本 Char1"/>
    <w:basedOn w:val="20"/>
    <w:link w:val="6"/>
    <w:qFormat/>
    <w:uiPriority w:val="0"/>
    <w:rPr>
      <w:kern w:val="2"/>
      <w:sz w:val="21"/>
      <w:szCs w:val="24"/>
    </w:rPr>
  </w:style>
  <w:style w:type="character" w:customStyle="1" w:styleId="27">
    <w:name w:val="标题 1 Char"/>
    <w:link w:val="3"/>
    <w:qFormat/>
    <w:uiPriority w:val="0"/>
    <w:rPr>
      <w:b/>
      <w:kern w:val="44"/>
      <w:sz w:val="44"/>
    </w:rPr>
  </w:style>
  <w:style w:type="character" w:customStyle="1" w:styleId="28">
    <w:name w:val="样式 四号"/>
    <w:qFormat/>
    <w:uiPriority w:val="0"/>
    <w:rPr>
      <w:sz w:val="28"/>
    </w:rPr>
  </w:style>
  <w:style w:type="character" w:customStyle="1" w:styleId="29">
    <w:name w:val="页眉 Char"/>
    <w:basedOn w:val="20"/>
    <w:link w:val="15"/>
    <w:qFormat/>
    <w:uiPriority w:val="0"/>
    <w:rPr>
      <w:rFonts w:ascii="Times New Roman" w:hAnsi="Times New Roman" w:eastAsia="仿宋_GB2312"/>
      <w:kern w:val="2"/>
      <w:sz w:val="18"/>
      <w:szCs w:val="18"/>
    </w:rPr>
  </w:style>
  <w:style w:type="character" w:customStyle="1" w:styleId="30">
    <w:name w:val="页脚 Char"/>
    <w:basedOn w:val="20"/>
    <w:link w:val="14"/>
    <w:qFormat/>
    <w:uiPriority w:val="99"/>
    <w:rPr>
      <w:rFonts w:ascii="Times New Roman" w:hAnsi="Times New Roman" w:eastAsia="仿宋_GB2312"/>
      <w:kern w:val="2"/>
      <w:sz w:val="18"/>
      <w:szCs w:val="18"/>
    </w:rPr>
  </w:style>
  <w:style w:type="character" w:customStyle="1" w:styleId="31">
    <w:name w:val="批注框文本 Char"/>
    <w:basedOn w:val="20"/>
    <w:link w:val="13"/>
    <w:qFormat/>
    <w:uiPriority w:val="0"/>
    <w:rPr>
      <w:rFonts w:ascii="Times New Roman" w:hAnsi="Times New Roman" w:eastAsia="仿宋_GB2312"/>
      <w:kern w:val="2"/>
      <w:sz w:val="18"/>
      <w:szCs w:val="18"/>
    </w:rPr>
  </w:style>
  <w:style w:type="character" w:customStyle="1" w:styleId="32">
    <w:name w:val="报告书正文 Char"/>
    <w:link w:val="33"/>
    <w:qFormat/>
    <w:uiPriority w:val="0"/>
    <w:rPr>
      <w:rFonts w:ascii="Times New Roman" w:hAnsi="Times New Roman"/>
      <w:sz w:val="24"/>
      <w:szCs w:val="21"/>
    </w:rPr>
  </w:style>
  <w:style w:type="paragraph" w:customStyle="1" w:styleId="33">
    <w:name w:val="报告书正文"/>
    <w:basedOn w:val="11"/>
    <w:link w:val="32"/>
    <w:qFormat/>
    <w:uiPriority w:val="0"/>
    <w:pPr>
      <w:widowControl/>
      <w:spacing w:line="360" w:lineRule="auto"/>
      <w:ind w:firstLine="480" w:firstLineChars="200"/>
    </w:pPr>
    <w:rPr>
      <w:rFonts w:ascii="Times New Roman" w:hAnsi="Times New Roman" w:cs="Times New Roman"/>
      <w:kern w:val="0"/>
      <w:sz w:val="24"/>
    </w:rPr>
  </w:style>
  <w:style w:type="character" w:customStyle="1" w:styleId="34">
    <w:name w:val="纯文本 Char"/>
    <w:basedOn w:val="20"/>
    <w:link w:val="11"/>
    <w:qFormat/>
    <w:uiPriority w:val="0"/>
    <w:rPr>
      <w:rFonts w:ascii="宋体" w:hAnsi="Courier New" w:cs="Courier New"/>
      <w:kern w:val="2"/>
      <w:sz w:val="21"/>
      <w:szCs w:val="21"/>
    </w:rPr>
  </w:style>
  <w:style w:type="character" w:customStyle="1" w:styleId="35">
    <w:name w:val="表内内容 Char Char"/>
    <w:link w:val="36"/>
    <w:qFormat/>
    <w:uiPriority w:val="0"/>
    <w:rPr>
      <w:rFonts w:ascii="Times New Roman" w:hAnsi="Times New Roman"/>
      <w:kern w:val="2"/>
      <w:sz w:val="21"/>
      <w:szCs w:val="28"/>
    </w:rPr>
  </w:style>
  <w:style w:type="paragraph" w:customStyle="1" w:styleId="36">
    <w:name w:val="表内内容"/>
    <w:basedOn w:val="1"/>
    <w:link w:val="35"/>
    <w:qFormat/>
    <w:uiPriority w:val="0"/>
    <w:pPr>
      <w:adjustRightInd w:val="0"/>
      <w:spacing w:line="240" w:lineRule="auto"/>
      <w:jc w:val="center"/>
    </w:pPr>
    <w:rPr>
      <w:rFonts w:eastAsia="宋体"/>
      <w:sz w:val="21"/>
      <w:szCs w:val="28"/>
    </w:rPr>
  </w:style>
  <w:style w:type="character" w:customStyle="1" w:styleId="37">
    <w:name w:val="正文首行缩进 Char"/>
    <w:basedOn w:val="26"/>
    <w:link w:val="17"/>
    <w:qFormat/>
    <w:uiPriority w:val="0"/>
    <w:rPr>
      <w:rFonts w:ascii="Times New Roman" w:hAnsi="Times New Roman" w:eastAsia="仿宋_GB2312"/>
      <w:kern w:val="2"/>
      <w:sz w:val="32"/>
      <w:szCs w:val="24"/>
    </w:rPr>
  </w:style>
  <w:style w:type="character" w:customStyle="1" w:styleId="38">
    <w:name w:val="！正文 Char"/>
    <w:link w:val="39"/>
    <w:qFormat/>
    <w:uiPriority w:val="0"/>
    <w:rPr>
      <w:rFonts w:ascii="Times New Roman" w:hAnsi="Times New Roman" w:eastAsia="Times New Roman"/>
      <w:sz w:val="24"/>
    </w:rPr>
  </w:style>
  <w:style w:type="paragraph" w:customStyle="1" w:styleId="39">
    <w:name w:val="！正文"/>
    <w:basedOn w:val="1"/>
    <w:link w:val="38"/>
    <w:qFormat/>
    <w:uiPriority w:val="0"/>
    <w:pPr>
      <w:spacing w:line="360" w:lineRule="auto"/>
      <w:ind w:firstLine="643" w:firstLineChars="200"/>
    </w:pPr>
    <w:rPr>
      <w:rFonts w:eastAsia="Times New Roman"/>
      <w:kern w:val="0"/>
      <w:sz w:val="24"/>
      <w:szCs w:val="20"/>
    </w:rPr>
  </w:style>
  <w:style w:type="paragraph" w:customStyle="1" w:styleId="40">
    <w:name w:val="文本"/>
    <w:basedOn w:val="1"/>
    <w:qFormat/>
    <w:uiPriority w:val="0"/>
    <w:pPr>
      <w:adjustRightInd w:val="0"/>
      <w:snapToGrid w:val="0"/>
      <w:spacing w:line="360" w:lineRule="auto"/>
      <w:ind w:firstLine="480" w:firstLineChars="200"/>
      <w:jc w:val="left"/>
    </w:pPr>
    <w:rPr>
      <w:rFonts w:eastAsia="宋体"/>
      <w:kern w:val="0"/>
      <w:sz w:val="24"/>
      <w:lang w:val="zh-CN"/>
    </w:rPr>
  </w:style>
  <w:style w:type="character" w:customStyle="1" w:styleId="41">
    <w:name w:val="标题 Char"/>
    <w:link w:val="16"/>
    <w:qFormat/>
    <w:uiPriority w:val="0"/>
    <w:rPr>
      <w:rFonts w:ascii="Cambria" w:hAnsi="Cambria"/>
      <w:b/>
      <w:bCs/>
      <w:kern w:val="2"/>
      <w:sz w:val="32"/>
      <w:szCs w:val="32"/>
    </w:rPr>
  </w:style>
  <w:style w:type="character" w:customStyle="1" w:styleId="42">
    <w:name w:val="标题 Char1"/>
    <w:basedOn w:val="20"/>
    <w:qFormat/>
    <w:uiPriority w:val="0"/>
    <w:rPr>
      <w:rFonts w:asciiTheme="majorHAnsi" w:hAnsiTheme="majorHAnsi" w:cstheme="majorBidi"/>
      <w:b/>
      <w:bCs/>
      <w:kern w:val="2"/>
      <w:sz w:val="32"/>
      <w:szCs w:val="32"/>
    </w:rPr>
  </w:style>
  <w:style w:type="paragraph" w:customStyle="1" w:styleId="43">
    <w:name w:val="1-正文"/>
    <w:basedOn w:val="1"/>
    <w:qFormat/>
    <w:uiPriority w:val="0"/>
    <w:pPr>
      <w:spacing w:line="360" w:lineRule="auto"/>
      <w:ind w:firstLine="200" w:firstLineChars="200"/>
    </w:pPr>
    <w:rPr>
      <w:rFonts w:eastAsia="宋体"/>
      <w:sz w:val="21"/>
      <w:szCs w:val="22"/>
    </w:rPr>
  </w:style>
  <w:style w:type="paragraph" w:customStyle="1" w:styleId="44">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E18DF-076C-47BF-BA7D-A758E89BE82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1759</Words>
  <Characters>1877</Characters>
  <Lines>13</Lines>
  <Paragraphs>3</Paragraphs>
  <TotalTime>15</TotalTime>
  <ScaleCrop>false</ScaleCrop>
  <LinksUpToDate>false</LinksUpToDate>
  <CharactersWithSpaces>1944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2020-09-01T09:20:00Z</dcterms:created>
  <dc:creator>微软系统</dc:creator>
  <cp:lastModifiedBy>Administrator</cp:lastModifiedBy>
  <cp:lastPrinted>2023-10-07T10:02:00Z</cp:lastPrinted>
  <dcterms:modified xsi:type="dcterms:W3CDTF">2023-11-09T09:49:00Z</dcterms:modified>
  <dc:title>鄯政环〔2014〕号</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92931615BEC542A694A54920FD5FBE4F_13</vt:lpwstr>
  </property>
</Properties>
</file>