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szCs w:val="32"/>
        </w:rPr>
      </w:pPr>
      <w:r>
        <w:rPr>
          <w:rFonts w:hint="eastAsia" w:ascii="仿宋_GB2312" w:hAnsi="仿宋_GB2312" w:eastAsia="仿宋_GB2312" w:cs="仿宋_GB2312"/>
          <w:color w:val="auto"/>
          <w:sz w:val="32"/>
          <w:szCs w:val="32"/>
        </w:rPr>
        <w:t>吐市环监函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关于吐鲁番市安能顺合环保科技有限责任公司废铅蓄电池集中转运点建设项目</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环境影响报告表的批复</w:t>
      </w:r>
    </w:p>
    <w:p>
      <w:pPr>
        <w:pStyle w:val="18"/>
        <w:keepNext w:val="0"/>
        <w:keepLines w:val="0"/>
        <w:pageBreakBefore w:val="0"/>
        <w:kinsoku/>
        <w:wordWrap/>
        <w:overflowPunct/>
        <w:topLinePunct w:val="0"/>
        <w:autoSpaceDE/>
        <w:autoSpaceDN/>
        <w:bidi w:val="0"/>
        <w:adjustRightInd/>
        <w:snapToGrid/>
        <w:spacing w:after="0" w:line="600" w:lineRule="exact"/>
        <w:ind w:firstLine="320"/>
        <w:textAlignment w:val="auto"/>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szCs w:val="32"/>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吐鲁番市安能顺合环保科技有限责任公司</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szCs w:val="32"/>
        </w:rPr>
      </w:pPr>
      <w:r>
        <w:rPr>
          <w:rFonts w:hint="eastAsia" w:ascii="仿宋_GB2312"/>
          <w:szCs w:val="32"/>
        </w:rPr>
        <w:t>你单位《关于&lt;</w:t>
      </w:r>
      <w:r>
        <w:rPr>
          <w:rFonts w:hint="eastAsia"/>
          <w:szCs w:val="21"/>
        </w:rPr>
        <w:t>吐鲁番市安能顺合环保科技有限责任公司废铅蓄电池集中转运点建设项目</w:t>
      </w:r>
      <w:r>
        <w:rPr>
          <w:rFonts w:hint="eastAsia" w:ascii="仿宋_GB2312"/>
          <w:szCs w:val="32"/>
        </w:rPr>
        <w:t>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一、</w:t>
      </w:r>
      <w:r>
        <w:rPr>
          <w:rFonts w:hint="eastAsia"/>
          <w:szCs w:val="21"/>
        </w:rPr>
        <w:t>吐鲁番市安能顺合环保科技有限责任公司废铅蓄电池集中转运点建设项目</w:t>
      </w:r>
      <w:r>
        <w:rPr>
          <w:rFonts w:hint="eastAsia" w:ascii="仿宋_GB2312"/>
          <w:szCs w:val="32"/>
        </w:rPr>
        <w:t>位于</w:t>
      </w:r>
      <w:r>
        <w:rPr>
          <w:rFonts w:hint="eastAsia"/>
          <w:szCs w:val="21"/>
        </w:rPr>
        <w:t>吐鲁番</w:t>
      </w:r>
      <w:r>
        <w:rPr>
          <w:rFonts w:hint="eastAsia" w:ascii="仿宋_GB2312" w:hAnsi="仿宋_GB2312" w:eastAsia="仿宋_GB2312" w:cs="仿宋_GB2312"/>
          <w:szCs w:val="21"/>
        </w:rPr>
        <w:t>高昌区312国道盛达商贸有限公司北面宋峰物流园内</w:t>
      </w:r>
      <w:bookmarkStart w:id="0" w:name="_GoBack"/>
      <w:bookmarkEnd w:id="0"/>
      <w:r>
        <w:rPr>
          <w:rFonts w:hint="eastAsia" w:ascii="仿宋_GB2312" w:hAnsi="仿宋_GB2312" w:eastAsia="仿宋_GB2312" w:cs="仿宋_GB2312"/>
          <w:szCs w:val="32"/>
        </w:rPr>
        <w:t>。本项</w:t>
      </w:r>
      <w:r>
        <w:rPr>
          <w:rFonts w:hint="eastAsia" w:ascii="仿宋_GB2312"/>
          <w:szCs w:val="32"/>
        </w:rPr>
        <w:t>目建</w:t>
      </w:r>
      <w:r>
        <w:rPr>
          <w:rFonts w:hint="eastAsia" w:ascii="仿宋_GB2312" w:hAnsi="仿宋_GB2312" w:eastAsia="仿宋_GB2312" w:cs="仿宋_GB2312"/>
          <w:szCs w:val="21"/>
        </w:rPr>
        <w:t>设性质为新建，计划年回收中转废旧铅酸蓄电池600吨，</w:t>
      </w:r>
      <w:r>
        <w:rPr>
          <w:rFonts w:hint="eastAsia" w:ascii="仿宋_GB2312" w:hAnsi="仿宋_GB2312" w:eastAsia="仿宋_GB2312" w:cs="仿宋_GB2312"/>
          <w:szCs w:val="32"/>
          <w:lang w:val="en-US" w:eastAsia="zh-CN"/>
        </w:rPr>
        <w:t>设计</w:t>
      </w:r>
      <w:r>
        <w:rPr>
          <w:rFonts w:hint="eastAsia" w:ascii="仿宋_GB2312" w:hAnsi="仿宋_GB2312" w:eastAsia="仿宋_GB2312" w:cs="仿宋_GB2312"/>
          <w:szCs w:val="32"/>
        </w:rPr>
        <w:t>最大贮存量100t/a</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贮存周期</w:t>
      </w:r>
      <w:r>
        <w:rPr>
          <w:rFonts w:hint="eastAsia" w:ascii="仿宋_GB2312" w:hAnsi="仿宋_GB2312" w:eastAsia="仿宋_GB2312" w:cs="仿宋_GB2312"/>
          <w:szCs w:val="32"/>
          <w:lang w:val="en-US" w:eastAsia="zh-CN"/>
        </w:rPr>
        <w:t>60天。</w:t>
      </w:r>
      <w:r>
        <w:rPr>
          <w:rFonts w:hint="eastAsia" w:ascii="仿宋_GB2312"/>
          <w:szCs w:val="32"/>
          <w:lang w:eastAsia="zh-CN"/>
        </w:rPr>
        <w:t>项目租用厂房回收中转废旧铅酸蓄电池，该厂房已建成，厂房总面积为700m</w:t>
      </w:r>
      <w:r>
        <w:rPr>
          <w:rFonts w:hint="eastAsia" w:ascii="仿宋_GB2312"/>
          <w:szCs w:val="32"/>
          <w:vertAlign w:val="superscript"/>
          <w:lang w:eastAsia="zh-CN"/>
        </w:rPr>
        <w:t>2</w:t>
      </w:r>
      <w:r>
        <w:rPr>
          <w:rFonts w:hint="eastAsia" w:ascii="仿宋_GB2312"/>
          <w:szCs w:val="32"/>
          <w:lang w:eastAsia="zh-CN"/>
        </w:rPr>
        <w:t>，设一个废旧铅酸蓄电池仓库和办公区，仓库包括卸货区、分类区、废旧铅酸蓄电池暂存区等，不涉及废旧电池的运输及拆解、深加工回收利用</w:t>
      </w:r>
      <w:r>
        <w:rPr>
          <w:rFonts w:hint="eastAsia" w:ascii="仿宋_GB2312"/>
          <w:szCs w:val="32"/>
          <w:lang w:val="en-US" w:eastAsia="zh-CN"/>
        </w:rPr>
        <w:t>。项目</w:t>
      </w:r>
      <w:r>
        <w:rPr>
          <w:rFonts w:hint="eastAsia" w:ascii="仿宋_GB2312"/>
          <w:szCs w:val="32"/>
        </w:rPr>
        <w:t>总占地面积为</w:t>
      </w:r>
      <w:r>
        <w:rPr>
          <w:rFonts w:hint="eastAsia" w:ascii="仿宋_GB2312"/>
          <w:szCs w:val="32"/>
          <w:lang w:val="en-US" w:eastAsia="zh-CN"/>
        </w:rPr>
        <w:t>700</w:t>
      </w:r>
      <w:r>
        <w:rPr>
          <w:rFonts w:hint="eastAsia" w:ascii="仿宋_GB2312"/>
          <w:szCs w:val="32"/>
        </w:rPr>
        <w:t>m</w:t>
      </w:r>
      <w:r>
        <w:rPr>
          <w:rFonts w:hint="eastAsia" w:ascii="仿宋_GB2312"/>
          <w:szCs w:val="32"/>
          <w:vertAlign w:val="superscript"/>
        </w:rPr>
        <w:t>2</w:t>
      </w:r>
      <w:r>
        <w:rPr>
          <w:rFonts w:hint="eastAsia" w:ascii="仿宋_GB2312"/>
          <w:szCs w:val="32"/>
        </w:rPr>
        <w:t>，总投资</w:t>
      </w:r>
      <w:r>
        <w:rPr>
          <w:rFonts w:hint="eastAsia" w:ascii="仿宋_GB2312"/>
          <w:szCs w:val="32"/>
          <w:lang w:val="en-US" w:eastAsia="zh-CN"/>
        </w:rPr>
        <w:t>100</w:t>
      </w:r>
      <w:r>
        <w:rPr>
          <w:rFonts w:hint="eastAsia" w:ascii="仿宋_GB2312"/>
          <w:szCs w:val="32"/>
        </w:rPr>
        <w:t>万元，其中环保投资</w:t>
      </w:r>
      <w:r>
        <w:rPr>
          <w:rFonts w:hint="eastAsia" w:ascii="仿宋_GB2312"/>
          <w:szCs w:val="32"/>
          <w:lang w:val="en-US" w:eastAsia="zh-CN"/>
        </w:rPr>
        <w:t>35</w:t>
      </w:r>
      <w:r>
        <w:rPr>
          <w:rFonts w:hint="eastAsia" w:ascii="仿宋_GB2312"/>
          <w:szCs w:val="32"/>
        </w:rPr>
        <w:t>万元，占总投资的</w:t>
      </w:r>
      <w:r>
        <w:rPr>
          <w:rFonts w:hint="eastAsia" w:ascii="仿宋_GB2312"/>
          <w:szCs w:val="32"/>
          <w:lang w:val="en-US" w:eastAsia="zh-CN"/>
        </w:rPr>
        <w:t>35</w:t>
      </w:r>
      <w:r>
        <w:rPr>
          <w:rFonts w:ascii="仿宋_GB2312"/>
          <w:szCs w:val="32"/>
        </w:rPr>
        <w:t>%</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根据</w:t>
      </w:r>
      <w:r>
        <w:rPr>
          <w:rFonts w:hint="eastAsia" w:ascii="仿宋_GB2312"/>
          <w:szCs w:val="32"/>
          <w:lang w:eastAsia="zh-CN"/>
        </w:rPr>
        <w:t>新疆东创环保工程咨询有限公司</w:t>
      </w:r>
      <w:r>
        <w:rPr>
          <w:rFonts w:hint="eastAsia" w:ascii="仿宋_GB2312"/>
          <w:szCs w:val="32"/>
        </w:rPr>
        <w:t>编制的《</w:t>
      </w:r>
      <w:r>
        <w:rPr>
          <w:rFonts w:hint="eastAsia"/>
          <w:szCs w:val="21"/>
        </w:rPr>
        <w:t>吐鲁番市安能顺合环保科技有限责任公司废铅蓄电池集中转运点建设项目</w:t>
      </w:r>
      <w:r>
        <w:rPr>
          <w:rFonts w:hint="eastAsia" w:ascii="仿宋_GB2312"/>
          <w:szCs w:val="32"/>
        </w:rPr>
        <w:t>环境影响报告表》评价结论、</w:t>
      </w:r>
      <w:r>
        <w:rPr>
          <w:rFonts w:hint="eastAsia" w:ascii="仿宋_GB2312"/>
          <w:szCs w:val="32"/>
          <w:lang w:eastAsia="zh-CN"/>
        </w:rPr>
        <w:t>高昌区</w:t>
      </w:r>
      <w:r>
        <w:rPr>
          <w:rFonts w:hint="eastAsia" w:ascii="仿宋_GB2312"/>
          <w:szCs w:val="32"/>
        </w:rPr>
        <w:t>分局《关于</w:t>
      </w:r>
      <w:r>
        <w:rPr>
          <w:rFonts w:hint="eastAsia" w:ascii="仿宋_GB2312"/>
          <w:szCs w:val="32"/>
          <w:lang w:val="en-US" w:eastAsia="zh-CN"/>
        </w:rPr>
        <w:t>&lt;</w:t>
      </w:r>
      <w:r>
        <w:rPr>
          <w:rFonts w:hint="eastAsia"/>
          <w:szCs w:val="21"/>
        </w:rPr>
        <w:t>吐鲁番市安能顺合环保科技有限责任公司废铅蓄电池集中转运点建设项目</w:t>
      </w:r>
      <w:r>
        <w:rPr>
          <w:rFonts w:hint="eastAsia" w:ascii="仿宋_GB2312"/>
          <w:szCs w:val="32"/>
        </w:rPr>
        <w:t>环境影响报告表&gt;的初审意见》</w:t>
      </w:r>
      <w:r>
        <w:rPr>
          <w:rFonts w:hint="eastAsia" w:ascii="仿宋_GB2312"/>
          <w:color w:val="auto"/>
          <w:szCs w:val="32"/>
        </w:rPr>
        <w:t>（</w:t>
      </w:r>
      <w:r>
        <w:rPr>
          <w:rFonts w:hint="eastAsia" w:ascii="仿宋_GB2312"/>
          <w:color w:val="auto"/>
          <w:szCs w:val="32"/>
          <w:lang w:eastAsia="zh-CN"/>
        </w:rPr>
        <w:t>高环监函</w:t>
      </w:r>
      <w:r>
        <w:rPr>
          <w:rFonts w:hint="eastAsia" w:ascii="仿宋_GB2312" w:hAnsi="仿宋_GB2312" w:eastAsia="仿宋_GB2312" w:cs="仿宋_GB2312"/>
          <w:color w:val="auto"/>
          <w:szCs w:val="32"/>
          <w:lang w:eastAsia="zh-CN"/>
        </w:rPr>
        <w:t>〔</w:t>
      </w:r>
      <w:r>
        <w:rPr>
          <w:rFonts w:hint="eastAsia" w:ascii="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color w:val="auto"/>
          <w:szCs w:val="32"/>
          <w:lang w:val="en-US" w:eastAsia="zh-CN"/>
        </w:rPr>
        <w:t>013</w:t>
      </w:r>
      <w:r>
        <w:rPr>
          <w:rFonts w:hint="eastAsia" w:ascii="仿宋_GB2312"/>
          <w:szCs w:val="32"/>
        </w:rPr>
        <w:t>号），从环境保护的角度，原则同意该项目按照《报告表》中所列项目地</w:t>
      </w:r>
      <w:r>
        <w:rPr>
          <w:rFonts w:hint="eastAsia" w:ascii="仿宋_GB2312" w:cs="宋体"/>
          <w:kern w:val="0"/>
          <w:szCs w:val="32"/>
        </w:rPr>
        <w:t>点、性质、规模及环境保护措施建设。</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_GB2312" w:cs="宋体"/>
          <w:kern w:val="0"/>
          <w:szCs w:val="32"/>
        </w:rPr>
      </w:pPr>
      <w:r>
        <w:rPr>
          <w:rFonts w:hint="eastAsia" w:ascii="仿宋_GB2312" w:cs="宋体"/>
          <w:kern w:val="0"/>
          <w:szCs w:val="32"/>
        </w:rPr>
        <w:t>在工程设计、建设和环境管理中要认真落实《报告表》提出的各项环保要求，严格执行环保“三同时”制度，确保各类污染物稳定达标排放，并达到以下要求: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rPr>
        <w:t>（一）落实施工期各项环保措施。</w:t>
      </w:r>
      <w:r>
        <w:rPr>
          <w:rFonts w:hint="eastAsia"/>
          <w:lang w:val="en-US" w:eastAsia="zh-CN"/>
        </w:rPr>
        <w:t>项目应</w:t>
      </w:r>
      <w:r>
        <w:rPr>
          <w:rFonts w:hint="eastAsia"/>
        </w:rPr>
        <w:t>加强施工期间的环境保护管理工作，防止施工期废水、扬尘、固体废物和噪声对周围环境产生不利影响，施工结束后及时恢复。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rPr>
      </w:pPr>
      <w:r>
        <w:rPr>
          <w:rFonts w:hint="eastAsia" w:ascii="仿宋_GB2312" w:cs="宋体"/>
          <w:kern w:val="0"/>
          <w:szCs w:val="32"/>
        </w:rPr>
        <w:t>（二）严格落实废气污染防治措施。项目运营期产生的废气主要为破损废旧铅酸蓄电池暂存过程中挥发的酸性气体（硫酸）。库房设置机械排风系统</w:t>
      </w:r>
      <w:r>
        <w:rPr>
          <w:rFonts w:hint="eastAsia" w:ascii="仿宋_GB2312" w:cs="宋体"/>
          <w:kern w:val="0"/>
          <w:szCs w:val="32"/>
          <w:lang w:eastAsia="zh-CN"/>
        </w:rPr>
        <w:t>，</w:t>
      </w:r>
      <w:r>
        <w:rPr>
          <w:rFonts w:hint="eastAsia" w:ascii="仿宋_GB2312" w:cs="宋体"/>
          <w:kern w:val="0"/>
          <w:szCs w:val="32"/>
          <w:lang w:val="en-US" w:eastAsia="zh-CN"/>
        </w:rPr>
        <w:t>并设置</w:t>
      </w:r>
      <w:r>
        <w:rPr>
          <w:rFonts w:hint="eastAsia" w:ascii="仿宋_GB2312" w:cs="宋体"/>
          <w:kern w:val="0"/>
          <w:szCs w:val="32"/>
        </w:rPr>
        <w:t>破损蓄电池贮存区，破损的废旧铅蓄电池应及时放至耐酸塑料桶（耐酸、防渗，密闭）进行存放，</w:t>
      </w:r>
      <w:r>
        <w:rPr>
          <w:rFonts w:hint="eastAsia" w:ascii="仿宋_GB2312" w:cs="宋体"/>
          <w:kern w:val="0"/>
          <w:szCs w:val="32"/>
          <w:lang w:val="en-US" w:eastAsia="zh-CN"/>
        </w:rPr>
        <w:t>交由有</w:t>
      </w:r>
      <w:r>
        <w:rPr>
          <w:rFonts w:hint="eastAsia" w:ascii="仿宋_GB2312" w:cs="宋体"/>
          <w:kern w:val="0"/>
          <w:szCs w:val="32"/>
        </w:rPr>
        <w:t>资质</w:t>
      </w:r>
      <w:r>
        <w:rPr>
          <w:rFonts w:hint="eastAsia" w:ascii="仿宋_GB2312" w:cs="宋体"/>
          <w:kern w:val="0"/>
          <w:szCs w:val="32"/>
          <w:lang w:val="en-US" w:eastAsia="zh-CN"/>
        </w:rPr>
        <w:t>的</w:t>
      </w:r>
      <w:r>
        <w:rPr>
          <w:rFonts w:hint="eastAsia" w:ascii="仿宋_GB2312" w:cs="宋体"/>
          <w:kern w:val="0"/>
          <w:szCs w:val="32"/>
        </w:rPr>
        <w:t>单位进行处置。挥发的硫酸雾</w:t>
      </w:r>
      <w:r>
        <w:rPr>
          <w:rFonts w:hint="eastAsia" w:ascii="仿宋_GB2312" w:cs="宋体"/>
          <w:kern w:val="0"/>
          <w:szCs w:val="32"/>
          <w:lang w:val="en-US" w:eastAsia="zh-CN"/>
        </w:rPr>
        <w:t>采取</w:t>
      </w:r>
      <w:r>
        <w:rPr>
          <w:rFonts w:hint="eastAsia" w:ascii="仿宋_GB2312" w:cs="宋体"/>
          <w:kern w:val="0"/>
          <w:szCs w:val="32"/>
          <w:lang w:eastAsia="zh-CN"/>
        </w:rPr>
        <w:t>“</w:t>
      </w:r>
      <w:r>
        <w:rPr>
          <w:rFonts w:hint="eastAsia" w:ascii="仿宋_GB2312" w:cs="宋体"/>
          <w:kern w:val="0"/>
          <w:szCs w:val="32"/>
          <w:lang w:val="en-US" w:eastAsia="zh-CN"/>
        </w:rPr>
        <w:t>区域密闭+</w:t>
      </w:r>
      <w:r>
        <w:rPr>
          <w:rFonts w:hint="eastAsia" w:ascii="仿宋_GB2312" w:cs="宋体"/>
          <w:kern w:val="0"/>
          <w:szCs w:val="32"/>
        </w:rPr>
        <w:t>负压收集+碱液喷淋</w:t>
      </w:r>
      <w:r>
        <w:rPr>
          <w:rFonts w:hint="eastAsia" w:ascii="仿宋_GB2312" w:cs="宋体"/>
          <w:kern w:val="0"/>
          <w:szCs w:val="32"/>
          <w:lang w:eastAsia="zh-CN"/>
        </w:rPr>
        <w:t>”</w:t>
      </w:r>
      <w:r>
        <w:rPr>
          <w:rFonts w:hint="eastAsia" w:ascii="仿宋_GB2312" w:cs="宋体"/>
          <w:kern w:val="0"/>
          <w:szCs w:val="32"/>
          <w:lang w:val="en-US" w:eastAsia="zh-CN"/>
        </w:rPr>
        <w:t>措施</w:t>
      </w:r>
      <w:r>
        <w:rPr>
          <w:rFonts w:hint="eastAsia" w:ascii="仿宋_GB2312" w:cs="宋体"/>
          <w:kern w:val="0"/>
          <w:szCs w:val="32"/>
        </w:rPr>
        <w:t>处理后</w:t>
      </w:r>
      <w:r>
        <w:rPr>
          <w:rFonts w:hint="eastAsia" w:ascii="仿宋_GB2312" w:cs="宋体"/>
          <w:kern w:val="0"/>
          <w:szCs w:val="32"/>
          <w:lang w:val="en-US" w:eastAsia="zh-CN"/>
        </w:rPr>
        <w:t>通过</w:t>
      </w:r>
      <w:r>
        <w:rPr>
          <w:rFonts w:hint="eastAsia" w:ascii="仿宋_GB2312" w:cs="宋体"/>
          <w:kern w:val="0"/>
          <w:szCs w:val="32"/>
        </w:rPr>
        <w:t>一根15米排气筒排放</w:t>
      </w:r>
      <w:r>
        <w:rPr>
          <w:rFonts w:hint="eastAsia" w:ascii="仿宋_GB2312" w:cs="宋体"/>
          <w:kern w:val="0"/>
          <w:szCs w:val="32"/>
          <w:lang w:eastAsia="zh-CN"/>
        </w:rPr>
        <w:t>，</w:t>
      </w:r>
      <w:r>
        <w:rPr>
          <w:rFonts w:hint="eastAsia" w:ascii="仿宋_GB2312" w:cs="宋体"/>
          <w:kern w:val="0"/>
          <w:szCs w:val="32"/>
        </w:rPr>
        <w:t>废气排放浓度应满足《大气污染物综合排放标准》（GB16297-1996）表2二级标准限值要求。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rPr>
      </w:pPr>
      <w:r>
        <w:rPr>
          <w:rFonts w:hint="eastAsia" w:ascii="仿宋_GB2312" w:cs="宋体"/>
          <w:kern w:val="0"/>
          <w:szCs w:val="32"/>
        </w:rPr>
        <w:t>（三）落实水污染防治措施。项目运营期</w:t>
      </w:r>
      <w:r>
        <w:rPr>
          <w:rFonts w:hint="eastAsia" w:ascii="仿宋_GB2312" w:cs="宋体"/>
          <w:kern w:val="0"/>
          <w:szCs w:val="32"/>
          <w:lang w:eastAsia="zh-CN"/>
        </w:rPr>
        <w:t>无生产废水产生，生活废水</w:t>
      </w:r>
      <w:r>
        <w:rPr>
          <w:rFonts w:hint="eastAsia" w:ascii="仿宋_GB2312" w:cs="宋体"/>
          <w:kern w:val="0"/>
          <w:szCs w:val="32"/>
        </w:rPr>
        <w:t>排入市政污水管网，最终进入污水处理厂处理。地面重点防渗区周围设置导流沟</w:t>
      </w:r>
      <w:r>
        <w:rPr>
          <w:rFonts w:hint="eastAsia" w:ascii="仿宋_GB2312" w:cs="宋体"/>
          <w:kern w:val="0"/>
          <w:szCs w:val="32"/>
          <w:lang w:eastAsia="zh-CN"/>
        </w:rPr>
        <w:t>，</w:t>
      </w:r>
      <w:r>
        <w:rPr>
          <w:rFonts w:hint="eastAsia" w:ascii="仿宋_GB2312" w:cs="宋体"/>
          <w:kern w:val="0"/>
          <w:szCs w:val="32"/>
        </w:rPr>
        <w:t>在破损废旧蓄电池储存区设漏液收集池，保证废液发生泄漏时可以及时收集，妥善收集后由有资质的单位进行拉运及处理。项目服务期满后，按相关规定将所收集的废铅酸蓄电池全部转运至废铅蓄电池利用处置单位，对场地进行彻底清理，恢复原状后，进行地下水监测，分析建设项目对地下水是否造成地环境影响，如产生影响，应采取相应的污染治理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cs="宋体"/>
          <w:kern w:val="0"/>
          <w:szCs w:val="32"/>
          <w:lang w:eastAsia="zh-CN"/>
        </w:rPr>
      </w:pPr>
      <w:r>
        <w:rPr>
          <w:rFonts w:hint="eastAsia" w:ascii="仿宋_GB2312" w:cs="宋体"/>
          <w:kern w:val="0"/>
          <w:szCs w:val="32"/>
        </w:rPr>
        <w:t>（四）落实固体废物污染防治措施。项目运营期产生</w:t>
      </w:r>
      <w:r>
        <w:rPr>
          <w:rFonts w:hint="eastAsia" w:ascii="仿宋_GB2312" w:cs="宋体"/>
          <w:kern w:val="0"/>
          <w:szCs w:val="32"/>
          <w:lang w:eastAsia="zh-CN"/>
        </w:rPr>
        <w:t>的生活垃圾经垃圾桶收集后，定期交由当地环卫部门转运处理，一般固废管理满足《一般工业固体废物贮存和填埋污染控制标准》（GB18599-2020）要求。项目区地面按照危险废物贮存的相关规范及要求进行地面重点防渗处理，</w:t>
      </w:r>
      <w:r>
        <w:rPr>
          <w:rFonts w:hint="eastAsia" w:ascii="仿宋_GB2312" w:cs="宋体"/>
          <w:kern w:val="0"/>
          <w:szCs w:val="32"/>
          <w:lang w:val="en-US" w:eastAsia="zh-CN"/>
        </w:rPr>
        <w:t>并</w:t>
      </w:r>
      <w:r>
        <w:rPr>
          <w:rFonts w:hint="eastAsia" w:ascii="仿宋_GB2312" w:cs="宋体"/>
          <w:kern w:val="0"/>
          <w:szCs w:val="32"/>
          <w:lang w:eastAsia="zh-CN"/>
        </w:rPr>
        <w:t>设置导流沟、围堰和事故应急池，定期对项目区防渗措施进行巡检。废铅酸蓄电池泄漏液应及时收集至耐酸塑料桶并定期送有资质单位进行处置；废旧个体防护装备、废拖把、废抹布经耐酸塑料桶收集后</w:t>
      </w:r>
      <w:r>
        <w:rPr>
          <w:rFonts w:hint="eastAsia" w:ascii="仿宋_GB2312" w:cs="宋体"/>
          <w:kern w:val="0"/>
          <w:szCs w:val="32"/>
          <w:lang w:val="en-US" w:eastAsia="zh-CN"/>
        </w:rPr>
        <w:t>交由有</w:t>
      </w:r>
      <w:r>
        <w:rPr>
          <w:rFonts w:hint="eastAsia" w:ascii="仿宋_GB2312" w:cs="宋体"/>
          <w:kern w:val="0"/>
          <w:szCs w:val="32"/>
          <w:lang w:eastAsia="zh-CN"/>
        </w:rPr>
        <w:t>资质的单位处理；喷淋废液经耐酸耐碱塑料桶收集后</w:t>
      </w:r>
      <w:r>
        <w:rPr>
          <w:rFonts w:hint="eastAsia" w:ascii="仿宋_GB2312" w:cs="宋体"/>
          <w:kern w:val="0"/>
          <w:szCs w:val="32"/>
          <w:lang w:val="en-US" w:eastAsia="zh-CN"/>
        </w:rPr>
        <w:t>交由有</w:t>
      </w:r>
      <w:r>
        <w:rPr>
          <w:rFonts w:hint="eastAsia" w:ascii="仿宋_GB2312" w:cs="宋体"/>
          <w:kern w:val="0"/>
          <w:szCs w:val="32"/>
          <w:lang w:eastAsia="zh-CN"/>
        </w:rPr>
        <w:t>资质的单位处理；废旧耐酸塑料桶收集后</w:t>
      </w:r>
      <w:r>
        <w:rPr>
          <w:rFonts w:hint="eastAsia" w:ascii="仿宋_GB2312" w:cs="宋体"/>
          <w:kern w:val="0"/>
          <w:szCs w:val="32"/>
          <w:lang w:val="en-US" w:eastAsia="zh-CN"/>
        </w:rPr>
        <w:t>交由有</w:t>
      </w:r>
      <w:r>
        <w:rPr>
          <w:rFonts w:hint="eastAsia" w:ascii="仿宋_GB2312" w:cs="宋体"/>
          <w:kern w:val="0"/>
          <w:szCs w:val="32"/>
          <w:lang w:eastAsia="zh-CN"/>
        </w:rPr>
        <w:t>资质的单位处理，危险废物的管理应满足《危险废物贮存污染控制标准》（GB18597-2023）、《危险废物收集贮存运输技术规范》（HJ2025-2012)及《危险废物转移管理办法》（部令第23号）要求。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32"/>
          <w:lang w:eastAsia="zh-CN"/>
        </w:rPr>
      </w:pPr>
      <w:r>
        <w:rPr>
          <w:rFonts w:hint="eastAsia" w:ascii="仿宋_GB2312" w:cs="宋体"/>
          <w:szCs w:val="32"/>
        </w:rPr>
        <w:t>（五）</w:t>
      </w:r>
      <w:r>
        <w:rPr>
          <w:rFonts w:hint="eastAsia" w:ascii="仿宋_GB2312"/>
          <w:szCs w:val="32"/>
        </w:rPr>
        <w:t>落实噪声防治措施。</w:t>
      </w:r>
      <w:r>
        <w:rPr>
          <w:rFonts w:hint="eastAsia" w:ascii="仿宋_GB2312"/>
          <w:szCs w:val="32"/>
          <w:lang w:val="en-US" w:eastAsia="zh-CN"/>
        </w:rPr>
        <w:t>项目设备选型时选用先进的低噪声设备，高噪声设备均安置在室内，采取隔声、吸声等防护措施，运</w:t>
      </w:r>
      <w:r>
        <w:rPr>
          <w:rFonts w:hint="eastAsia" w:ascii="仿宋_GB2312"/>
          <w:szCs w:val="32"/>
        </w:rPr>
        <w:t>营期厂界</w:t>
      </w:r>
      <w:r>
        <w:rPr>
          <w:rFonts w:hint="eastAsia" w:ascii="仿宋_GB2312"/>
          <w:szCs w:val="32"/>
          <w:lang w:eastAsia="zh-CN"/>
        </w:rPr>
        <w:t>噪声满足</w:t>
      </w:r>
      <w:r>
        <w:rPr>
          <w:rFonts w:hint="eastAsia" w:ascii="仿宋_GB2312"/>
          <w:szCs w:val="32"/>
        </w:rPr>
        <w:t>《工业企业厂界环境噪声排放标准》（GB12348-2008）</w:t>
      </w:r>
      <w:r>
        <w:rPr>
          <w:rFonts w:hint="eastAsia" w:ascii="仿宋_GB2312"/>
          <w:szCs w:val="32"/>
          <w:lang w:eastAsia="zh-CN"/>
        </w:rPr>
        <w:t>中</w:t>
      </w:r>
      <w:r>
        <w:rPr>
          <w:rFonts w:hint="eastAsia" w:ascii="仿宋_GB2312"/>
          <w:szCs w:val="32"/>
          <w:lang w:val="en-US" w:eastAsia="zh-CN"/>
        </w:rPr>
        <w:t>2</w:t>
      </w:r>
      <w:r>
        <w:rPr>
          <w:rFonts w:hint="eastAsia" w:ascii="仿宋_GB2312"/>
          <w:szCs w:val="32"/>
        </w:rPr>
        <w:t>类标准</w:t>
      </w:r>
      <w:r>
        <w:rPr>
          <w:rFonts w:hint="eastAsia" w:ascii="仿宋_GB2312"/>
          <w:szCs w:val="32"/>
          <w:lang w:eastAsia="zh-CN"/>
        </w:rPr>
        <w:t>要求</w:t>
      </w:r>
      <w:r>
        <w:rPr>
          <w:rFonts w:hint="eastAsia" w:ascii="仿宋_GB2312"/>
          <w:szCs w:val="32"/>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w:t>
      </w:r>
      <w:r>
        <w:rPr>
          <w:rFonts w:hint="eastAsia" w:ascii="仿宋_GB2312"/>
          <w:szCs w:val="32"/>
          <w:lang w:val="en-US" w:eastAsia="zh-CN"/>
        </w:rPr>
        <w:t>六</w:t>
      </w:r>
      <w:r>
        <w:rPr>
          <w:rFonts w:hint="eastAsia" w:ascii="仿宋_GB2312"/>
          <w:szCs w:val="32"/>
        </w:rPr>
        <w:t>）建立严格的环境管理体系。</w:t>
      </w:r>
      <w:r>
        <w:rPr>
          <w:rFonts w:hint="eastAsia" w:ascii="仿宋_GB2312"/>
          <w:szCs w:val="32"/>
          <w:lang w:val="en-US" w:eastAsia="zh-CN"/>
        </w:rPr>
        <w:t>项目</w:t>
      </w:r>
      <w:r>
        <w:rPr>
          <w:rFonts w:hint="eastAsia" w:ascii="仿宋_GB2312"/>
          <w:szCs w:val="32"/>
        </w:rPr>
        <w:t>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szCs w:val="32"/>
        </w:rPr>
      </w:pPr>
      <w:r>
        <w:rPr>
          <w:rFonts w:hint="eastAsia" w:ascii="仿宋_GB2312"/>
          <w:szCs w:val="32"/>
        </w:rPr>
        <w:t>三、本项目</w:t>
      </w:r>
      <w:r>
        <w:rPr>
          <w:rFonts w:hint="eastAsia" w:ascii="仿宋_GB2312"/>
          <w:szCs w:val="32"/>
          <w:lang w:eastAsia="zh-CN"/>
        </w:rPr>
        <w:t>不设</w:t>
      </w:r>
      <w:r>
        <w:rPr>
          <w:rFonts w:hint="eastAsia" w:ascii="仿宋_GB2312"/>
          <w:szCs w:val="32"/>
        </w:rPr>
        <w:t>污染物总量控制指标。本项目在发生实际排污行为之前，</w:t>
      </w:r>
      <w:r>
        <w:rPr>
          <w:rFonts w:hint="eastAsia" w:ascii="仿宋_GB2312" w:hAnsi="仿宋_GB2312" w:cs="仿宋_GB2312"/>
          <w:szCs w:val="32"/>
        </w:rPr>
        <w:t>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hint="eastAsia" w:ascii="仿宋_GB2312"/>
          <w:szCs w:val="32"/>
        </w:rPr>
        <w:t>四、本项目施工期和运营期的环境监督管理由</w:t>
      </w:r>
      <w:r>
        <w:rPr>
          <w:rFonts w:hint="eastAsia" w:ascii="仿宋_GB2312"/>
          <w:szCs w:val="32"/>
          <w:lang w:eastAsia="zh-CN"/>
        </w:rPr>
        <w:t>高昌区</w:t>
      </w:r>
      <w:r>
        <w:rPr>
          <w:rFonts w:hint="eastAsia" w:ascii="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szCs w:val="32"/>
        </w:rPr>
      </w:pPr>
      <w:r>
        <w:rPr>
          <w:rFonts w:hint="eastAsia" w:ascii="仿宋_GB2312"/>
          <w:szCs w:val="32"/>
        </w:rPr>
        <w:t>五、</w:t>
      </w:r>
      <w:r>
        <w:rPr>
          <w:rFonts w:hint="eastAsia" w:ascii="仿宋_GB2312" w:hAnsi="仿宋_GB2312" w:cs="仿宋_GB2312"/>
          <w:szCs w:val="32"/>
        </w:rPr>
        <w:t>你公司应在收到本批复后20个工作日内，将批准后的《报告表》分送至</w:t>
      </w:r>
      <w:r>
        <w:rPr>
          <w:rFonts w:hint="eastAsia" w:ascii="仿宋_GB2312" w:hAnsi="仿宋_GB2312" w:cs="仿宋_GB2312"/>
          <w:szCs w:val="32"/>
          <w:lang w:eastAsia="zh-CN"/>
        </w:rPr>
        <w:t>高昌区</w:t>
      </w:r>
      <w:r>
        <w:rPr>
          <w:rFonts w:hint="eastAsia" w:ascii="仿宋_GB2312"/>
          <w:szCs w:val="32"/>
        </w:rPr>
        <w:t>分局</w:t>
      </w:r>
      <w:r>
        <w:rPr>
          <w:rFonts w:hint="eastAsia" w:ascii="仿宋_GB2312" w:hAnsi="仿宋_GB2312" w:cs="仿宋_GB2312"/>
          <w:szCs w:val="32"/>
        </w:rPr>
        <w:t>，并按规定接受各级生态环境主管部门的监督检查。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lang w:val="en-US" w:eastAsia="zh-CN"/>
        </w:rPr>
        <w:t>30</w:t>
      </w:r>
      <w:r>
        <w:rPr>
          <w:rFonts w:hint="eastAsia" w:ascii="仿宋_GB2312" w:hAnsi="仿宋_GB2312" w:cs="仿宋_GB231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cs="仿宋_GB2312"/>
          <w:szCs w:val="32"/>
        </w:rPr>
      </w:pPr>
      <w:r>
        <w:rPr>
          <w:rFonts w:hint="eastAsia" w:ascii="仿宋_GB2312" w:hAnsi="仿宋_GB2312" w:cs="仿宋_GB2312"/>
          <w:szCs w:val="32"/>
        </w:rPr>
        <w:t>抄送：</w:t>
      </w:r>
      <w:r>
        <w:rPr>
          <w:rFonts w:hint="eastAsia" w:ascii="仿宋_GB2312" w:hAnsi="仿宋_GB2312" w:cs="仿宋_GB2312"/>
          <w:szCs w:val="32"/>
          <w:lang w:val="en-US" w:eastAsia="zh-CN"/>
        </w:rPr>
        <w:t>吐鲁番</w:t>
      </w:r>
      <w:r>
        <w:rPr>
          <w:rFonts w:hint="eastAsia" w:ascii="仿宋_GB2312" w:hAnsi="仿宋_GB2312" w:cs="仿宋_GB2312"/>
          <w:spacing w:val="-20"/>
          <w:szCs w:val="32"/>
        </w:rPr>
        <w:t>市生态环境局</w:t>
      </w:r>
      <w:r>
        <w:rPr>
          <w:rFonts w:hint="eastAsia" w:ascii="仿宋_GB2312" w:hAnsi="仿宋_GB2312" w:cs="仿宋_GB2312"/>
          <w:spacing w:val="-20"/>
          <w:szCs w:val="32"/>
          <w:lang w:eastAsia="zh-CN"/>
        </w:rPr>
        <w:t>高昌区</w:t>
      </w:r>
      <w:r>
        <w:rPr>
          <w:rFonts w:hint="eastAsia" w:ascii="仿宋_GB2312" w:hAnsi="仿宋_GB2312" w:cs="仿宋_GB2312"/>
          <w:spacing w:val="-20"/>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0BA69"/>
    <w:multiLevelType w:val="singleLevel"/>
    <w:tmpl w:val="BC10BA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2E5B"/>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E1080D"/>
    <w:rsid w:val="04782A92"/>
    <w:rsid w:val="067326F7"/>
    <w:rsid w:val="07A13635"/>
    <w:rsid w:val="08101DB2"/>
    <w:rsid w:val="081E50D6"/>
    <w:rsid w:val="08A17FE2"/>
    <w:rsid w:val="08BA4909"/>
    <w:rsid w:val="0ABA551B"/>
    <w:rsid w:val="0B3D6DBF"/>
    <w:rsid w:val="0B5310FE"/>
    <w:rsid w:val="0B591DA9"/>
    <w:rsid w:val="0B592086"/>
    <w:rsid w:val="0B596157"/>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3871C6A"/>
    <w:rsid w:val="14132147"/>
    <w:rsid w:val="14F34426"/>
    <w:rsid w:val="159535B3"/>
    <w:rsid w:val="15E82E53"/>
    <w:rsid w:val="16276BA3"/>
    <w:rsid w:val="170744E6"/>
    <w:rsid w:val="17680846"/>
    <w:rsid w:val="17F51B4E"/>
    <w:rsid w:val="18202BA6"/>
    <w:rsid w:val="18677510"/>
    <w:rsid w:val="1881634D"/>
    <w:rsid w:val="1A910094"/>
    <w:rsid w:val="1C167480"/>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5C67D3"/>
    <w:rsid w:val="274E23CA"/>
    <w:rsid w:val="2771557E"/>
    <w:rsid w:val="280244F4"/>
    <w:rsid w:val="28814A83"/>
    <w:rsid w:val="28B279B4"/>
    <w:rsid w:val="28DB0A41"/>
    <w:rsid w:val="29FF142C"/>
    <w:rsid w:val="2AEA33A3"/>
    <w:rsid w:val="2B0D1D89"/>
    <w:rsid w:val="2B297934"/>
    <w:rsid w:val="2B522706"/>
    <w:rsid w:val="2BA50779"/>
    <w:rsid w:val="2C677E7C"/>
    <w:rsid w:val="2D081019"/>
    <w:rsid w:val="2D1B099D"/>
    <w:rsid w:val="2D46550B"/>
    <w:rsid w:val="2D99774B"/>
    <w:rsid w:val="2E884E15"/>
    <w:rsid w:val="2E8C1473"/>
    <w:rsid w:val="2EE02CED"/>
    <w:rsid w:val="2F5940C6"/>
    <w:rsid w:val="30034B0E"/>
    <w:rsid w:val="303B31BD"/>
    <w:rsid w:val="30DC6DFC"/>
    <w:rsid w:val="3301756A"/>
    <w:rsid w:val="33102644"/>
    <w:rsid w:val="339207B1"/>
    <w:rsid w:val="34563CB2"/>
    <w:rsid w:val="34B50EE4"/>
    <w:rsid w:val="356F2FDD"/>
    <w:rsid w:val="36F4783D"/>
    <w:rsid w:val="377203B8"/>
    <w:rsid w:val="37FF78CB"/>
    <w:rsid w:val="38A25E40"/>
    <w:rsid w:val="38A62207"/>
    <w:rsid w:val="39456A46"/>
    <w:rsid w:val="39AE6358"/>
    <w:rsid w:val="3BB12285"/>
    <w:rsid w:val="3C783F36"/>
    <w:rsid w:val="3C9A7261"/>
    <w:rsid w:val="3CE12F4D"/>
    <w:rsid w:val="3D123278"/>
    <w:rsid w:val="3D306D49"/>
    <w:rsid w:val="3D9F41EB"/>
    <w:rsid w:val="3E0A3243"/>
    <w:rsid w:val="3E69770C"/>
    <w:rsid w:val="3F764CA9"/>
    <w:rsid w:val="3FF95F26"/>
    <w:rsid w:val="408F0DDD"/>
    <w:rsid w:val="414D5F20"/>
    <w:rsid w:val="419C2F68"/>
    <w:rsid w:val="41D31183"/>
    <w:rsid w:val="42AD47DE"/>
    <w:rsid w:val="43D10B6C"/>
    <w:rsid w:val="43DB1093"/>
    <w:rsid w:val="444530DF"/>
    <w:rsid w:val="44B72988"/>
    <w:rsid w:val="44D76B6A"/>
    <w:rsid w:val="45232E60"/>
    <w:rsid w:val="452D416E"/>
    <w:rsid w:val="454145FF"/>
    <w:rsid w:val="45C717F4"/>
    <w:rsid w:val="46C819FD"/>
    <w:rsid w:val="46EB5F4B"/>
    <w:rsid w:val="476834A9"/>
    <w:rsid w:val="478168F7"/>
    <w:rsid w:val="484F7E61"/>
    <w:rsid w:val="485727E6"/>
    <w:rsid w:val="48BC3CB4"/>
    <w:rsid w:val="492C6C09"/>
    <w:rsid w:val="4B3F3CD1"/>
    <w:rsid w:val="4B7D2042"/>
    <w:rsid w:val="4CB70475"/>
    <w:rsid w:val="4CCE3A8F"/>
    <w:rsid w:val="4D924016"/>
    <w:rsid w:val="4DFB264D"/>
    <w:rsid w:val="4E887C97"/>
    <w:rsid w:val="502E4CE4"/>
    <w:rsid w:val="5036491C"/>
    <w:rsid w:val="51AA321A"/>
    <w:rsid w:val="51BB5F74"/>
    <w:rsid w:val="51D30789"/>
    <w:rsid w:val="51FC3859"/>
    <w:rsid w:val="529761EA"/>
    <w:rsid w:val="52B81A73"/>
    <w:rsid w:val="52C714D1"/>
    <w:rsid w:val="53130FEB"/>
    <w:rsid w:val="536F179E"/>
    <w:rsid w:val="53A02794"/>
    <w:rsid w:val="53A551A0"/>
    <w:rsid w:val="5411106D"/>
    <w:rsid w:val="543D7B60"/>
    <w:rsid w:val="551C59CE"/>
    <w:rsid w:val="55803AC7"/>
    <w:rsid w:val="56AE3064"/>
    <w:rsid w:val="585D60C3"/>
    <w:rsid w:val="58693CF0"/>
    <w:rsid w:val="58E05BE3"/>
    <w:rsid w:val="58E6094E"/>
    <w:rsid w:val="59454242"/>
    <w:rsid w:val="59962476"/>
    <w:rsid w:val="5A2140DC"/>
    <w:rsid w:val="5A3D61AC"/>
    <w:rsid w:val="5B920B35"/>
    <w:rsid w:val="5B9447E3"/>
    <w:rsid w:val="5BA04C44"/>
    <w:rsid w:val="5C6A7016"/>
    <w:rsid w:val="5CD45920"/>
    <w:rsid w:val="5D541F57"/>
    <w:rsid w:val="5E1A3D21"/>
    <w:rsid w:val="5F634B38"/>
    <w:rsid w:val="5FD70968"/>
    <w:rsid w:val="604D14A3"/>
    <w:rsid w:val="606377EC"/>
    <w:rsid w:val="60907D75"/>
    <w:rsid w:val="62720811"/>
    <w:rsid w:val="62CA45A2"/>
    <w:rsid w:val="63546188"/>
    <w:rsid w:val="63B13956"/>
    <w:rsid w:val="6422105A"/>
    <w:rsid w:val="644E2D40"/>
    <w:rsid w:val="64572442"/>
    <w:rsid w:val="647B64A1"/>
    <w:rsid w:val="653E05DE"/>
    <w:rsid w:val="668D671F"/>
    <w:rsid w:val="67911F69"/>
    <w:rsid w:val="67D15A5F"/>
    <w:rsid w:val="67E9565E"/>
    <w:rsid w:val="6832145A"/>
    <w:rsid w:val="68E13002"/>
    <w:rsid w:val="6A1324A1"/>
    <w:rsid w:val="6AF46054"/>
    <w:rsid w:val="6B1C21F3"/>
    <w:rsid w:val="6BA60F2C"/>
    <w:rsid w:val="6C9524DD"/>
    <w:rsid w:val="6D6B00E5"/>
    <w:rsid w:val="6D794D48"/>
    <w:rsid w:val="6DC721AC"/>
    <w:rsid w:val="6E691593"/>
    <w:rsid w:val="6E9804E8"/>
    <w:rsid w:val="6EDA6267"/>
    <w:rsid w:val="6F686FC6"/>
    <w:rsid w:val="6FB5098B"/>
    <w:rsid w:val="6FC351FD"/>
    <w:rsid w:val="70963436"/>
    <w:rsid w:val="715F724B"/>
    <w:rsid w:val="71BF4634"/>
    <w:rsid w:val="736F49C4"/>
    <w:rsid w:val="73FA40C7"/>
    <w:rsid w:val="74D95E13"/>
    <w:rsid w:val="74DA7762"/>
    <w:rsid w:val="74E760B5"/>
    <w:rsid w:val="750503BE"/>
    <w:rsid w:val="751172B8"/>
    <w:rsid w:val="75F33E51"/>
    <w:rsid w:val="764A076A"/>
    <w:rsid w:val="77427A58"/>
    <w:rsid w:val="776F4AC7"/>
    <w:rsid w:val="77883221"/>
    <w:rsid w:val="77CE0ABB"/>
    <w:rsid w:val="78541493"/>
    <w:rsid w:val="78A25126"/>
    <w:rsid w:val="78D554E1"/>
    <w:rsid w:val="7A7244D9"/>
    <w:rsid w:val="7B9C6D7F"/>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27"/>
    <w:qFormat/>
    <w:uiPriority w:val="0"/>
    <w:pPr>
      <w:keepNext/>
      <w:keepLines/>
      <w:spacing w:line="576" w:lineRule="auto"/>
      <w:outlineLvl w:val="0"/>
    </w:pPr>
    <w:rPr>
      <w:b/>
      <w:kern w:val="44"/>
      <w:sz w:val="44"/>
    </w:rPr>
  </w:style>
  <w:style w:type="paragraph" w:styleId="6">
    <w:name w:val="heading 3"/>
    <w:basedOn w:val="1"/>
    <w:next w:val="1"/>
    <w:qFormat/>
    <w:uiPriority w:val="0"/>
    <w:pPr>
      <w:keepNext/>
      <w:keepLines/>
      <w:spacing w:before="260" w:after="260" w:line="416" w:lineRule="auto"/>
      <w:outlineLvl w:val="2"/>
    </w:pPr>
    <w:rPr>
      <w:b/>
      <w:bCs/>
      <w:szCs w:val="32"/>
    </w:rPr>
  </w:style>
  <w:style w:type="paragraph" w:styleId="7">
    <w:name w:val="heading 4"/>
    <w:basedOn w:val="1"/>
    <w:next w:val="1"/>
    <w:unhideWhenUsed/>
    <w:qFormat/>
    <w:uiPriority w:val="0"/>
    <w:pPr>
      <w:keepNext/>
      <w:keepLines/>
      <w:jc w:val="left"/>
      <w:outlineLvl w:val="3"/>
    </w:pPr>
    <w:rPr>
      <w:rFonts w:eastAsia="宋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0"/>
    <w:pPr>
      <w:spacing w:line="360" w:lineRule="auto"/>
      <w:ind w:firstLine="495"/>
    </w:pPr>
    <w:rPr>
      <w:rFonts w:ascii="宋体" w:hAnsi="宋体"/>
      <w:sz w:val="24"/>
    </w:r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8">
    <w:name w:val="Normal Indent"/>
    <w:basedOn w:val="1"/>
    <w:qFormat/>
    <w:uiPriority w:val="0"/>
    <w:pPr>
      <w:spacing w:line="240" w:lineRule="auto"/>
      <w:ind w:firstLine="420" w:firstLineChars="200"/>
    </w:pPr>
    <w:rPr>
      <w:rFonts w:ascii="宋体" w:hAnsi="宋体" w:cs="宋体" w:eastAsiaTheme="minorEastAsia"/>
      <w:sz w:val="21"/>
    </w:rPr>
  </w:style>
  <w:style w:type="paragraph" w:styleId="9">
    <w:name w:val="Body Text"/>
    <w:basedOn w:val="1"/>
    <w:link w:val="26"/>
    <w:qFormat/>
    <w:uiPriority w:val="0"/>
    <w:pPr>
      <w:spacing w:after="120"/>
    </w:pPr>
  </w:style>
  <w:style w:type="paragraph" w:styleId="10">
    <w:name w:val="toc 3"/>
    <w:basedOn w:val="11"/>
    <w:next w:val="1"/>
    <w:qFormat/>
    <w:uiPriority w:val="0"/>
    <w:pPr>
      <w:spacing w:line="240" w:lineRule="auto"/>
      <w:ind w:left="840" w:leftChars="400"/>
    </w:pPr>
    <w:rPr>
      <w:rFonts w:eastAsia="宋体"/>
      <w:sz w:val="21"/>
      <w:szCs w:val="20"/>
    </w:rPr>
  </w:style>
  <w:style w:type="paragraph" w:styleId="11">
    <w:name w:val="toc 1"/>
    <w:basedOn w:val="1"/>
    <w:next w:val="1"/>
    <w:qFormat/>
    <w:uiPriority w:val="0"/>
  </w:style>
  <w:style w:type="paragraph" w:styleId="12">
    <w:name w:val="Plain Text"/>
    <w:basedOn w:val="1"/>
    <w:link w:val="34"/>
    <w:qFormat/>
    <w:uiPriority w:val="0"/>
    <w:rPr>
      <w:rFonts w:ascii="宋体" w:hAnsi="Courier New" w:eastAsia="宋体" w:cs="Courier New"/>
      <w:sz w:val="21"/>
      <w:szCs w:val="21"/>
    </w:rPr>
  </w:style>
  <w:style w:type="paragraph" w:styleId="13">
    <w:name w:val="Date"/>
    <w:basedOn w:val="1"/>
    <w:next w:val="1"/>
    <w:qFormat/>
    <w:uiPriority w:val="0"/>
    <w:pPr>
      <w:ind w:left="100" w:leftChars="2500"/>
    </w:pPr>
  </w:style>
  <w:style w:type="paragraph" w:styleId="14">
    <w:name w:val="Balloon Text"/>
    <w:basedOn w:val="1"/>
    <w:link w:val="31"/>
    <w:qFormat/>
    <w:uiPriority w:val="0"/>
    <w:pPr>
      <w:spacing w:line="240" w:lineRule="auto"/>
    </w:pPr>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41"/>
    <w:qFormat/>
    <w:uiPriority w:val="0"/>
    <w:pPr>
      <w:spacing w:before="240" w:after="60" w:line="480" w:lineRule="auto"/>
      <w:jc w:val="center"/>
      <w:outlineLvl w:val="0"/>
    </w:pPr>
    <w:rPr>
      <w:rFonts w:ascii="Cambria" w:hAnsi="Cambria" w:eastAsia="宋体"/>
      <w:b/>
      <w:bCs/>
      <w:szCs w:val="32"/>
    </w:rPr>
  </w:style>
  <w:style w:type="paragraph" w:styleId="18">
    <w:name w:val="Body Text First Indent"/>
    <w:basedOn w:val="9"/>
    <w:link w:val="37"/>
    <w:qFormat/>
    <w:uiPriority w:val="0"/>
    <w:pPr>
      <w:ind w:firstLine="420" w:firstLineChars="100"/>
    </w:pPr>
  </w:style>
  <w:style w:type="character" w:styleId="21">
    <w:name w:val="page number"/>
    <w:basedOn w:val="20"/>
    <w:qFormat/>
    <w:uiPriority w:val="0"/>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表格内"/>
    <w:basedOn w:val="1"/>
    <w:qFormat/>
    <w:uiPriority w:val="0"/>
    <w:pPr>
      <w:spacing w:line="360" w:lineRule="exact"/>
      <w:jc w:val="center"/>
    </w:pPr>
    <w:rPr>
      <w:snapToGrid w:val="0"/>
      <w:szCs w:val="21"/>
    </w:rPr>
  </w:style>
  <w:style w:type="paragraph" w:styleId="24">
    <w:name w:val="List Paragraph"/>
    <w:basedOn w:val="1"/>
    <w:qFormat/>
    <w:uiPriority w:val="34"/>
    <w:pPr>
      <w:ind w:firstLine="420" w:firstLineChars="200"/>
    </w:pPr>
  </w:style>
  <w:style w:type="character" w:customStyle="1" w:styleId="25">
    <w:name w:val="正文文本 Char"/>
    <w:basedOn w:val="20"/>
    <w:qFormat/>
    <w:uiPriority w:val="0"/>
    <w:rPr>
      <w:kern w:val="2"/>
      <w:sz w:val="21"/>
      <w:szCs w:val="24"/>
    </w:rPr>
  </w:style>
  <w:style w:type="character" w:customStyle="1" w:styleId="26">
    <w:name w:val="正文文本 Char1"/>
    <w:basedOn w:val="20"/>
    <w:link w:val="9"/>
    <w:qFormat/>
    <w:uiPriority w:val="0"/>
    <w:rPr>
      <w:kern w:val="2"/>
      <w:sz w:val="21"/>
      <w:szCs w:val="24"/>
    </w:rPr>
  </w:style>
  <w:style w:type="character" w:customStyle="1" w:styleId="27">
    <w:name w:val="标题 1 Char"/>
    <w:link w:val="5"/>
    <w:qFormat/>
    <w:uiPriority w:val="0"/>
    <w:rPr>
      <w:b/>
      <w:kern w:val="44"/>
      <w:sz w:val="44"/>
    </w:rPr>
  </w:style>
  <w:style w:type="character" w:customStyle="1" w:styleId="28">
    <w:name w:val="样式 四号"/>
    <w:qFormat/>
    <w:uiPriority w:val="0"/>
    <w:rPr>
      <w:sz w:val="28"/>
    </w:rPr>
  </w:style>
  <w:style w:type="character" w:customStyle="1" w:styleId="29">
    <w:name w:val="页眉 Char"/>
    <w:basedOn w:val="20"/>
    <w:link w:val="16"/>
    <w:qFormat/>
    <w:uiPriority w:val="0"/>
    <w:rPr>
      <w:rFonts w:ascii="Times New Roman" w:hAnsi="Times New Roman" w:eastAsia="仿宋_GB2312"/>
      <w:kern w:val="2"/>
      <w:sz w:val="18"/>
      <w:szCs w:val="18"/>
    </w:rPr>
  </w:style>
  <w:style w:type="character" w:customStyle="1" w:styleId="30">
    <w:name w:val="页脚 Char"/>
    <w:basedOn w:val="20"/>
    <w:link w:val="15"/>
    <w:qFormat/>
    <w:uiPriority w:val="99"/>
    <w:rPr>
      <w:rFonts w:ascii="Times New Roman" w:hAnsi="Times New Roman" w:eastAsia="仿宋_GB2312"/>
      <w:kern w:val="2"/>
      <w:sz w:val="18"/>
      <w:szCs w:val="18"/>
    </w:rPr>
  </w:style>
  <w:style w:type="character" w:customStyle="1" w:styleId="31">
    <w:name w:val="批注框文本 Char"/>
    <w:basedOn w:val="20"/>
    <w:link w:val="14"/>
    <w:qFormat/>
    <w:uiPriority w:val="0"/>
    <w:rPr>
      <w:rFonts w:ascii="Times New Roman" w:hAnsi="Times New Roman" w:eastAsia="仿宋_GB2312"/>
      <w:kern w:val="2"/>
      <w:sz w:val="18"/>
      <w:szCs w:val="18"/>
    </w:rPr>
  </w:style>
  <w:style w:type="character" w:customStyle="1" w:styleId="32">
    <w:name w:val="报告书正文 Char"/>
    <w:link w:val="33"/>
    <w:qFormat/>
    <w:uiPriority w:val="0"/>
    <w:rPr>
      <w:rFonts w:ascii="Times New Roman" w:hAnsi="Times New Roman"/>
      <w:sz w:val="24"/>
      <w:szCs w:val="21"/>
    </w:rPr>
  </w:style>
  <w:style w:type="paragraph" w:customStyle="1" w:styleId="33">
    <w:name w:val="报告书正文"/>
    <w:basedOn w:val="12"/>
    <w:link w:val="32"/>
    <w:qFormat/>
    <w:uiPriority w:val="0"/>
    <w:pPr>
      <w:widowControl/>
      <w:spacing w:line="360" w:lineRule="auto"/>
      <w:ind w:firstLine="480" w:firstLineChars="200"/>
    </w:pPr>
    <w:rPr>
      <w:rFonts w:ascii="Times New Roman" w:hAnsi="Times New Roman" w:cs="Times New Roman"/>
      <w:kern w:val="0"/>
      <w:sz w:val="24"/>
    </w:rPr>
  </w:style>
  <w:style w:type="character" w:customStyle="1" w:styleId="34">
    <w:name w:val="纯文本 Char"/>
    <w:basedOn w:val="20"/>
    <w:link w:val="12"/>
    <w:qFormat/>
    <w:uiPriority w:val="0"/>
    <w:rPr>
      <w:rFonts w:ascii="宋体" w:hAnsi="Courier New" w:cs="Courier New"/>
      <w:kern w:val="2"/>
      <w:sz w:val="21"/>
      <w:szCs w:val="21"/>
    </w:rPr>
  </w:style>
  <w:style w:type="character" w:customStyle="1" w:styleId="35">
    <w:name w:val="表内内容 Char Char"/>
    <w:link w:val="36"/>
    <w:qFormat/>
    <w:uiPriority w:val="0"/>
    <w:rPr>
      <w:rFonts w:ascii="Times New Roman" w:hAnsi="Times New Roman"/>
      <w:kern w:val="2"/>
      <w:sz w:val="21"/>
      <w:szCs w:val="28"/>
    </w:rPr>
  </w:style>
  <w:style w:type="paragraph" w:customStyle="1" w:styleId="36">
    <w:name w:val="表内内容"/>
    <w:basedOn w:val="1"/>
    <w:link w:val="35"/>
    <w:qFormat/>
    <w:uiPriority w:val="0"/>
    <w:pPr>
      <w:adjustRightInd w:val="0"/>
      <w:spacing w:line="240" w:lineRule="auto"/>
      <w:jc w:val="center"/>
    </w:pPr>
    <w:rPr>
      <w:rFonts w:eastAsia="宋体"/>
      <w:sz w:val="21"/>
      <w:szCs w:val="28"/>
    </w:rPr>
  </w:style>
  <w:style w:type="character" w:customStyle="1" w:styleId="37">
    <w:name w:val="正文首行缩进 Char"/>
    <w:basedOn w:val="26"/>
    <w:link w:val="18"/>
    <w:qFormat/>
    <w:uiPriority w:val="0"/>
    <w:rPr>
      <w:rFonts w:ascii="Times New Roman" w:hAnsi="Times New Roman" w:eastAsia="仿宋_GB2312"/>
      <w:kern w:val="2"/>
      <w:sz w:val="32"/>
      <w:szCs w:val="24"/>
    </w:rPr>
  </w:style>
  <w:style w:type="character" w:customStyle="1" w:styleId="38">
    <w:name w:val="！正文 Char"/>
    <w:link w:val="39"/>
    <w:qFormat/>
    <w:uiPriority w:val="0"/>
    <w:rPr>
      <w:rFonts w:ascii="Times New Roman" w:hAnsi="Times New Roman" w:eastAsia="Times New Roman"/>
      <w:sz w:val="24"/>
    </w:rPr>
  </w:style>
  <w:style w:type="paragraph" w:customStyle="1" w:styleId="39">
    <w:name w:val="！正文"/>
    <w:basedOn w:val="1"/>
    <w:link w:val="38"/>
    <w:qFormat/>
    <w:uiPriority w:val="0"/>
    <w:pPr>
      <w:spacing w:line="360" w:lineRule="auto"/>
      <w:ind w:firstLine="643" w:firstLineChars="200"/>
    </w:pPr>
    <w:rPr>
      <w:rFonts w:eastAsia="Times New Roman"/>
      <w:kern w:val="0"/>
      <w:sz w:val="24"/>
      <w:szCs w:val="20"/>
    </w:rPr>
  </w:style>
  <w:style w:type="paragraph" w:customStyle="1" w:styleId="40">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1">
    <w:name w:val="标题 Char"/>
    <w:link w:val="17"/>
    <w:qFormat/>
    <w:uiPriority w:val="0"/>
    <w:rPr>
      <w:rFonts w:ascii="Cambria" w:hAnsi="Cambria"/>
      <w:b/>
      <w:bCs/>
      <w:kern w:val="2"/>
      <w:sz w:val="32"/>
      <w:szCs w:val="32"/>
    </w:rPr>
  </w:style>
  <w:style w:type="character" w:customStyle="1" w:styleId="42">
    <w:name w:val="标题 Char1"/>
    <w:basedOn w:val="20"/>
    <w:qFormat/>
    <w:uiPriority w:val="0"/>
    <w:rPr>
      <w:rFonts w:asciiTheme="majorHAnsi" w:hAnsiTheme="majorHAnsi" w:cstheme="majorBidi"/>
      <w:b/>
      <w:bCs/>
      <w:kern w:val="2"/>
      <w:sz w:val="32"/>
      <w:szCs w:val="32"/>
    </w:rPr>
  </w:style>
  <w:style w:type="paragraph" w:customStyle="1" w:styleId="43">
    <w:name w:val="1-正文"/>
    <w:basedOn w:val="1"/>
    <w:qFormat/>
    <w:uiPriority w:val="0"/>
    <w:pPr>
      <w:spacing w:line="360" w:lineRule="auto"/>
      <w:ind w:firstLine="200" w:firstLineChars="200"/>
    </w:pPr>
    <w:rPr>
      <w:rFonts w:eastAsia="宋体"/>
      <w:sz w:val="21"/>
      <w:szCs w:val="22"/>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1727</Words>
  <Characters>1853</Characters>
  <Lines>13</Lines>
  <Paragraphs>3</Paragraphs>
  <TotalTime>3</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2023-11-09T09:58:09Z</cp:lastPrinted>
  <dcterms:modified xsi:type="dcterms:W3CDTF">2023-11-09T09:58:19Z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139845611A25477EAEB9186047A372D3_13</vt:lpwstr>
  </property>
</Properties>
</file>