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吐市环监函〔2023〕</w:t>
      </w:r>
      <w:r>
        <w:rPr>
          <w:rFonts w:hint="eastAsia" w:ascii="仿宋_GB2312"/>
          <w:szCs w:val="32"/>
          <w:lang w:val="en-US" w:eastAsia="zh-CN"/>
        </w:rPr>
        <w:t>88</w:t>
      </w:r>
      <w:r>
        <w:rPr>
          <w:rFonts w:hint="eastAsia" w:ascii="仿宋_GB2312"/>
          <w:szCs w:val="32"/>
        </w:rPr>
        <w:t>号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  <w:lang w:eastAsia="zh-CN"/>
        </w:rPr>
        <w:t>吐鲁番克尔碱110千伏变电站1号主变增容工程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  <w:lang w:val="en-US" w:eastAsia="zh-CN"/>
        </w:rPr>
        <w:t>环境影响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报告表的批复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国网吐鲁番供电公司：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你单</w:t>
      </w:r>
      <w:r>
        <w:rPr>
          <w:rFonts w:hint="eastAsia" w:ascii="仿宋_GB2312" w:hAnsi="Times New Roman" w:cs="Times New Roman"/>
          <w:szCs w:val="32"/>
        </w:rPr>
        <w:t>位《关于&lt;</w:t>
      </w:r>
      <w:r>
        <w:rPr>
          <w:rFonts w:hint="eastAsia" w:ascii="仿宋_GB2312" w:hAnsi="Times New Roman" w:cs="Times New Roman"/>
          <w:szCs w:val="32"/>
          <w:lang w:eastAsia="zh-CN"/>
        </w:rPr>
        <w:t>吐鲁番克尔碱110千伏变电站1号主变增容工程</w:t>
      </w:r>
      <w:r>
        <w:rPr>
          <w:rFonts w:hint="eastAsia" w:ascii="仿宋_GB2312" w:hAnsi="Times New Roman" w:cs="Times New Roman"/>
          <w:szCs w:val="32"/>
        </w:rPr>
        <w:t>环境影响报</w:t>
      </w:r>
      <w:r>
        <w:rPr>
          <w:rFonts w:hint="eastAsia" w:ascii="仿宋_GB2312"/>
          <w:szCs w:val="32"/>
        </w:rPr>
        <w:t>告表&gt;申请审批的请示》及相关附件收悉。经研究，批复如下：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</w:t>
      </w:r>
      <w:r>
        <w:rPr>
          <w:rFonts w:hint="eastAsia" w:ascii="仿宋_GB2312" w:hAnsi="Times New Roman" w:cs="Times New Roman"/>
          <w:szCs w:val="32"/>
          <w:lang w:eastAsia="zh-CN"/>
        </w:rPr>
        <w:t>吐鲁番克尔碱110千伏变电站1号主变增容工程位于</w:t>
      </w:r>
      <w:r>
        <w:rPr>
          <w:rFonts w:hint="eastAsia" w:ascii="仿宋_GB2312" w:hAnsi="Times New Roman" w:cs="Times New Roman"/>
          <w:szCs w:val="32"/>
          <w:lang w:val="en-US" w:eastAsia="zh-CN"/>
        </w:rPr>
        <w:t>托克逊县克尔碱镇南侧克尔碱110kV变电站内。</w:t>
      </w:r>
      <w:r>
        <w:rPr>
          <w:rFonts w:hint="eastAsia" w:ascii="仿宋_GB2312" w:hAnsi="Times New Roman" w:cs="Times New Roman"/>
          <w:szCs w:val="32"/>
          <w:lang w:eastAsia="zh-CN"/>
        </w:rPr>
        <w:t>本项目建设性质为</w:t>
      </w:r>
      <w:r>
        <w:rPr>
          <w:rFonts w:hint="eastAsia" w:ascii="仿宋_GB2312" w:cs="Times New Roman"/>
          <w:szCs w:val="32"/>
          <w:lang w:val="en-US" w:eastAsia="zh-CN"/>
        </w:rPr>
        <w:t>扩建</w:t>
      </w:r>
      <w:r>
        <w:rPr>
          <w:rFonts w:hint="eastAsia" w:ascii="仿宋_GB2312" w:hAnsi="Times New Roman" w:cs="Times New Roman"/>
          <w:szCs w:val="32"/>
          <w:lang w:eastAsia="zh-CN"/>
        </w:rPr>
        <w:t>，克尔碱110</w:t>
      </w:r>
      <w:r>
        <w:rPr>
          <w:rFonts w:hint="eastAsia" w:ascii="仿宋_GB2312" w:cs="Times New Roman"/>
          <w:szCs w:val="32"/>
          <w:lang w:val="en-US" w:eastAsia="zh-CN"/>
        </w:rPr>
        <w:t>kV</w:t>
      </w:r>
      <w:r>
        <w:rPr>
          <w:rFonts w:hint="eastAsia" w:ascii="仿宋_GB2312" w:hAnsi="Times New Roman" w:cs="Times New Roman"/>
          <w:szCs w:val="32"/>
          <w:lang w:eastAsia="zh-CN"/>
        </w:rPr>
        <w:t>变电站1号主变</w:t>
      </w:r>
      <w:r>
        <w:rPr>
          <w:rFonts w:hint="eastAsia" w:ascii="仿宋_GB2312" w:hAnsi="Times New Roman" w:cs="Times New Roman"/>
          <w:szCs w:val="32"/>
          <w:lang w:val="en-US" w:eastAsia="zh-CN"/>
        </w:rPr>
        <w:t>由16MVA更换为50MVA</w:t>
      </w:r>
      <w:r>
        <w:rPr>
          <w:rFonts w:hint="eastAsia" w:ascii="仿宋_GB2312" w:cs="Times New Roman"/>
          <w:szCs w:val="32"/>
          <w:lang w:val="en-US" w:eastAsia="zh-CN"/>
        </w:rPr>
        <w:t>，配套建设附属设施</w:t>
      </w:r>
      <w:r>
        <w:rPr>
          <w:rFonts w:hint="eastAsia" w:ascii="仿宋_GB2312" w:hAnsi="仿宋_GB2312" w:cs="仿宋_GB2312"/>
          <w:szCs w:val="32"/>
          <w:lang w:val="en-US" w:eastAsia="zh-CN"/>
        </w:rPr>
        <w:t>。项目不新增占地面积，</w:t>
      </w:r>
      <w:r>
        <w:rPr>
          <w:rFonts w:hint="eastAsia" w:ascii="仿宋_GB2312" w:hAnsi="仿宋_GB2312" w:cs="仿宋_GB2312"/>
          <w:szCs w:val="32"/>
        </w:rPr>
        <w:t>总投资</w:t>
      </w:r>
      <w:r>
        <w:rPr>
          <w:rFonts w:hint="eastAsia" w:ascii="仿宋_GB2312" w:hAnsi="仿宋_GB2312" w:cs="仿宋_GB2312"/>
          <w:szCs w:val="32"/>
          <w:lang w:val="en-US" w:eastAsia="zh-CN"/>
        </w:rPr>
        <w:t>1095</w:t>
      </w:r>
      <w:r>
        <w:rPr>
          <w:rFonts w:hint="eastAsia" w:ascii="仿宋_GB2312" w:hAnsi="仿宋_GB2312" w:cs="仿宋_GB2312"/>
          <w:szCs w:val="32"/>
        </w:rPr>
        <w:t>万元，其中环保投资</w:t>
      </w:r>
      <w:r>
        <w:rPr>
          <w:rFonts w:hint="eastAsia" w:ascii="仿宋_GB2312" w:hAnsi="仿宋_GB2312" w:cs="仿宋_GB2312"/>
          <w:szCs w:val="32"/>
          <w:lang w:val="en-US" w:eastAsia="zh-CN"/>
        </w:rPr>
        <w:t>27</w:t>
      </w:r>
      <w:r>
        <w:rPr>
          <w:rFonts w:hint="eastAsia" w:ascii="仿宋_GB2312" w:hAnsi="仿宋_GB2312" w:cs="仿宋_GB2312"/>
          <w:szCs w:val="32"/>
        </w:rPr>
        <w:t>万元，占总投资的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2.47</w:t>
      </w:r>
      <w:r>
        <w:rPr>
          <w:rFonts w:hint="eastAsia" w:ascii="仿宋_GB2312" w:hAnsi="仿宋_GB2312" w:cs="仿宋_GB2312"/>
          <w:color w:val="000000"/>
          <w:szCs w:val="32"/>
        </w:rPr>
        <w:t>%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二、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新疆鼎耀工程咨询有限公司</w:t>
      </w:r>
      <w:r>
        <w:rPr>
          <w:rFonts w:hint="eastAsia" w:ascii="仿宋_GB2312"/>
          <w:szCs w:val="32"/>
        </w:rPr>
        <w:t>编制的《</w:t>
      </w:r>
      <w:r>
        <w:rPr>
          <w:rFonts w:hint="eastAsia" w:ascii="仿宋_GB2312" w:hAnsi="Times New Roman" w:cs="Times New Roman"/>
          <w:szCs w:val="32"/>
          <w:lang w:eastAsia="zh-CN"/>
        </w:rPr>
        <w:t>吐鲁番克尔碱110千伏变电站1号主变增容工程</w:t>
      </w:r>
      <w:r>
        <w:rPr>
          <w:rFonts w:hint="eastAsia" w:ascii="仿宋_GB2312"/>
          <w:szCs w:val="32"/>
        </w:rPr>
        <w:t>环境影响报告表》的评价结论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color w:val="auto"/>
          <w:szCs w:val="32"/>
          <w:lang w:val="en-US" w:eastAsia="zh-CN"/>
        </w:rPr>
        <w:t>托克逊</w:t>
      </w:r>
      <w:r>
        <w:rPr>
          <w:rFonts w:hint="eastAsia" w:ascii="仿宋_GB2312"/>
          <w:color w:val="auto"/>
          <w:szCs w:val="32"/>
        </w:rPr>
        <w:t>县</w:t>
      </w:r>
      <w:r>
        <w:rPr>
          <w:rFonts w:hint="eastAsia" w:ascii="仿宋_GB2312"/>
          <w:color w:val="auto"/>
          <w:szCs w:val="32"/>
          <w:lang w:val="en-US" w:eastAsia="zh-CN"/>
        </w:rPr>
        <w:t>分</w:t>
      </w:r>
      <w:r>
        <w:rPr>
          <w:rFonts w:hint="eastAsia" w:ascii="仿宋_GB2312"/>
          <w:color w:val="auto"/>
          <w:szCs w:val="32"/>
        </w:rPr>
        <w:t>局《关于&lt;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吐鲁番克尔碱110千伏变电站1号主变增容工程</w:t>
      </w:r>
      <w:r>
        <w:rPr>
          <w:rFonts w:hint="eastAsia" w:ascii="仿宋_GB2312"/>
          <w:color w:val="auto"/>
          <w:szCs w:val="32"/>
        </w:rPr>
        <w:t>环境影响报告表&gt;</w:t>
      </w:r>
      <w:r>
        <w:rPr>
          <w:rFonts w:hint="eastAsia" w:ascii="仿宋_GB2312"/>
          <w:color w:val="auto"/>
          <w:szCs w:val="32"/>
          <w:lang w:val="en-US" w:eastAsia="zh-CN"/>
        </w:rPr>
        <w:t>的初步审查</w:t>
      </w:r>
      <w:r>
        <w:rPr>
          <w:rFonts w:hint="eastAsia" w:ascii="仿宋_GB2312"/>
          <w:color w:val="auto"/>
          <w:szCs w:val="32"/>
        </w:rPr>
        <w:t>意见》（</w:t>
      </w:r>
      <w:r>
        <w:rPr>
          <w:rFonts w:hint="eastAsia" w:ascii="仿宋_GB2312"/>
          <w:color w:val="auto"/>
          <w:szCs w:val="32"/>
          <w:lang w:val="en-US" w:eastAsia="zh-CN"/>
        </w:rPr>
        <w:t>托环监函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38</w:t>
      </w:r>
      <w:r>
        <w:rPr>
          <w:rFonts w:hint="eastAsia" w:ascii="仿宋_GB2312"/>
          <w:color w:val="auto"/>
          <w:szCs w:val="32"/>
        </w:rPr>
        <w:t>号），</w:t>
      </w:r>
      <w:r>
        <w:rPr>
          <w:rFonts w:hint="eastAsia" w:ascii="仿宋_GB2312"/>
          <w:szCs w:val="32"/>
        </w:rPr>
        <w:t>从环境保护的角度，原则同意该项目按照《报告表》所列地点、性质、规模、采用的工艺及环境保护措施建设。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宋体"/>
          <w:kern w:val="0"/>
          <w:szCs w:val="32"/>
        </w:rPr>
      </w:pPr>
      <w:r>
        <w:rPr>
          <w:rFonts w:hint="eastAsia" w:ascii="仿宋_GB2312" w:cs="宋体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cs="宋体"/>
          <w:kern w:val="0"/>
          <w:szCs w:val="32"/>
        </w:rPr>
        <w:t>在工程设计、建设和环境管理中要认真落实《报告表》提出的各项环保要求，严格执行环保“三同时”制度，确保各类污染物稳定达标排放，并达到以下要求: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一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落实施工期各项环保措施。加强项目施工期间的环境保护管理工作，防止施工期废水、扬尘、固体废物和噪声对周围环境产生不利影响，施工结束后及时恢复。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二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落实电磁环境影响防治措施。</w:t>
      </w:r>
      <w:r>
        <w:rPr>
          <w:rFonts w:hint="eastAsia" w:ascii="仿宋_GB2312" w:hAnsi="仿宋_GB2312" w:cs="仿宋_GB2312"/>
          <w:lang w:val="en-US" w:eastAsia="zh-CN"/>
        </w:rPr>
        <w:t>项目</w:t>
      </w:r>
      <w:r>
        <w:rPr>
          <w:rFonts w:hint="eastAsia" w:ascii="仿宋_GB2312" w:hAnsi="仿宋_GB2312" w:cs="仿宋_GB2312"/>
        </w:rPr>
        <w:t>变电站按功能分区布置；制定安全操作规程，加强职工安全教育，加强电磁水平监测；对员工进行电磁环境基础知识培训，在巡检带电维修过程中，尽可能减少曝露在电磁场中的时间；设立电磁防护安全警示标志，禁止无关人员靠近带电架构等</w:t>
      </w:r>
      <w:r>
        <w:rPr>
          <w:rFonts w:hint="eastAsia" w:ascii="仿宋_GB2312" w:hAnsi="仿宋_GB2312" w:cs="仿宋_GB2312"/>
          <w:lang w:eastAsia="zh-CN"/>
        </w:rPr>
        <w:t>。</w:t>
      </w:r>
      <w:r>
        <w:rPr>
          <w:rFonts w:hint="eastAsia" w:ascii="仿宋_GB2312" w:hAnsi="仿宋_GB2312" w:cs="仿宋_GB2312"/>
          <w:lang w:val="en-US" w:eastAsia="zh-CN"/>
        </w:rPr>
        <w:t>变电站运行产生的工频电场强度和工频磁感应强度应</w:t>
      </w:r>
      <w:r>
        <w:rPr>
          <w:rFonts w:hint="eastAsia" w:ascii="仿宋_GB2312" w:hAnsi="仿宋_GB2312" w:cs="仿宋_GB2312"/>
        </w:rPr>
        <w:t>满足《电磁环境控制限值》（GB8702-2014）</w:t>
      </w:r>
      <w:r>
        <w:rPr>
          <w:rFonts w:hint="eastAsia" w:ascii="仿宋_GB2312" w:hAnsi="仿宋_GB2312" w:cs="仿宋_GB2312"/>
          <w:lang w:val="en-US" w:eastAsia="zh-CN"/>
        </w:rPr>
        <w:t>中的控制</w:t>
      </w:r>
      <w:r>
        <w:rPr>
          <w:rFonts w:hint="eastAsia" w:ascii="仿宋_GB2312" w:hAnsi="仿宋_GB2312" w:cs="仿宋_GB2312"/>
        </w:rPr>
        <w:t>限值要求。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cs="宋体"/>
          <w:kern w:val="0"/>
          <w:szCs w:val="32"/>
        </w:rPr>
      </w:pPr>
      <w:r>
        <w:rPr>
          <w:rFonts w:hint="eastAsia" w:ascii="仿宋_GB2312" w:cs="宋体"/>
          <w:kern w:val="0"/>
          <w:szCs w:val="32"/>
        </w:rPr>
        <w:t>（</w:t>
      </w:r>
      <w:r>
        <w:rPr>
          <w:rFonts w:hint="eastAsia" w:ascii="仿宋_GB2312" w:cs="宋体"/>
          <w:kern w:val="0"/>
          <w:szCs w:val="32"/>
          <w:lang w:val="en-US" w:eastAsia="zh-CN"/>
        </w:rPr>
        <w:t>三</w:t>
      </w:r>
      <w:r>
        <w:rPr>
          <w:rFonts w:hint="eastAsia" w:ascii="仿宋_GB2312" w:cs="宋体"/>
          <w:kern w:val="0"/>
          <w:szCs w:val="32"/>
        </w:rPr>
        <w:t>）落实固体</w:t>
      </w:r>
      <w:r>
        <w:rPr>
          <w:rFonts w:hint="eastAsia" w:ascii="仿宋_GB2312" w:hAnsi="仿宋_GB2312" w:cs="仿宋_GB2312"/>
          <w:lang w:val="en-US" w:eastAsia="zh-CN"/>
        </w:rPr>
        <w:t>废物污染防治措施。在变电站设置一座事故油池，容积约25m</w:t>
      </w:r>
      <w:r>
        <w:rPr>
          <w:rFonts w:hint="eastAsia" w:ascii="仿宋_GB2312" w:hAnsi="仿宋_GB2312" w:cs="仿宋_GB2312"/>
          <w:vertAlign w:val="superscript"/>
          <w:lang w:val="en-US" w:eastAsia="zh-CN"/>
        </w:rPr>
        <w:t>3</w:t>
      </w:r>
      <w:r>
        <w:rPr>
          <w:rFonts w:hint="eastAsia" w:ascii="仿宋_GB2312" w:hAnsi="仿宋_GB2312" w:cs="仿宋_GB2312"/>
          <w:lang w:val="en-US" w:eastAsia="zh-CN"/>
        </w:rPr>
        <w:t>，变压器底部设地下钢筋混凝土贮油坑；事故油委托有资质的单位处置。事故油属于危险废物，应交由有相关资质的单位进行回收处理。项目收集贮存危废设施执行《危险废物贮存污染控制标准》（GB18597-2001）（及其修改单）中相关要求。项目严格按照《危险废物收集贮存运输技术规范》（HJ2025-2012)、《危险废物转移联单管理办法》（国家环境保护局第5号令）要求进行收集、贮存、运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/>
          <w:szCs w:val="32"/>
        </w:rPr>
      </w:pPr>
      <w:r>
        <w:rPr>
          <w:rFonts w:hint="eastAsia" w:ascii="仿宋_GB2312" w:cs="宋体"/>
          <w:szCs w:val="32"/>
        </w:rPr>
        <w:t>（</w:t>
      </w:r>
      <w:r>
        <w:rPr>
          <w:rFonts w:hint="eastAsia" w:ascii="仿宋_GB2312" w:cs="宋体"/>
          <w:szCs w:val="32"/>
          <w:lang w:val="en-US" w:eastAsia="zh-CN"/>
        </w:rPr>
        <w:t>四</w:t>
      </w:r>
      <w:r>
        <w:rPr>
          <w:rFonts w:hint="eastAsia" w:ascii="仿宋_GB2312" w:cs="宋体"/>
          <w:szCs w:val="32"/>
        </w:rPr>
        <w:t>）</w:t>
      </w:r>
      <w:r>
        <w:rPr>
          <w:rFonts w:hint="eastAsia" w:ascii="仿宋_GB2312"/>
          <w:szCs w:val="32"/>
        </w:rPr>
        <w:t>落实噪声防治措施。</w:t>
      </w:r>
      <w:r>
        <w:rPr>
          <w:rFonts w:hint="eastAsia" w:ascii="仿宋_GB2312"/>
          <w:szCs w:val="32"/>
          <w:lang w:val="en-US" w:eastAsia="zh-CN"/>
        </w:rPr>
        <w:t>项目加强站内电器设备日常维护和声环境监测，变电站厂界外噪声满足</w:t>
      </w:r>
      <w:r>
        <w:rPr>
          <w:rFonts w:hint="eastAsia" w:ascii="仿宋_GB2312"/>
          <w:szCs w:val="32"/>
        </w:rPr>
        <w:t>《工业企业厂界环境噪声排放标准》（GB12348-2008）中3类标准限值。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val="en-US" w:eastAsia="zh-CN"/>
        </w:rPr>
        <w:t>五</w:t>
      </w:r>
      <w:r>
        <w:rPr>
          <w:rFonts w:hint="eastAsia" w:ascii="仿宋_GB2312"/>
          <w:szCs w:val="32"/>
        </w:rPr>
        <w:t>）建立严格的环境管理体系。严格落实《报告表》提出的各项事故防范和应急措施，制定突发环境事件应急预案，完善环保规章制度，定期开展环境应急演练。提高操作管理水平，加强设备管理、维护及操作人员的教育培训，控制和降低环境风险，杜绝环境污染事故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四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 w:hAnsi="仿宋_GB2312" w:cs="仿宋_GB2312"/>
          <w:szCs w:val="32"/>
        </w:rPr>
        <w:t>本项目不设污染物排放总量控制指标。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五</w:t>
      </w:r>
      <w:r>
        <w:rPr>
          <w:rFonts w:hint="eastAsia" w:ascii="仿宋_GB2312"/>
          <w:szCs w:val="32"/>
        </w:rPr>
        <w:t>、本项目施工期和运营期的环境监督管理由吐鲁番市生态环境局</w:t>
      </w:r>
      <w:r>
        <w:rPr>
          <w:rFonts w:hint="eastAsia" w:ascii="仿宋_GB2312"/>
          <w:szCs w:val="32"/>
          <w:lang w:val="en-US" w:eastAsia="zh-CN"/>
        </w:rPr>
        <w:t>托克逊</w:t>
      </w:r>
      <w:r>
        <w:rPr>
          <w:rFonts w:hint="eastAsia" w:ascii="仿宋_GB2312"/>
          <w:szCs w:val="32"/>
        </w:rPr>
        <w:t>县分局负责，</w:t>
      </w:r>
      <w:r>
        <w:rPr>
          <w:rFonts w:hint="eastAsia" w:ascii="仿宋_GB2312"/>
          <w:szCs w:val="32"/>
          <w:lang w:val="en-US" w:eastAsia="zh-CN"/>
        </w:rPr>
        <w:t>市生态环境保护综合行政执法支队</w:t>
      </w:r>
      <w:r>
        <w:rPr>
          <w:rFonts w:hint="eastAsia" w:ascii="仿宋_GB2312"/>
          <w:szCs w:val="32"/>
        </w:rPr>
        <w:t>不定期进行抽查。项目竣工后，须按规定程序开展竣工环境保护验收，验收合格后，方可正式投入运行。如项目的性质、规模、地点、工艺或者防治污染、防止生态破坏的措施发生重大变动，须报我局重新审批。自环评批复文件批准之日起，如工程超过5年未开工建设，环境影响评价文件应当报我局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六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 w:hAnsi="仿宋_GB2312" w:cs="仿宋_GB2312"/>
          <w:szCs w:val="32"/>
        </w:rPr>
        <w:t>你公司应在收到本批复后20个工作日内，将批准后的《报告表》分送至</w:t>
      </w:r>
      <w:r>
        <w:rPr>
          <w:rFonts w:hint="eastAsia" w:ascii="仿宋_GB2312"/>
          <w:szCs w:val="32"/>
          <w:lang w:val="en-US" w:eastAsia="zh-CN"/>
        </w:rPr>
        <w:t>托克逊</w:t>
      </w:r>
      <w:r>
        <w:rPr>
          <w:rFonts w:hint="eastAsia" w:ascii="仿宋_GB2312"/>
          <w:szCs w:val="32"/>
        </w:rPr>
        <w:t>县分局</w:t>
      </w:r>
      <w:r>
        <w:rPr>
          <w:rFonts w:hint="eastAsia" w:ascii="仿宋_GB2312" w:hAnsi="仿宋_GB2312" w:cs="仿宋_GB2312"/>
          <w:szCs w:val="32"/>
        </w:rPr>
        <w:t xml:space="preserve">，并按规定接受各级生态环境主管部门的监督检查。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 xml:space="preserve">                 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cs="仿宋_GB2312"/>
          <w:szCs w:val="32"/>
        </w:rPr>
        <w:t>吐鲁番市生态环境局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仿宋_GB2312" w:hAnsi="仿宋_GB2312" w:cs="仿宋_GB2312"/>
          <w:color w:val="FF0000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29</w:t>
      </w:r>
      <w:r>
        <w:rPr>
          <w:rFonts w:hint="eastAsia" w:ascii="仿宋_GB2312" w:hAnsi="仿宋_GB2312" w:cs="仿宋_GB2312"/>
          <w:color w:val="auto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抄送：</w:t>
      </w:r>
      <w:r>
        <w:rPr>
          <w:rFonts w:hint="eastAsia" w:ascii="仿宋_GB2312"/>
          <w:szCs w:val="32"/>
        </w:rPr>
        <w:t>吐鲁番市生态环境局</w:t>
      </w:r>
      <w:r>
        <w:rPr>
          <w:rFonts w:hint="eastAsia" w:ascii="仿宋_GB2312"/>
          <w:szCs w:val="32"/>
          <w:lang w:val="en-US" w:eastAsia="zh-CN"/>
        </w:rPr>
        <w:t>托克逊</w:t>
      </w:r>
      <w:r>
        <w:rPr>
          <w:rFonts w:hint="eastAsia" w:ascii="仿宋_GB2312"/>
          <w:szCs w:val="32"/>
        </w:rPr>
        <w:t>县分局</w:t>
      </w:r>
      <w:r>
        <w:rPr>
          <w:rFonts w:hint="eastAsia" w:ascii="仿宋_GB2312" w:hAnsi="仿宋_GB2312" w:cs="仿宋_GB2312"/>
          <w:szCs w:val="32"/>
        </w:rPr>
        <w:t>，市生态环境</w:t>
      </w:r>
      <w:r>
        <w:rPr>
          <w:rFonts w:hint="eastAsia" w:ascii="仿宋_GB2312" w:hAnsi="仿宋_GB2312" w:cs="仿宋_GB2312"/>
          <w:szCs w:val="32"/>
          <w:lang w:val="en-US" w:eastAsia="zh-CN"/>
        </w:rPr>
        <w:t>保护</w:t>
      </w:r>
      <w:r>
        <w:rPr>
          <w:rFonts w:hint="eastAsia" w:ascii="仿宋_GB2312" w:hAnsi="仿宋_GB2312" w:cs="仿宋_GB2312"/>
          <w:szCs w:val="32"/>
        </w:rPr>
        <w:t>综合行政执法支队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13990"/>
    </w:sdtPr>
    <w:sdtContent>
      <w:p>
        <w:pPr>
          <w:pStyle w:val="14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498845"/>
    </w:sdtPr>
    <w:sdtContent>
      <w:p>
        <w:pPr>
          <w:pStyle w:val="14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A3NWY5ZmFmNmQ5YTM3NDE3YzE2MjA1ZjExMjAifQ=="/>
  </w:docVars>
  <w:rsids>
    <w:rsidRoot w:val="001C0A3B"/>
    <w:rsid w:val="00003456"/>
    <w:rsid w:val="00006D3A"/>
    <w:rsid w:val="000112AF"/>
    <w:rsid w:val="000116CF"/>
    <w:rsid w:val="00014810"/>
    <w:rsid w:val="00015732"/>
    <w:rsid w:val="0002249C"/>
    <w:rsid w:val="00022E2B"/>
    <w:rsid w:val="00024CBD"/>
    <w:rsid w:val="000271C9"/>
    <w:rsid w:val="00027257"/>
    <w:rsid w:val="00030D70"/>
    <w:rsid w:val="00031C30"/>
    <w:rsid w:val="00041D0A"/>
    <w:rsid w:val="0004542E"/>
    <w:rsid w:val="00050D7D"/>
    <w:rsid w:val="00052FE7"/>
    <w:rsid w:val="000579FB"/>
    <w:rsid w:val="00071398"/>
    <w:rsid w:val="000729AD"/>
    <w:rsid w:val="000746D8"/>
    <w:rsid w:val="00074E1B"/>
    <w:rsid w:val="0008366B"/>
    <w:rsid w:val="00094616"/>
    <w:rsid w:val="000A1E99"/>
    <w:rsid w:val="000A4346"/>
    <w:rsid w:val="000A5A6B"/>
    <w:rsid w:val="000A7C57"/>
    <w:rsid w:val="000B163B"/>
    <w:rsid w:val="000C15E4"/>
    <w:rsid w:val="000C45DE"/>
    <w:rsid w:val="000C53E2"/>
    <w:rsid w:val="000C772F"/>
    <w:rsid w:val="000D61FE"/>
    <w:rsid w:val="000D701E"/>
    <w:rsid w:val="000E2660"/>
    <w:rsid w:val="000E4DF3"/>
    <w:rsid w:val="001004AB"/>
    <w:rsid w:val="00106CEC"/>
    <w:rsid w:val="00112CC3"/>
    <w:rsid w:val="00116919"/>
    <w:rsid w:val="00116C2A"/>
    <w:rsid w:val="00124AF5"/>
    <w:rsid w:val="00131F5D"/>
    <w:rsid w:val="00133618"/>
    <w:rsid w:val="00133624"/>
    <w:rsid w:val="00135469"/>
    <w:rsid w:val="001358A7"/>
    <w:rsid w:val="00136B83"/>
    <w:rsid w:val="001537ED"/>
    <w:rsid w:val="00155C61"/>
    <w:rsid w:val="00157ADC"/>
    <w:rsid w:val="00157E20"/>
    <w:rsid w:val="001610C7"/>
    <w:rsid w:val="00162B1A"/>
    <w:rsid w:val="001700D7"/>
    <w:rsid w:val="00183715"/>
    <w:rsid w:val="0018447C"/>
    <w:rsid w:val="0019002A"/>
    <w:rsid w:val="0019095B"/>
    <w:rsid w:val="00193015"/>
    <w:rsid w:val="001978BF"/>
    <w:rsid w:val="001A10BA"/>
    <w:rsid w:val="001A45B1"/>
    <w:rsid w:val="001B0753"/>
    <w:rsid w:val="001B4E67"/>
    <w:rsid w:val="001C0A3B"/>
    <w:rsid w:val="001C0C0C"/>
    <w:rsid w:val="001C39FD"/>
    <w:rsid w:val="001C4963"/>
    <w:rsid w:val="001D297C"/>
    <w:rsid w:val="001D464D"/>
    <w:rsid w:val="001D76A6"/>
    <w:rsid w:val="001D7F69"/>
    <w:rsid w:val="001E3356"/>
    <w:rsid w:val="001E3719"/>
    <w:rsid w:val="001E4131"/>
    <w:rsid w:val="001E6630"/>
    <w:rsid w:val="001F2063"/>
    <w:rsid w:val="001F3B50"/>
    <w:rsid w:val="001F4A9A"/>
    <w:rsid w:val="001F5D12"/>
    <w:rsid w:val="001F61B2"/>
    <w:rsid w:val="00201C46"/>
    <w:rsid w:val="00203E2E"/>
    <w:rsid w:val="00215417"/>
    <w:rsid w:val="00227330"/>
    <w:rsid w:val="00227880"/>
    <w:rsid w:val="00227F61"/>
    <w:rsid w:val="00236373"/>
    <w:rsid w:val="00237652"/>
    <w:rsid w:val="0024219A"/>
    <w:rsid w:val="00247BED"/>
    <w:rsid w:val="00252B6A"/>
    <w:rsid w:val="0028183D"/>
    <w:rsid w:val="00284B73"/>
    <w:rsid w:val="00287CA1"/>
    <w:rsid w:val="002A3564"/>
    <w:rsid w:val="002B6D04"/>
    <w:rsid w:val="002C5C30"/>
    <w:rsid w:val="002C63CB"/>
    <w:rsid w:val="002C7C42"/>
    <w:rsid w:val="002D0826"/>
    <w:rsid w:val="002D5E6B"/>
    <w:rsid w:val="002E058D"/>
    <w:rsid w:val="002E19D3"/>
    <w:rsid w:val="002F0A27"/>
    <w:rsid w:val="002F246F"/>
    <w:rsid w:val="002F6B69"/>
    <w:rsid w:val="003016AC"/>
    <w:rsid w:val="00302FA1"/>
    <w:rsid w:val="0030367C"/>
    <w:rsid w:val="0030523F"/>
    <w:rsid w:val="00306C3E"/>
    <w:rsid w:val="0031465D"/>
    <w:rsid w:val="00314F74"/>
    <w:rsid w:val="00317B51"/>
    <w:rsid w:val="00322A44"/>
    <w:rsid w:val="00324A80"/>
    <w:rsid w:val="003304BF"/>
    <w:rsid w:val="003332E5"/>
    <w:rsid w:val="00335F07"/>
    <w:rsid w:val="00341E96"/>
    <w:rsid w:val="003667CB"/>
    <w:rsid w:val="00366E6E"/>
    <w:rsid w:val="003714BB"/>
    <w:rsid w:val="00381F57"/>
    <w:rsid w:val="00393829"/>
    <w:rsid w:val="003968D5"/>
    <w:rsid w:val="003B3298"/>
    <w:rsid w:val="003B3A89"/>
    <w:rsid w:val="003B5D7E"/>
    <w:rsid w:val="003B6116"/>
    <w:rsid w:val="003D1CAC"/>
    <w:rsid w:val="003D4205"/>
    <w:rsid w:val="003E6831"/>
    <w:rsid w:val="003F1D14"/>
    <w:rsid w:val="00403B09"/>
    <w:rsid w:val="00413A95"/>
    <w:rsid w:val="00422D21"/>
    <w:rsid w:val="0043683D"/>
    <w:rsid w:val="0044278B"/>
    <w:rsid w:val="004443D8"/>
    <w:rsid w:val="004456D6"/>
    <w:rsid w:val="00447A34"/>
    <w:rsid w:val="00450BF0"/>
    <w:rsid w:val="00451348"/>
    <w:rsid w:val="00452FFE"/>
    <w:rsid w:val="00453CEE"/>
    <w:rsid w:val="00460B03"/>
    <w:rsid w:val="00466080"/>
    <w:rsid w:val="004773E5"/>
    <w:rsid w:val="00477537"/>
    <w:rsid w:val="00481238"/>
    <w:rsid w:val="00481A0A"/>
    <w:rsid w:val="0048767D"/>
    <w:rsid w:val="004917B9"/>
    <w:rsid w:val="00496B91"/>
    <w:rsid w:val="004A10E0"/>
    <w:rsid w:val="004A1951"/>
    <w:rsid w:val="004B1BC2"/>
    <w:rsid w:val="004B3324"/>
    <w:rsid w:val="004B4C10"/>
    <w:rsid w:val="004C3ED5"/>
    <w:rsid w:val="004C7CD7"/>
    <w:rsid w:val="004D0F50"/>
    <w:rsid w:val="004D6F24"/>
    <w:rsid w:val="004F021F"/>
    <w:rsid w:val="004F0A11"/>
    <w:rsid w:val="00501121"/>
    <w:rsid w:val="005015E8"/>
    <w:rsid w:val="00501DC6"/>
    <w:rsid w:val="00503159"/>
    <w:rsid w:val="00504409"/>
    <w:rsid w:val="00504578"/>
    <w:rsid w:val="005079D3"/>
    <w:rsid w:val="00510C73"/>
    <w:rsid w:val="005160D6"/>
    <w:rsid w:val="00535A0E"/>
    <w:rsid w:val="00540F94"/>
    <w:rsid w:val="005433D1"/>
    <w:rsid w:val="00543F62"/>
    <w:rsid w:val="00553232"/>
    <w:rsid w:val="00553C33"/>
    <w:rsid w:val="005560B4"/>
    <w:rsid w:val="00556559"/>
    <w:rsid w:val="00563DFA"/>
    <w:rsid w:val="00584954"/>
    <w:rsid w:val="00586A54"/>
    <w:rsid w:val="00586E3A"/>
    <w:rsid w:val="00587B81"/>
    <w:rsid w:val="00593A31"/>
    <w:rsid w:val="00596BB5"/>
    <w:rsid w:val="005A3D2A"/>
    <w:rsid w:val="005A4CE9"/>
    <w:rsid w:val="005A763A"/>
    <w:rsid w:val="005B0790"/>
    <w:rsid w:val="005C454F"/>
    <w:rsid w:val="005D4584"/>
    <w:rsid w:val="005D51BC"/>
    <w:rsid w:val="005D6AA6"/>
    <w:rsid w:val="005D791A"/>
    <w:rsid w:val="005F23E1"/>
    <w:rsid w:val="005F2F55"/>
    <w:rsid w:val="005F3405"/>
    <w:rsid w:val="005F612B"/>
    <w:rsid w:val="006055E9"/>
    <w:rsid w:val="00616540"/>
    <w:rsid w:val="006209FF"/>
    <w:rsid w:val="00621FDB"/>
    <w:rsid w:val="006346A9"/>
    <w:rsid w:val="00640963"/>
    <w:rsid w:val="00644BE2"/>
    <w:rsid w:val="00644E66"/>
    <w:rsid w:val="0064717B"/>
    <w:rsid w:val="00654028"/>
    <w:rsid w:val="00656F42"/>
    <w:rsid w:val="0066284C"/>
    <w:rsid w:val="00663113"/>
    <w:rsid w:val="006661AB"/>
    <w:rsid w:val="00666F98"/>
    <w:rsid w:val="0068162F"/>
    <w:rsid w:val="00681EAE"/>
    <w:rsid w:val="006821CA"/>
    <w:rsid w:val="00683475"/>
    <w:rsid w:val="00684923"/>
    <w:rsid w:val="00691379"/>
    <w:rsid w:val="006941F2"/>
    <w:rsid w:val="0069463B"/>
    <w:rsid w:val="006A4157"/>
    <w:rsid w:val="006B4550"/>
    <w:rsid w:val="006C3B87"/>
    <w:rsid w:val="006C4A14"/>
    <w:rsid w:val="006C4A66"/>
    <w:rsid w:val="006C5CF0"/>
    <w:rsid w:val="006C5E22"/>
    <w:rsid w:val="006D38B2"/>
    <w:rsid w:val="006D58DA"/>
    <w:rsid w:val="006E4AA2"/>
    <w:rsid w:val="006E6572"/>
    <w:rsid w:val="006F28BC"/>
    <w:rsid w:val="007056CD"/>
    <w:rsid w:val="00706552"/>
    <w:rsid w:val="00710223"/>
    <w:rsid w:val="00724ADB"/>
    <w:rsid w:val="00727AFA"/>
    <w:rsid w:val="0073272A"/>
    <w:rsid w:val="007335CD"/>
    <w:rsid w:val="00734F0C"/>
    <w:rsid w:val="007353EA"/>
    <w:rsid w:val="0073674E"/>
    <w:rsid w:val="00736EA7"/>
    <w:rsid w:val="00742C5F"/>
    <w:rsid w:val="007563B6"/>
    <w:rsid w:val="00760618"/>
    <w:rsid w:val="00764830"/>
    <w:rsid w:val="00767E32"/>
    <w:rsid w:val="00773D62"/>
    <w:rsid w:val="00782F17"/>
    <w:rsid w:val="00783254"/>
    <w:rsid w:val="00783950"/>
    <w:rsid w:val="00783D08"/>
    <w:rsid w:val="007929E3"/>
    <w:rsid w:val="007949F7"/>
    <w:rsid w:val="00797250"/>
    <w:rsid w:val="007A1342"/>
    <w:rsid w:val="007A5B1D"/>
    <w:rsid w:val="007A7957"/>
    <w:rsid w:val="007B17DA"/>
    <w:rsid w:val="007B440D"/>
    <w:rsid w:val="007B753F"/>
    <w:rsid w:val="007C01AF"/>
    <w:rsid w:val="007C2AB4"/>
    <w:rsid w:val="007C3627"/>
    <w:rsid w:val="007C76C3"/>
    <w:rsid w:val="007E7F7A"/>
    <w:rsid w:val="007F06F2"/>
    <w:rsid w:val="007F0AF3"/>
    <w:rsid w:val="007F52DE"/>
    <w:rsid w:val="00800136"/>
    <w:rsid w:val="00811A70"/>
    <w:rsid w:val="008142DC"/>
    <w:rsid w:val="00817BD3"/>
    <w:rsid w:val="00830C26"/>
    <w:rsid w:val="0084399B"/>
    <w:rsid w:val="0085082B"/>
    <w:rsid w:val="008563E4"/>
    <w:rsid w:val="008572DD"/>
    <w:rsid w:val="00861569"/>
    <w:rsid w:val="00874FBD"/>
    <w:rsid w:val="0088108F"/>
    <w:rsid w:val="008841B6"/>
    <w:rsid w:val="00885921"/>
    <w:rsid w:val="00891894"/>
    <w:rsid w:val="008B2C97"/>
    <w:rsid w:val="008C09A4"/>
    <w:rsid w:val="008D7070"/>
    <w:rsid w:val="008E2A27"/>
    <w:rsid w:val="008F31EA"/>
    <w:rsid w:val="008F40CA"/>
    <w:rsid w:val="008F552A"/>
    <w:rsid w:val="008F5F82"/>
    <w:rsid w:val="008F66E3"/>
    <w:rsid w:val="009001D9"/>
    <w:rsid w:val="00903D49"/>
    <w:rsid w:val="00906C55"/>
    <w:rsid w:val="00910341"/>
    <w:rsid w:val="00914BCC"/>
    <w:rsid w:val="0091736A"/>
    <w:rsid w:val="00927942"/>
    <w:rsid w:val="009313F8"/>
    <w:rsid w:val="00943623"/>
    <w:rsid w:val="00945FBF"/>
    <w:rsid w:val="00947D90"/>
    <w:rsid w:val="009506AE"/>
    <w:rsid w:val="009566CD"/>
    <w:rsid w:val="00956F74"/>
    <w:rsid w:val="0096124E"/>
    <w:rsid w:val="00964740"/>
    <w:rsid w:val="00974242"/>
    <w:rsid w:val="0097514C"/>
    <w:rsid w:val="00977049"/>
    <w:rsid w:val="00977D63"/>
    <w:rsid w:val="00981A4B"/>
    <w:rsid w:val="00982EB3"/>
    <w:rsid w:val="00983387"/>
    <w:rsid w:val="009837AE"/>
    <w:rsid w:val="009848E0"/>
    <w:rsid w:val="009A03D5"/>
    <w:rsid w:val="009A15F1"/>
    <w:rsid w:val="009A2099"/>
    <w:rsid w:val="009A48FC"/>
    <w:rsid w:val="009B50CE"/>
    <w:rsid w:val="009B5D50"/>
    <w:rsid w:val="009C0655"/>
    <w:rsid w:val="009C0E5A"/>
    <w:rsid w:val="009C141A"/>
    <w:rsid w:val="009C6511"/>
    <w:rsid w:val="009D68D0"/>
    <w:rsid w:val="009D7466"/>
    <w:rsid w:val="009E29FF"/>
    <w:rsid w:val="009F363D"/>
    <w:rsid w:val="009F401D"/>
    <w:rsid w:val="009F7AF4"/>
    <w:rsid w:val="00A06003"/>
    <w:rsid w:val="00A17767"/>
    <w:rsid w:val="00A220F1"/>
    <w:rsid w:val="00A2556D"/>
    <w:rsid w:val="00A34EB3"/>
    <w:rsid w:val="00A43F58"/>
    <w:rsid w:val="00A47053"/>
    <w:rsid w:val="00A50F04"/>
    <w:rsid w:val="00A52E48"/>
    <w:rsid w:val="00A56F84"/>
    <w:rsid w:val="00A64AB2"/>
    <w:rsid w:val="00A656E5"/>
    <w:rsid w:val="00A70964"/>
    <w:rsid w:val="00A7271D"/>
    <w:rsid w:val="00A75C25"/>
    <w:rsid w:val="00A77616"/>
    <w:rsid w:val="00A860A2"/>
    <w:rsid w:val="00A91DDF"/>
    <w:rsid w:val="00A95AA5"/>
    <w:rsid w:val="00AA18DA"/>
    <w:rsid w:val="00AA5161"/>
    <w:rsid w:val="00AB3780"/>
    <w:rsid w:val="00AB4DE3"/>
    <w:rsid w:val="00AB6A62"/>
    <w:rsid w:val="00AC25BD"/>
    <w:rsid w:val="00AC38D6"/>
    <w:rsid w:val="00AC3E78"/>
    <w:rsid w:val="00AD172A"/>
    <w:rsid w:val="00AD6F2F"/>
    <w:rsid w:val="00AE64F5"/>
    <w:rsid w:val="00B012BB"/>
    <w:rsid w:val="00B037FC"/>
    <w:rsid w:val="00B1084A"/>
    <w:rsid w:val="00B13421"/>
    <w:rsid w:val="00B2033A"/>
    <w:rsid w:val="00B26472"/>
    <w:rsid w:val="00B26E3E"/>
    <w:rsid w:val="00B32F7B"/>
    <w:rsid w:val="00B3710E"/>
    <w:rsid w:val="00B40A8E"/>
    <w:rsid w:val="00B416D9"/>
    <w:rsid w:val="00B50915"/>
    <w:rsid w:val="00B5105D"/>
    <w:rsid w:val="00B51704"/>
    <w:rsid w:val="00B52498"/>
    <w:rsid w:val="00B5549F"/>
    <w:rsid w:val="00B5684C"/>
    <w:rsid w:val="00B6055E"/>
    <w:rsid w:val="00B60A70"/>
    <w:rsid w:val="00B65D5F"/>
    <w:rsid w:val="00B83EF9"/>
    <w:rsid w:val="00B85A11"/>
    <w:rsid w:val="00B90824"/>
    <w:rsid w:val="00B90FDB"/>
    <w:rsid w:val="00B91271"/>
    <w:rsid w:val="00BA0AF9"/>
    <w:rsid w:val="00BA218F"/>
    <w:rsid w:val="00BB01D5"/>
    <w:rsid w:val="00BB6DBB"/>
    <w:rsid w:val="00BC1089"/>
    <w:rsid w:val="00BD1BD1"/>
    <w:rsid w:val="00BD3B53"/>
    <w:rsid w:val="00BE6775"/>
    <w:rsid w:val="00BE6F2B"/>
    <w:rsid w:val="00C02572"/>
    <w:rsid w:val="00C02797"/>
    <w:rsid w:val="00C17E16"/>
    <w:rsid w:val="00C31FFA"/>
    <w:rsid w:val="00C355EE"/>
    <w:rsid w:val="00C362F6"/>
    <w:rsid w:val="00C37CD3"/>
    <w:rsid w:val="00C51E6C"/>
    <w:rsid w:val="00C5362E"/>
    <w:rsid w:val="00C63180"/>
    <w:rsid w:val="00C71CC5"/>
    <w:rsid w:val="00C918BE"/>
    <w:rsid w:val="00CA597B"/>
    <w:rsid w:val="00CA6600"/>
    <w:rsid w:val="00CB1B0B"/>
    <w:rsid w:val="00CB1F63"/>
    <w:rsid w:val="00CB51EA"/>
    <w:rsid w:val="00CC6DB9"/>
    <w:rsid w:val="00CD0376"/>
    <w:rsid w:val="00CD478E"/>
    <w:rsid w:val="00CD733D"/>
    <w:rsid w:val="00CD7787"/>
    <w:rsid w:val="00CE1E86"/>
    <w:rsid w:val="00CE2881"/>
    <w:rsid w:val="00CE28CE"/>
    <w:rsid w:val="00CE6870"/>
    <w:rsid w:val="00CF289D"/>
    <w:rsid w:val="00CF70ED"/>
    <w:rsid w:val="00D018A3"/>
    <w:rsid w:val="00D02B69"/>
    <w:rsid w:val="00D0334F"/>
    <w:rsid w:val="00D11120"/>
    <w:rsid w:val="00D11833"/>
    <w:rsid w:val="00D136DE"/>
    <w:rsid w:val="00D168D4"/>
    <w:rsid w:val="00D1704C"/>
    <w:rsid w:val="00D17901"/>
    <w:rsid w:val="00D243ED"/>
    <w:rsid w:val="00D24C9F"/>
    <w:rsid w:val="00D24EE1"/>
    <w:rsid w:val="00D32730"/>
    <w:rsid w:val="00D32F55"/>
    <w:rsid w:val="00D36ECD"/>
    <w:rsid w:val="00D4026A"/>
    <w:rsid w:val="00D406FB"/>
    <w:rsid w:val="00D44F5E"/>
    <w:rsid w:val="00D5189A"/>
    <w:rsid w:val="00D526DC"/>
    <w:rsid w:val="00D567EE"/>
    <w:rsid w:val="00D747AB"/>
    <w:rsid w:val="00D74A82"/>
    <w:rsid w:val="00D761A0"/>
    <w:rsid w:val="00D81961"/>
    <w:rsid w:val="00D92B53"/>
    <w:rsid w:val="00D97FF4"/>
    <w:rsid w:val="00DA746A"/>
    <w:rsid w:val="00DA79C5"/>
    <w:rsid w:val="00DB0581"/>
    <w:rsid w:val="00DB55F8"/>
    <w:rsid w:val="00DC0EE9"/>
    <w:rsid w:val="00DC48BA"/>
    <w:rsid w:val="00DC6C44"/>
    <w:rsid w:val="00DD102A"/>
    <w:rsid w:val="00DD20E0"/>
    <w:rsid w:val="00DF7498"/>
    <w:rsid w:val="00E1041E"/>
    <w:rsid w:val="00E11C86"/>
    <w:rsid w:val="00E122AE"/>
    <w:rsid w:val="00E13825"/>
    <w:rsid w:val="00E20EC1"/>
    <w:rsid w:val="00E26CFE"/>
    <w:rsid w:val="00E26FFB"/>
    <w:rsid w:val="00E34319"/>
    <w:rsid w:val="00E377DB"/>
    <w:rsid w:val="00E379CD"/>
    <w:rsid w:val="00E40406"/>
    <w:rsid w:val="00E46A0C"/>
    <w:rsid w:val="00E548AE"/>
    <w:rsid w:val="00E63CBA"/>
    <w:rsid w:val="00E705F8"/>
    <w:rsid w:val="00E713B7"/>
    <w:rsid w:val="00E73594"/>
    <w:rsid w:val="00E80400"/>
    <w:rsid w:val="00E858A1"/>
    <w:rsid w:val="00E94FF7"/>
    <w:rsid w:val="00E97824"/>
    <w:rsid w:val="00EA1E58"/>
    <w:rsid w:val="00EA28A2"/>
    <w:rsid w:val="00EA46F2"/>
    <w:rsid w:val="00EB12B3"/>
    <w:rsid w:val="00EC0B19"/>
    <w:rsid w:val="00ED5CFF"/>
    <w:rsid w:val="00EE0C6F"/>
    <w:rsid w:val="00EE7B9C"/>
    <w:rsid w:val="00EF039D"/>
    <w:rsid w:val="00F01A99"/>
    <w:rsid w:val="00F0249A"/>
    <w:rsid w:val="00F02C92"/>
    <w:rsid w:val="00F070E0"/>
    <w:rsid w:val="00F0757F"/>
    <w:rsid w:val="00F079E5"/>
    <w:rsid w:val="00F13A8C"/>
    <w:rsid w:val="00F22C07"/>
    <w:rsid w:val="00F23579"/>
    <w:rsid w:val="00F2402E"/>
    <w:rsid w:val="00F2405E"/>
    <w:rsid w:val="00F24A22"/>
    <w:rsid w:val="00F25EE2"/>
    <w:rsid w:val="00F30A79"/>
    <w:rsid w:val="00F30E2C"/>
    <w:rsid w:val="00F36AC6"/>
    <w:rsid w:val="00F40C55"/>
    <w:rsid w:val="00F50F13"/>
    <w:rsid w:val="00F53803"/>
    <w:rsid w:val="00F54B70"/>
    <w:rsid w:val="00F56642"/>
    <w:rsid w:val="00F72289"/>
    <w:rsid w:val="00F870A6"/>
    <w:rsid w:val="00F90E0B"/>
    <w:rsid w:val="00F918AB"/>
    <w:rsid w:val="00F93E48"/>
    <w:rsid w:val="00F97D93"/>
    <w:rsid w:val="00FA1880"/>
    <w:rsid w:val="00FA22E2"/>
    <w:rsid w:val="00FB07F3"/>
    <w:rsid w:val="00FB2CDC"/>
    <w:rsid w:val="00FB672F"/>
    <w:rsid w:val="00FC3A17"/>
    <w:rsid w:val="00FC3A23"/>
    <w:rsid w:val="00FC5595"/>
    <w:rsid w:val="00FC5AA7"/>
    <w:rsid w:val="00FD017F"/>
    <w:rsid w:val="00FD1C1C"/>
    <w:rsid w:val="00FD2E47"/>
    <w:rsid w:val="00FD42C4"/>
    <w:rsid w:val="00FE7848"/>
    <w:rsid w:val="00FF2324"/>
    <w:rsid w:val="00FF428A"/>
    <w:rsid w:val="00FF4997"/>
    <w:rsid w:val="00FF544B"/>
    <w:rsid w:val="00FF66B5"/>
    <w:rsid w:val="01AC0139"/>
    <w:rsid w:val="021A0131"/>
    <w:rsid w:val="03E1080D"/>
    <w:rsid w:val="04782A92"/>
    <w:rsid w:val="06E01E50"/>
    <w:rsid w:val="07A13635"/>
    <w:rsid w:val="08101DB2"/>
    <w:rsid w:val="08A17FE2"/>
    <w:rsid w:val="08BA4909"/>
    <w:rsid w:val="0B5310FE"/>
    <w:rsid w:val="0B591DA9"/>
    <w:rsid w:val="0C3D6A94"/>
    <w:rsid w:val="0DB45986"/>
    <w:rsid w:val="0EDB39A1"/>
    <w:rsid w:val="0EF0248D"/>
    <w:rsid w:val="0F31473F"/>
    <w:rsid w:val="0F925C73"/>
    <w:rsid w:val="113B2E9C"/>
    <w:rsid w:val="1379128C"/>
    <w:rsid w:val="14132147"/>
    <w:rsid w:val="142361D4"/>
    <w:rsid w:val="14702590"/>
    <w:rsid w:val="14F34426"/>
    <w:rsid w:val="159535B3"/>
    <w:rsid w:val="15E82E53"/>
    <w:rsid w:val="16276BA3"/>
    <w:rsid w:val="170744E6"/>
    <w:rsid w:val="17680846"/>
    <w:rsid w:val="17F51B4E"/>
    <w:rsid w:val="180B1204"/>
    <w:rsid w:val="18202BA6"/>
    <w:rsid w:val="18677510"/>
    <w:rsid w:val="197900FF"/>
    <w:rsid w:val="1CBB3234"/>
    <w:rsid w:val="1E386095"/>
    <w:rsid w:val="1E9D2F50"/>
    <w:rsid w:val="1F6E0254"/>
    <w:rsid w:val="1F846FD2"/>
    <w:rsid w:val="1F8C1DF0"/>
    <w:rsid w:val="20B415FA"/>
    <w:rsid w:val="20DA3519"/>
    <w:rsid w:val="211903B5"/>
    <w:rsid w:val="21AF6086"/>
    <w:rsid w:val="21BF3373"/>
    <w:rsid w:val="224C4814"/>
    <w:rsid w:val="22F7744E"/>
    <w:rsid w:val="230439E3"/>
    <w:rsid w:val="23AC703D"/>
    <w:rsid w:val="25AD7DBF"/>
    <w:rsid w:val="25C41A79"/>
    <w:rsid w:val="25D01CF0"/>
    <w:rsid w:val="25D21F9B"/>
    <w:rsid w:val="2630122A"/>
    <w:rsid w:val="265C67D3"/>
    <w:rsid w:val="274E23CA"/>
    <w:rsid w:val="2771557E"/>
    <w:rsid w:val="280244F4"/>
    <w:rsid w:val="28B279B4"/>
    <w:rsid w:val="28DB0A41"/>
    <w:rsid w:val="29FF142C"/>
    <w:rsid w:val="2AC457CE"/>
    <w:rsid w:val="2AEA33A3"/>
    <w:rsid w:val="2B297934"/>
    <w:rsid w:val="2B980196"/>
    <w:rsid w:val="2BA50779"/>
    <w:rsid w:val="2D1B099D"/>
    <w:rsid w:val="2D46550B"/>
    <w:rsid w:val="2D99774B"/>
    <w:rsid w:val="2E884E15"/>
    <w:rsid w:val="2E8C1473"/>
    <w:rsid w:val="2EA0434C"/>
    <w:rsid w:val="2F5940C6"/>
    <w:rsid w:val="303B31BD"/>
    <w:rsid w:val="30DC6DFC"/>
    <w:rsid w:val="3301756A"/>
    <w:rsid w:val="337076CF"/>
    <w:rsid w:val="339207B1"/>
    <w:rsid w:val="356F2FDD"/>
    <w:rsid w:val="36F4783D"/>
    <w:rsid w:val="38A25E40"/>
    <w:rsid w:val="39AE6358"/>
    <w:rsid w:val="3C783F36"/>
    <w:rsid w:val="3C9A7261"/>
    <w:rsid w:val="3D123278"/>
    <w:rsid w:val="3D306D49"/>
    <w:rsid w:val="3D9F41EB"/>
    <w:rsid w:val="3E0A3243"/>
    <w:rsid w:val="3F764CA9"/>
    <w:rsid w:val="3FF95F26"/>
    <w:rsid w:val="408F0DDD"/>
    <w:rsid w:val="419C2F68"/>
    <w:rsid w:val="41D31183"/>
    <w:rsid w:val="42AD47DE"/>
    <w:rsid w:val="436B7D68"/>
    <w:rsid w:val="43D10B6C"/>
    <w:rsid w:val="44B72988"/>
    <w:rsid w:val="44D76B6A"/>
    <w:rsid w:val="452D416E"/>
    <w:rsid w:val="454145FF"/>
    <w:rsid w:val="45C717F4"/>
    <w:rsid w:val="46EB5F4B"/>
    <w:rsid w:val="476834A9"/>
    <w:rsid w:val="478168F7"/>
    <w:rsid w:val="485727E6"/>
    <w:rsid w:val="48BC3CB4"/>
    <w:rsid w:val="492C6C09"/>
    <w:rsid w:val="499B16C9"/>
    <w:rsid w:val="49D129EE"/>
    <w:rsid w:val="4B3F3CD1"/>
    <w:rsid w:val="4B7D2042"/>
    <w:rsid w:val="4CCE3A8F"/>
    <w:rsid w:val="4E887C97"/>
    <w:rsid w:val="4EE45DA7"/>
    <w:rsid w:val="502E4CE4"/>
    <w:rsid w:val="5036491C"/>
    <w:rsid w:val="51AA321A"/>
    <w:rsid w:val="51BB5F74"/>
    <w:rsid w:val="51FC3859"/>
    <w:rsid w:val="525E0057"/>
    <w:rsid w:val="52B81A73"/>
    <w:rsid w:val="53A02794"/>
    <w:rsid w:val="53A551A0"/>
    <w:rsid w:val="543D7B60"/>
    <w:rsid w:val="551C59CE"/>
    <w:rsid w:val="55CA5B52"/>
    <w:rsid w:val="56AE3064"/>
    <w:rsid w:val="58693CF0"/>
    <w:rsid w:val="58E05BE3"/>
    <w:rsid w:val="58E6094E"/>
    <w:rsid w:val="59962476"/>
    <w:rsid w:val="5A2140DC"/>
    <w:rsid w:val="5AE86182"/>
    <w:rsid w:val="5B920B35"/>
    <w:rsid w:val="5B9447E3"/>
    <w:rsid w:val="5C193B89"/>
    <w:rsid w:val="5C6A7016"/>
    <w:rsid w:val="5CD45920"/>
    <w:rsid w:val="5E1A3D21"/>
    <w:rsid w:val="5FD70968"/>
    <w:rsid w:val="604D14A3"/>
    <w:rsid w:val="606377EC"/>
    <w:rsid w:val="60907D75"/>
    <w:rsid w:val="6294503D"/>
    <w:rsid w:val="62CA45A2"/>
    <w:rsid w:val="630B1E28"/>
    <w:rsid w:val="63546188"/>
    <w:rsid w:val="638454C6"/>
    <w:rsid w:val="63B13956"/>
    <w:rsid w:val="6422105A"/>
    <w:rsid w:val="64572442"/>
    <w:rsid w:val="647B64A1"/>
    <w:rsid w:val="653E05DE"/>
    <w:rsid w:val="66616120"/>
    <w:rsid w:val="668D671F"/>
    <w:rsid w:val="67911F69"/>
    <w:rsid w:val="67D15A5F"/>
    <w:rsid w:val="6832145A"/>
    <w:rsid w:val="684359C8"/>
    <w:rsid w:val="68E13002"/>
    <w:rsid w:val="69DE4C7E"/>
    <w:rsid w:val="6A1324A1"/>
    <w:rsid w:val="6AF46054"/>
    <w:rsid w:val="6B1C21F3"/>
    <w:rsid w:val="6C9524DD"/>
    <w:rsid w:val="6D6B00E5"/>
    <w:rsid w:val="6D794D48"/>
    <w:rsid w:val="6DC721AC"/>
    <w:rsid w:val="6E691593"/>
    <w:rsid w:val="6EA04DEC"/>
    <w:rsid w:val="6F686FC6"/>
    <w:rsid w:val="6FB47597"/>
    <w:rsid w:val="70963436"/>
    <w:rsid w:val="715F724B"/>
    <w:rsid w:val="736F49C4"/>
    <w:rsid w:val="73FA40C7"/>
    <w:rsid w:val="74D95E13"/>
    <w:rsid w:val="74E760B5"/>
    <w:rsid w:val="750503BE"/>
    <w:rsid w:val="751172B8"/>
    <w:rsid w:val="764A076A"/>
    <w:rsid w:val="77427A58"/>
    <w:rsid w:val="776F4AC7"/>
    <w:rsid w:val="78541493"/>
    <w:rsid w:val="789D0C28"/>
    <w:rsid w:val="78A25126"/>
    <w:rsid w:val="78D554E1"/>
    <w:rsid w:val="7A7244D9"/>
    <w:rsid w:val="7B2C55A6"/>
    <w:rsid w:val="7C850929"/>
    <w:rsid w:val="7D741AB5"/>
    <w:rsid w:val="7F7A656A"/>
    <w:rsid w:val="7FAC1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eastAsia="宋体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240" w:lineRule="auto"/>
      <w:ind w:firstLine="420" w:firstLineChars="200"/>
    </w:pPr>
    <w:rPr>
      <w:rFonts w:ascii="宋体" w:hAnsi="宋体" w:cs="宋体" w:eastAsiaTheme="minorEastAsia"/>
      <w:sz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link w:val="26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line="360" w:lineRule="auto"/>
      <w:ind w:firstLine="495"/>
    </w:pPr>
    <w:rPr>
      <w:rFonts w:ascii="宋体" w:hAnsi="宋体"/>
      <w:sz w:val="24"/>
    </w:rPr>
  </w:style>
  <w:style w:type="paragraph" w:styleId="9">
    <w:name w:val="toc 3"/>
    <w:basedOn w:val="10"/>
    <w:next w:val="1"/>
    <w:qFormat/>
    <w:uiPriority w:val="0"/>
    <w:pPr>
      <w:spacing w:line="240" w:lineRule="auto"/>
      <w:ind w:left="840" w:leftChars="400"/>
    </w:pPr>
    <w:rPr>
      <w:rFonts w:eastAsia="宋体"/>
      <w:sz w:val="21"/>
      <w:szCs w:val="20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Plain Text"/>
    <w:basedOn w:val="1"/>
    <w:link w:val="34"/>
    <w:qFormat/>
    <w:uiPriority w:val="0"/>
    <w:rPr>
      <w:rFonts w:ascii="宋体" w:hAnsi="Courier New" w:eastAsia="宋体" w:cs="Courier New"/>
      <w:sz w:val="21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1"/>
    <w:link w:val="41"/>
    <w:qFormat/>
    <w:uiPriority w:val="0"/>
    <w:pPr>
      <w:spacing w:before="240" w:after="60" w:line="480" w:lineRule="auto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7">
    <w:name w:val="Body Text First Indent"/>
    <w:basedOn w:val="7"/>
    <w:link w:val="37"/>
    <w:qFormat/>
    <w:uiPriority w:val="0"/>
    <w:pPr>
      <w:ind w:firstLine="420" w:firstLineChars="100"/>
    </w:pPr>
  </w:style>
  <w:style w:type="paragraph" w:styleId="18">
    <w:name w:val="Body Text First Indent 2"/>
    <w:basedOn w:val="8"/>
    <w:next w:val="1"/>
    <w:qFormat/>
    <w:uiPriority w:val="0"/>
    <w:pPr>
      <w:ind w:firstLine="420" w:firstLineChars="200"/>
    </w:pPr>
    <w:rPr>
      <w:sz w:val="21"/>
    </w:rPr>
  </w:style>
  <w:style w:type="character" w:styleId="21">
    <w:name w:val="page number"/>
    <w:basedOn w:val="20"/>
    <w:qFormat/>
    <w:uiPriority w:val="0"/>
  </w:style>
  <w:style w:type="paragraph" w:customStyle="1" w:styleId="22">
    <w:name w:val="表格内"/>
    <w:basedOn w:val="1"/>
    <w:qFormat/>
    <w:uiPriority w:val="0"/>
    <w:pPr>
      <w:spacing w:line="360" w:lineRule="exact"/>
      <w:jc w:val="center"/>
    </w:pPr>
    <w:rPr>
      <w:snapToGrid w:val="0"/>
      <w:szCs w:val="21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正文文本 Char"/>
    <w:basedOn w:val="20"/>
    <w:qFormat/>
    <w:uiPriority w:val="0"/>
    <w:rPr>
      <w:kern w:val="2"/>
      <w:sz w:val="21"/>
      <w:szCs w:val="24"/>
    </w:rPr>
  </w:style>
  <w:style w:type="character" w:customStyle="1" w:styleId="26">
    <w:name w:val="正文文本 Char1"/>
    <w:basedOn w:val="20"/>
    <w:link w:val="7"/>
    <w:qFormat/>
    <w:uiPriority w:val="0"/>
    <w:rPr>
      <w:kern w:val="2"/>
      <w:sz w:val="21"/>
      <w:szCs w:val="24"/>
    </w:rPr>
  </w:style>
  <w:style w:type="character" w:customStyle="1" w:styleId="27">
    <w:name w:val="标题 1 Char"/>
    <w:link w:val="3"/>
    <w:qFormat/>
    <w:uiPriority w:val="0"/>
    <w:rPr>
      <w:b/>
      <w:kern w:val="44"/>
      <w:sz w:val="44"/>
    </w:rPr>
  </w:style>
  <w:style w:type="character" w:customStyle="1" w:styleId="28">
    <w:name w:val="样式 四号"/>
    <w:qFormat/>
    <w:uiPriority w:val="0"/>
    <w:rPr>
      <w:sz w:val="28"/>
    </w:rPr>
  </w:style>
  <w:style w:type="character" w:customStyle="1" w:styleId="29">
    <w:name w:val="页眉 Char"/>
    <w:basedOn w:val="20"/>
    <w:link w:val="1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0">
    <w:name w:val="页脚 Char"/>
    <w:basedOn w:val="20"/>
    <w:link w:val="1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1">
    <w:name w:val="批注框文本 Char"/>
    <w:basedOn w:val="20"/>
    <w:link w:val="1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2">
    <w:name w:val="报告书正文 Char"/>
    <w:link w:val="33"/>
    <w:qFormat/>
    <w:uiPriority w:val="0"/>
    <w:rPr>
      <w:rFonts w:ascii="Times New Roman" w:hAnsi="Times New Roman"/>
      <w:sz w:val="24"/>
      <w:szCs w:val="21"/>
    </w:rPr>
  </w:style>
  <w:style w:type="paragraph" w:customStyle="1" w:styleId="33">
    <w:name w:val="报告书正文"/>
    <w:basedOn w:val="11"/>
    <w:link w:val="32"/>
    <w:qFormat/>
    <w:uiPriority w:val="0"/>
    <w:pPr>
      <w:widowControl/>
      <w:spacing w:line="360" w:lineRule="auto"/>
      <w:ind w:firstLine="480" w:firstLineChars="200"/>
    </w:pPr>
    <w:rPr>
      <w:rFonts w:ascii="Times New Roman" w:hAnsi="Times New Roman" w:cs="Times New Roman"/>
      <w:kern w:val="0"/>
      <w:sz w:val="24"/>
    </w:rPr>
  </w:style>
  <w:style w:type="character" w:customStyle="1" w:styleId="34">
    <w:name w:val="纯文本 Char"/>
    <w:basedOn w:val="20"/>
    <w:link w:val="1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5">
    <w:name w:val="表内内容 Char Char"/>
    <w:link w:val="36"/>
    <w:qFormat/>
    <w:uiPriority w:val="0"/>
    <w:rPr>
      <w:rFonts w:ascii="Times New Roman" w:hAnsi="Times New Roman"/>
      <w:kern w:val="2"/>
      <w:sz w:val="21"/>
      <w:szCs w:val="28"/>
    </w:rPr>
  </w:style>
  <w:style w:type="paragraph" w:customStyle="1" w:styleId="36">
    <w:name w:val="表内内容"/>
    <w:basedOn w:val="1"/>
    <w:link w:val="35"/>
    <w:qFormat/>
    <w:uiPriority w:val="0"/>
    <w:pPr>
      <w:adjustRightInd w:val="0"/>
      <w:spacing w:line="240" w:lineRule="auto"/>
      <w:jc w:val="center"/>
    </w:pPr>
    <w:rPr>
      <w:rFonts w:eastAsia="宋体"/>
      <w:sz w:val="21"/>
      <w:szCs w:val="28"/>
    </w:rPr>
  </w:style>
  <w:style w:type="character" w:customStyle="1" w:styleId="37">
    <w:name w:val="正文首行缩进 Char"/>
    <w:basedOn w:val="26"/>
    <w:link w:val="17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8">
    <w:name w:val="！正文 Char"/>
    <w:link w:val="39"/>
    <w:qFormat/>
    <w:uiPriority w:val="0"/>
    <w:rPr>
      <w:rFonts w:ascii="Times New Roman" w:hAnsi="Times New Roman" w:eastAsia="Times New Roman"/>
      <w:sz w:val="24"/>
    </w:rPr>
  </w:style>
  <w:style w:type="paragraph" w:customStyle="1" w:styleId="39">
    <w:name w:val="！正文"/>
    <w:basedOn w:val="1"/>
    <w:link w:val="38"/>
    <w:qFormat/>
    <w:uiPriority w:val="0"/>
    <w:pPr>
      <w:spacing w:line="360" w:lineRule="auto"/>
      <w:ind w:firstLine="643" w:firstLineChars="200"/>
    </w:pPr>
    <w:rPr>
      <w:rFonts w:eastAsia="Times New Roman"/>
      <w:kern w:val="0"/>
      <w:sz w:val="24"/>
      <w:szCs w:val="20"/>
    </w:rPr>
  </w:style>
  <w:style w:type="paragraph" w:customStyle="1" w:styleId="40">
    <w:name w:val="文本"/>
    <w:basedOn w:val="1"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eastAsia="宋体"/>
      <w:kern w:val="0"/>
      <w:sz w:val="24"/>
      <w:lang w:val="zh-CN"/>
    </w:rPr>
  </w:style>
  <w:style w:type="character" w:customStyle="1" w:styleId="41">
    <w:name w:val="标题 Char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42">
    <w:name w:val="标题 Char1"/>
    <w:basedOn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3">
    <w:name w:val="1-正文"/>
    <w:basedOn w:val="1"/>
    <w:qFormat/>
    <w:uiPriority w:val="0"/>
    <w:pPr>
      <w:spacing w:line="360" w:lineRule="auto"/>
      <w:ind w:firstLine="200" w:firstLineChars="200"/>
    </w:pPr>
    <w:rPr>
      <w:rFonts w:eastAsia="宋体"/>
      <w:sz w:val="21"/>
      <w:szCs w:val="22"/>
    </w:rPr>
  </w:style>
  <w:style w:type="paragraph" w:customStyle="1" w:styleId="44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4190-6C17-4C5C-927C-B0C1A2BED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478</Words>
  <Characters>2731</Characters>
  <Lines>22</Lines>
  <Paragraphs>6</Paragraphs>
  <TotalTime>10</TotalTime>
  <ScaleCrop>false</ScaleCrop>
  <LinksUpToDate>false</LinksUpToDate>
  <CharactersWithSpaces>3203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2020-09-01T09:20:00Z</dcterms:created>
  <dc:creator>微软系统</dc:creator>
  <cp:lastModifiedBy>Administrator</cp:lastModifiedBy>
  <cp:lastPrinted>2021-03-03T07:33:00Z</cp:lastPrinted>
  <dcterms:modified xsi:type="dcterms:W3CDTF">2023-11-29T04:32:29Z</dcterms:modified>
  <dc:title>鄯政环〔2014〕号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1B6776E43DFA4F909B2111029B30A3DD_13</vt:lpwstr>
  </property>
</Properties>
</file>