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小标宋" w:eastAsia="小标宋" w:cs="小标宋"/>
          <w:b/>
          <w:color w:val="000000" w:themeColor="text1"/>
          <w:sz w:val="48"/>
          <w:szCs w:val="48"/>
          <w:shd w:val="clear" w:color="auto" w:fill="FFFFFF"/>
          <w14:textFill>
            <w14:solidFill>
              <w14:schemeClr w14:val="tx1"/>
            </w14:solidFill>
          </w14:textFill>
        </w:rPr>
      </w:pPr>
    </w:p>
    <w:p>
      <w:pPr>
        <w:jc w:val="center"/>
        <w:rPr>
          <w:rFonts w:ascii="小标宋" w:hAnsi="小标宋" w:eastAsia="小标宋" w:cs="小标宋"/>
          <w:b/>
          <w:color w:val="000000" w:themeColor="text1"/>
          <w:sz w:val="48"/>
          <w:szCs w:val="48"/>
          <w:shd w:val="clear" w:color="auto" w:fill="FFFFFF"/>
          <w14:textFill>
            <w14:solidFill>
              <w14:schemeClr w14:val="tx1"/>
            </w14:solidFill>
          </w14:textFill>
        </w:rPr>
      </w:pPr>
    </w:p>
    <w:p>
      <w:pPr>
        <w:jc w:val="center"/>
        <w:rPr>
          <w:rFonts w:ascii="方正小标宋简体" w:hAnsi="华文中宋" w:eastAsia="方正小标宋简体" w:cs="小标宋"/>
          <w:b/>
          <w:color w:val="000000" w:themeColor="text1"/>
          <w:sz w:val="52"/>
          <w:szCs w:val="52"/>
          <w:shd w:val="clear" w:color="auto" w:fill="FFFFFF"/>
          <w14:textFill>
            <w14:solidFill>
              <w14:schemeClr w14:val="tx1"/>
            </w14:solidFill>
          </w14:textFill>
        </w:rPr>
      </w:pPr>
      <w:r>
        <w:rPr>
          <w:rFonts w:hint="eastAsia" w:ascii="方正小标宋简体" w:hAnsi="华文中宋" w:eastAsia="方正小标宋简体" w:cs="小标宋"/>
          <w:b/>
          <w:color w:val="000000" w:themeColor="text1"/>
          <w:sz w:val="52"/>
          <w:szCs w:val="52"/>
          <w:shd w:val="clear" w:color="auto" w:fill="FFFFFF"/>
          <w14:textFill>
            <w14:solidFill>
              <w14:schemeClr w14:val="tx1"/>
            </w14:solidFill>
          </w14:textFill>
        </w:rPr>
        <w:t>吐鲁番市国土空间生态修复规划</w:t>
      </w:r>
    </w:p>
    <w:p>
      <w:pPr>
        <w:ind w:right="-246" w:rightChars="-117"/>
        <w:jc w:val="center"/>
        <w:rPr>
          <w:rFonts w:ascii="方正小标宋简体" w:hAnsi="华文中宋" w:eastAsia="方正小标宋简体" w:cs="小标宋"/>
          <w:b/>
          <w:color w:val="000000" w:themeColor="text1"/>
          <w:sz w:val="52"/>
          <w:szCs w:val="52"/>
          <w:shd w:val="clear" w:color="auto" w:fill="FFFFFF"/>
          <w14:textFill>
            <w14:solidFill>
              <w14:schemeClr w14:val="tx1"/>
            </w14:solidFill>
          </w14:textFill>
        </w:rPr>
      </w:pPr>
      <w:r>
        <w:rPr>
          <w:rFonts w:hint="eastAsia" w:ascii="方正小标宋简体" w:hAnsi="华文中宋" w:eastAsia="方正小标宋简体" w:cs="小标宋"/>
          <w:b/>
          <w:color w:val="000000" w:themeColor="text1"/>
          <w:sz w:val="52"/>
          <w:szCs w:val="52"/>
          <w:shd w:val="clear" w:color="auto" w:fill="FFFFFF"/>
          <w14:textFill>
            <w14:solidFill>
              <w14:schemeClr w14:val="tx1"/>
            </w14:solidFill>
          </w14:textFill>
        </w:rPr>
        <w:t>（</w:t>
      </w:r>
      <w:r>
        <w:rPr>
          <w:rFonts w:hint="eastAsia" w:ascii="方正小标宋简体" w:hAnsi="Times New Roman" w:eastAsia="方正小标宋简体" w:cs="Times New Roman"/>
          <w:b/>
          <w:color w:val="000000" w:themeColor="text1"/>
          <w:sz w:val="52"/>
          <w:szCs w:val="52"/>
          <w:shd w:val="clear" w:color="auto" w:fill="FFFFFF"/>
          <w14:textFill>
            <w14:solidFill>
              <w14:schemeClr w14:val="tx1"/>
            </w14:solidFill>
          </w14:textFill>
        </w:rPr>
        <w:t>2021-2035</w:t>
      </w:r>
      <w:r>
        <w:rPr>
          <w:rFonts w:hint="eastAsia" w:ascii="方正小标宋简体" w:hAnsi="华文中宋" w:eastAsia="方正小标宋简体" w:cs="小标宋"/>
          <w:b/>
          <w:color w:val="000000" w:themeColor="text1"/>
          <w:sz w:val="52"/>
          <w:szCs w:val="52"/>
          <w:shd w:val="clear" w:color="auto" w:fill="FFFFFF"/>
          <w14:textFill>
            <w14:solidFill>
              <w14:schemeClr w14:val="tx1"/>
            </w14:solidFill>
          </w14:textFill>
        </w:rPr>
        <w:t>年）</w:t>
      </w:r>
    </w:p>
    <w:p>
      <w:pPr>
        <w:rPr>
          <w:rFonts w:ascii="小标宋" w:hAnsi="小标宋" w:eastAsia="小标宋" w:cs="小标宋"/>
          <w:color w:val="000000" w:themeColor="text1"/>
          <w:sz w:val="44"/>
          <w:szCs w:val="44"/>
          <w14:textFill>
            <w14:solidFill>
              <w14:schemeClr w14:val="tx1"/>
            </w14:solidFill>
          </w14:textFill>
        </w:rPr>
      </w:pPr>
    </w:p>
    <w:p>
      <w:pPr>
        <w:jc w:val="center"/>
        <w:rPr>
          <w:rFonts w:ascii="小标宋" w:hAnsi="小标宋" w:eastAsia="小标宋" w:cs="小标宋"/>
          <w:color w:val="000000" w:themeColor="text1"/>
          <w:sz w:val="44"/>
          <w:szCs w:val="4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jc w:val="center"/>
        <w:rPr>
          <w:rFonts w:ascii="黑体" w:hAnsi="宋体" w:eastAsia="黑体" w:cs="Times New Roman"/>
          <w:b/>
          <w:color w:val="000000" w:themeColor="text1"/>
          <w:sz w:val="32"/>
          <w:szCs w:val="32"/>
          <w:shd w:val="clear" w:color="auto" w:fill="FFFFFF"/>
          <w14:textFill>
            <w14:solidFill>
              <w14:schemeClr w14:val="tx1"/>
            </w14:solidFill>
          </w14:textFill>
        </w:rPr>
      </w:pPr>
      <w:r>
        <w:rPr>
          <w:rFonts w:hint="eastAsia" w:ascii="黑体" w:hAnsi="宋体" w:eastAsia="黑体" w:cs="Times New Roman"/>
          <w:b/>
          <w:color w:val="000000" w:themeColor="text1"/>
          <w:sz w:val="32"/>
          <w:szCs w:val="32"/>
          <w:shd w:val="clear" w:color="auto" w:fill="FFFFFF"/>
          <w14:textFill>
            <w14:solidFill>
              <w14:schemeClr w14:val="tx1"/>
            </w14:solidFill>
          </w14:textFill>
        </w:rPr>
        <w:t>吐鲁番市自然资源局</w:t>
      </w:r>
    </w:p>
    <w:p>
      <w:pPr>
        <w:spacing w:line="800" w:lineRule="exact"/>
        <w:jc w:val="center"/>
        <w:rPr>
          <w:rFonts w:ascii="黑体" w:hAnsi="宋体" w:eastAsia="黑体" w:cs="Times New Roman"/>
          <w:b/>
          <w:color w:val="000000" w:themeColor="text1"/>
          <w:sz w:val="32"/>
          <w:szCs w:val="32"/>
          <w14:textFill>
            <w14:solidFill>
              <w14:schemeClr w14:val="tx1"/>
            </w14:solidFill>
          </w14:textFill>
        </w:rPr>
      </w:pPr>
      <w:r>
        <w:rPr>
          <w:rFonts w:hint="eastAsia" w:ascii="黑体" w:hAnsi="宋体" w:eastAsia="黑体" w:cs="Times New Roman"/>
          <w:b/>
          <w:color w:val="000000" w:themeColor="text1"/>
          <w:sz w:val="32"/>
          <w:szCs w:val="32"/>
          <w14:textFill>
            <w14:solidFill>
              <w14:schemeClr w14:val="tx1"/>
            </w14:solidFill>
          </w14:textFill>
        </w:rPr>
        <w:t>二〇二二年十二月</w:t>
      </w:r>
    </w:p>
    <w:p>
      <w:pPr>
        <w:spacing w:line="800" w:lineRule="exact"/>
        <w:rPr>
          <w:rFonts w:ascii="宋体" w:hAnsi="宋体" w:eastAsia="宋体" w:cs="Times New Roman"/>
          <w:b/>
          <w:color w:val="000000" w:themeColor="text1"/>
          <w:sz w:val="36"/>
          <w:szCs w:val="36"/>
          <w14:textFill>
            <w14:solidFill>
              <w14:schemeClr w14:val="tx1"/>
            </w14:solidFill>
          </w14:textFill>
        </w:rPr>
      </w:pPr>
    </w:p>
    <w:p>
      <w:pPr>
        <w:pStyle w:val="2"/>
        <w:spacing w:before="0" w:after="0" w:line="540" w:lineRule="exact"/>
        <w:jc w:val="center"/>
        <w:rPr>
          <w:rFonts w:ascii="宋体" w:hAnsi="宋体" w:eastAsia="宋体" w:cs="Times New Roman"/>
          <w:color w:val="000000" w:themeColor="text1"/>
          <w:shd w:val="clear" w:color="auto" w:fill="FFFFFF"/>
          <w14:textFill>
            <w14:solidFill>
              <w14:schemeClr w14:val="tx1"/>
            </w14:solidFill>
          </w14:textFill>
        </w:rPr>
        <w:sectPr>
          <w:headerReference r:id="rId3" w:type="default"/>
          <w:headerReference r:id="rId4" w:type="even"/>
          <w:footerReference r:id="rId5" w:type="even"/>
          <w:pgSz w:w="11906" w:h="16838"/>
          <w:pgMar w:top="1418" w:right="1247" w:bottom="1418" w:left="1588" w:header="851" w:footer="992" w:gutter="0"/>
          <w:cols w:space="720" w:num="1"/>
          <w:docGrid w:linePitch="312" w:charSpace="0"/>
        </w:sectPr>
      </w:pPr>
    </w:p>
    <w:p>
      <w:pPr>
        <w:pStyle w:val="39"/>
        <w:spacing w:before="120" w:beforeLines="50" w:after="120" w:afterLines="50" w:line="560" w:lineRule="exact"/>
        <w:jc w:val="center"/>
        <w:rPr>
          <w:rFonts w:ascii="黑体" w:hAnsi="黑体" w:eastAsia="黑体" w:cs="黑体"/>
          <w:color w:val="000000" w:themeColor="text1"/>
          <w:sz w:val="44"/>
          <w:szCs w:val="44"/>
          <w:lang w:val="zh-CN"/>
          <w14:textFill>
            <w14:solidFill>
              <w14:schemeClr w14:val="tx1"/>
            </w14:solidFill>
          </w14:textFill>
        </w:rPr>
      </w:pPr>
      <w:r>
        <w:rPr>
          <w:rFonts w:hint="eastAsia" w:ascii="黑体" w:hAnsi="黑体" w:eastAsia="黑体" w:cs="黑体"/>
          <w:color w:val="000000" w:themeColor="text1"/>
          <w:sz w:val="44"/>
          <w:szCs w:val="44"/>
          <w:lang w:val="zh-CN"/>
          <w14:textFill>
            <w14:solidFill>
              <w14:schemeClr w14:val="tx1"/>
            </w14:solidFill>
          </w14:textFill>
        </w:rPr>
        <w:t>目  录</w:t>
      </w:r>
    </w:p>
    <w:p>
      <w:pPr>
        <w:pStyle w:val="16"/>
        <w:tabs>
          <w:tab w:val="right" w:leader="dot" w:pos="9061"/>
        </w:tabs>
        <w:spacing w:before="0" w:after="0" w:line="360" w:lineRule="auto"/>
        <w:rPr>
          <w:rFonts w:ascii="仿宋" w:hAnsi="仿宋" w:eastAsia="仿宋"/>
          <w:b w:val="0"/>
          <w:bCs w:val="0"/>
          <w:caps w:val="0"/>
          <w:sz w:val="32"/>
          <w:szCs w:val="32"/>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 TOC \o "1-3" \h \z \u </w:instrText>
      </w:r>
      <w:r>
        <w:rPr>
          <w:rFonts w:ascii="仿宋" w:hAnsi="仿宋" w:eastAsia="仿宋"/>
          <w:color w:val="000000" w:themeColor="text1"/>
          <w:sz w:val="32"/>
          <w:szCs w:val="32"/>
          <w14:textFill>
            <w14:solidFill>
              <w14:schemeClr w14:val="tx1"/>
            </w14:solidFill>
          </w14:textFill>
        </w:rPr>
        <w:fldChar w:fldCharType="separate"/>
      </w:r>
      <w:r>
        <w:fldChar w:fldCharType="begin"/>
      </w:r>
      <w:r>
        <w:instrText xml:space="preserve"> HYPERLINK \l "_Toc125907416" </w:instrText>
      </w:r>
      <w:r>
        <w:fldChar w:fldCharType="separate"/>
      </w:r>
      <w:r>
        <w:rPr>
          <w:rStyle w:val="28"/>
          <w:rFonts w:hint="eastAsia" w:ascii="仿宋" w:hAnsi="仿宋" w:eastAsia="仿宋" w:cs="Times New Roman"/>
          <w:sz w:val="32"/>
          <w:szCs w:val="32"/>
          <w:shd w:val="clear" w:color="auto" w:fill="FFFFFF"/>
        </w:rPr>
        <w:t>前</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言</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_Toc125907416 \h </w:instrText>
      </w:r>
      <w:r>
        <w:rPr>
          <w:rFonts w:ascii="仿宋" w:hAnsi="仿宋" w:eastAsia="仿宋"/>
          <w:sz w:val="32"/>
          <w:szCs w:val="32"/>
        </w:rPr>
        <w:fldChar w:fldCharType="separate"/>
      </w:r>
      <w:r>
        <w:rPr>
          <w:rFonts w:ascii="仿宋" w:hAnsi="仿宋" w:eastAsia="仿宋"/>
          <w:sz w:val="32"/>
          <w:szCs w:val="32"/>
        </w:rPr>
        <w:t xml:space="preserve"> 1 </w:t>
      </w:r>
      <w:r>
        <w:rPr>
          <w:rFonts w:ascii="仿宋" w:hAnsi="仿宋" w:eastAsia="仿宋"/>
          <w:sz w:val="32"/>
          <w:szCs w:val="32"/>
        </w:rPr>
        <w:fldChar w:fldCharType="end"/>
      </w:r>
      <w:r>
        <w:rPr>
          <w:rFonts w:ascii="仿宋" w:hAnsi="仿宋" w:eastAsia="仿宋"/>
          <w:sz w:val="32"/>
          <w:szCs w:val="32"/>
        </w:rPr>
        <w:fldChar w:fldCharType="end"/>
      </w:r>
    </w:p>
    <w:p>
      <w:pPr>
        <w:pStyle w:val="16"/>
        <w:tabs>
          <w:tab w:val="right" w:leader="dot" w:pos="9061"/>
        </w:tabs>
        <w:spacing w:before="0" w:after="0" w:line="360" w:lineRule="auto"/>
        <w:rPr>
          <w:rFonts w:ascii="仿宋" w:hAnsi="仿宋" w:eastAsia="仿宋"/>
          <w:b w:val="0"/>
          <w:bCs w:val="0"/>
          <w:caps w:val="0"/>
          <w:sz w:val="32"/>
          <w:szCs w:val="32"/>
        </w:rPr>
      </w:pPr>
      <w:r>
        <w:fldChar w:fldCharType="begin"/>
      </w:r>
      <w:r>
        <w:instrText xml:space="preserve"> HYPERLINK \l "_Toc125907417" </w:instrText>
      </w:r>
      <w:r>
        <w:fldChar w:fldCharType="separate"/>
      </w:r>
      <w:r>
        <w:rPr>
          <w:rStyle w:val="28"/>
          <w:rFonts w:hint="eastAsia" w:ascii="仿宋" w:hAnsi="仿宋" w:eastAsia="仿宋" w:cs="Times New Roman"/>
          <w:sz w:val="32"/>
          <w:szCs w:val="32"/>
          <w:shd w:val="clear" w:color="auto" w:fill="FFFFFF"/>
        </w:rPr>
        <w:t>第一章</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国土空间生态修复面临的形势</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_Toc125907417 \h </w:instrText>
      </w:r>
      <w:r>
        <w:rPr>
          <w:rFonts w:ascii="仿宋" w:hAnsi="仿宋" w:eastAsia="仿宋"/>
          <w:sz w:val="32"/>
          <w:szCs w:val="32"/>
        </w:rPr>
        <w:fldChar w:fldCharType="separate"/>
      </w:r>
      <w:r>
        <w:rPr>
          <w:rFonts w:ascii="仿宋" w:hAnsi="仿宋" w:eastAsia="仿宋"/>
          <w:sz w:val="32"/>
          <w:szCs w:val="32"/>
        </w:rPr>
        <w:t xml:space="preserve"> 3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"_Toc125907418" </w:instrText>
      </w:r>
      <w:r>
        <w:fldChar w:fldCharType="separate"/>
      </w:r>
      <w:r>
        <w:rPr>
          <w:rStyle w:val="28"/>
          <w:rFonts w:hint="eastAsia" w:ascii="仿宋" w:hAnsi="仿宋" w:eastAsia="仿宋" w:cs="Times New Roman"/>
          <w:sz w:val="32"/>
          <w:szCs w:val="32"/>
          <w:shd w:val="clear" w:color="auto" w:fill="FFFFFF"/>
        </w:rPr>
        <w:t>一、国土空间生态修复取得成效</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_Toc125907418 \h </w:instrText>
      </w:r>
      <w:r>
        <w:rPr>
          <w:rFonts w:ascii="仿宋" w:hAnsi="仿宋" w:eastAsia="仿宋"/>
          <w:sz w:val="32"/>
          <w:szCs w:val="32"/>
        </w:rPr>
        <w:fldChar w:fldCharType="separate"/>
      </w:r>
      <w:r>
        <w:rPr>
          <w:rFonts w:ascii="仿宋" w:hAnsi="仿宋" w:eastAsia="仿宋"/>
          <w:sz w:val="32"/>
          <w:szCs w:val="32"/>
        </w:rPr>
        <w:t xml:space="preserve"> 3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"_Toc125907419" </w:instrText>
      </w:r>
      <w:r>
        <w:fldChar w:fldCharType="separate"/>
      </w:r>
      <w:r>
        <w:rPr>
          <w:rStyle w:val="28"/>
          <w:rFonts w:hint="eastAsia" w:ascii="仿宋" w:hAnsi="仿宋" w:eastAsia="仿宋" w:cs="Times New Roman"/>
          <w:sz w:val="32"/>
          <w:szCs w:val="32"/>
          <w:shd w:val="clear" w:color="auto" w:fill="FFFFFF"/>
        </w:rPr>
        <w:t>二、国土空间生态修复存在问题</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_Toc125907419 \h </w:instrText>
      </w:r>
      <w:r>
        <w:rPr>
          <w:rFonts w:ascii="仿宋" w:hAnsi="仿宋" w:eastAsia="仿宋"/>
          <w:sz w:val="32"/>
          <w:szCs w:val="32"/>
        </w:rPr>
        <w:fldChar w:fldCharType="separate"/>
      </w:r>
      <w:r>
        <w:rPr>
          <w:rFonts w:ascii="仿宋" w:hAnsi="仿宋" w:eastAsia="仿宋"/>
          <w:sz w:val="32"/>
          <w:szCs w:val="32"/>
        </w:rPr>
        <w:t xml:space="preserve"> 6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"_Toc125907420" </w:instrText>
      </w:r>
      <w:r>
        <w:fldChar w:fldCharType="separate"/>
      </w:r>
      <w:r>
        <w:rPr>
          <w:rStyle w:val="28"/>
          <w:rFonts w:hint="eastAsia" w:ascii="仿宋" w:hAnsi="仿宋" w:eastAsia="仿宋" w:cs="Times New Roman"/>
          <w:sz w:val="32"/>
          <w:szCs w:val="32"/>
          <w:shd w:val="clear" w:color="auto" w:fill="FFFFFF"/>
        </w:rPr>
        <w:t>三、国土空间生态修复面临机遇</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_Toc125907420 \h </w:instrText>
      </w:r>
      <w:r>
        <w:rPr>
          <w:rFonts w:ascii="仿宋" w:hAnsi="仿宋" w:eastAsia="仿宋"/>
          <w:sz w:val="32"/>
          <w:szCs w:val="32"/>
        </w:rPr>
        <w:fldChar w:fldCharType="separate"/>
      </w:r>
      <w:r>
        <w:rPr>
          <w:rFonts w:ascii="仿宋" w:hAnsi="仿宋" w:eastAsia="仿宋"/>
          <w:sz w:val="32"/>
          <w:szCs w:val="32"/>
        </w:rPr>
        <w:t xml:space="preserve"> 8 </w:t>
      </w:r>
      <w:r>
        <w:rPr>
          <w:rFonts w:ascii="仿宋" w:hAnsi="仿宋" w:eastAsia="仿宋"/>
          <w:sz w:val="32"/>
          <w:szCs w:val="32"/>
        </w:rPr>
        <w:fldChar w:fldCharType="end"/>
      </w:r>
      <w:r>
        <w:rPr>
          <w:rFonts w:ascii="仿宋" w:hAnsi="仿宋" w:eastAsia="仿宋"/>
          <w:sz w:val="32"/>
          <w:szCs w:val="32"/>
        </w:rPr>
        <w:fldChar w:fldCharType="end"/>
      </w:r>
    </w:p>
    <w:p>
      <w:pPr>
        <w:pStyle w:val="16"/>
        <w:tabs>
          <w:tab w:val="right" w:leader="dot" w:pos="9061"/>
        </w:tabs>
        <w:spacing w:before="0" w:after="0" w:line="360" w:lineRule="auto"/>
        <w:rPr>
          <w:rFonts w:ascii="仿宋" w:hAnsi="仿宋" w:eastAsia="仿宋"/>
          <w:b w:val="0"/>
          <w:bCs w:val="0"/>
          <w:caps w:val="0"/>
          <w:sz w:val="32"/>
          <w:szCs w:val="32"/>
        </w:rPr>
      </w:pPr>
      <w:r>
        <w:fldChar w:fldCharType="begin"/>
      </w:r>
      <w:r>
        <w:instrText xml:space="preserve"> HYPERLINK \l "_Toc125907421" </w:instrText>
      </w:r>
      <w:r>
        <w:fldChar w:fldCharType="separate"/>
      </w:r>
      <w:r>
        <w:rPr>
          <w:rStyle w:val="28"/>
          <w:rFonts w:hint="eastAsia" w:ascii="仿宋" w:hAnsi="仿宋" w:eastAsia="仿宋" w:cs="Times New Roman"/>
          <w:sz w:val="32"/>
          <w:szCs w:val="32"/>
          <w:shd w:val="clear" w:color="auto" w:fill="FFFFFF"/>
        </w:rPr>
        <w:t>第二章</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总体要求</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_Toc125907421 \h </w:instrText>
      </w:r>
      <w:r>
        <w:rPr>
          <w:rFonts w:ascii="仿宋" w:hAnsi="仿宋" w:eastAsia="仿宋"/>
          <w:sz w:val="32"/>
          <w:szCs w:val="32"/>
        </w:rPr>
        <w:fldChar w:fldCharType="separate"/>
      </w:r>
      <w:r>
        <w:rPr>
          <w:rFonts w:ascii="仿宋" w:hAnsi="仿宋" w:eastAsia="仿宋"/>
          <w:sz w:val="32"/>
          <w:szCs w:val="32"/>
        </w:rPr>
        <w:t xml:space="preserve"> 12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"_Toc125907422" </w:instrText>
      </w:r>
      <w:r>
        <w:fldChar w:fldCharType="separate"/>
      </w:r>
      <w:r>
        <w:rPr>
          <w:rStyle w:val="28"/>
          <w:rFonts w:hint="eastAsia" w:ascii="仿宋" w:hAnsi="仿宋" w:eastAsia="仿宋" w:cs="Times New Roman"/>
          <w:sz w:val="32"/>
          <w:szCs w:val="32"/>
          <w:shd w:val="clear" w:color="auto" w:fill="FFFFFF"/>
        </w:rPr>
        <w:t>一、指导思想</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_Toc125907422 \h </w:instrText>
      </w:r>
      <w:r>
        <w:rPr>
          <w:rFonts w:ascii="仿宋" w:hAnsi="仿宋" w:eastAsia="仿宋"/>
          <w:sz w:val="32"/>
          <w:szCs w:val="32"/>
        </w:rPr>
        <w:fldChar w:fldCharType="separate"/>
      </w:r>
      <w:r>
        <w:rPr>
          <w:rFonts w:ascii="仿宋" w:hAnsi="仿宋" w:eastAsia="仿宋"/>
          <w:sz w:val="32"/>
          <w:szCs w:val="32"/>
        </w:rPr>
        <w:t xml:space="preserve"> 12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"_Toc125907423" </w:instrText>
      </w:r>
      <w:r>
        <w:fldChar w:fldCharType="separate"/>
      </w:r>
      <w:r>
        <w:rPr>
          <w:rStyle w:val="28"/>
          <w:rFonts w:hint="eastAsia" w:ascii="仿宋" w:hAnsi="仿宋" w:eastAsia="仿宋" w:cs="Times New Roman"/>
          <w:sz w:val="32"/>
          <w:szCs w:val="32"/>
          <w:shd w:val="clear" w:color="auto" w:fill="FFFFFF"/>
        </w:rPr>
        <w:t>二、基本原则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_Toc125907423 \h </w:instrText>
      </w:r>
      <w:r>
        <w:rPr>
          <w:rFonts w:ascii="仿宋" w:hAnsi="仿宋" w:eastAsia="仿宋"/>
          <w:sz w:val="32"/>
          <w:szCs w:val="32"/>
        </w:rPr>
        <w:fldChar w:fldCharType="separate"/>
      </w:r>
      <w:r>
        <w:rPr>
          <w:rFonts w:ascii="仿宋" w:hAnsi="仿宋" w:eastAsia="仿宋"/>
          <w:sz w:val="32"/>
          <w:szCs w:val="32"/>
        </w:rPr>
        <w:t xml:space="preserve"> 12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"_Toc125907424" </w:instrText>
      </w:r>
      <w:r>
        <w:fldChar w:fldCharType="separate"/>
      </w:r>
      <w:r>
        <w:rPr>
          <w:rStyle w:val="28"/>
          <w:rFonts w:hint="eastAsia" w:ascii="仿宋" w:hAnsi="仿宋" w:eastAsia="仿宋" w:cs="Times New Roman"/>
          <w:sz w:val="32"/>
          <w:szCs w:val="32"/>
          <w:shd w:val="clear" w:color="auto" w:fill="FFFFFF"/>
        </w:rPr>
        <w:t>三、规划目标</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_Toc125907424 \h </w:instrText>
      </w:r>
      <w:r>
        <w:rPr>
          <w:rFonts w:ascii="仿宋" w:hAnsi="仿宋" w:eastAsia="仿宋"/>
          <w:sz w:val="32"/>
          <w:szCs w:val="32"/>
        </w:rPr>
        <w:fldChar w:fldCharType="separate"/>
      </w:r>
      <w:r>
        <w:rPr>
          <w:rFonts w:ascii="仿宋" w:hAnsi="仿宋" w:eastAsia="仿宋"/>
          <w:sz w:val="32"/>
          <w:szCs w:val="32"/>
        </w:rPr>
        <w:t xml:space="preserve"> 14 </w:t>
      </w:r>
      <w:r>
        <w:rPr>
          <w:rFonts w:ascii="仿宋" w:hAnsi="仿宋" w:eastAsia="仿宋"/>
          <w:sz w:val="32"/>
          <w:szCs w:val="32"/>
        </w:rPr>
        <w:fldChar w:fldCharType="end"/>
      </w:r>
      <w:r>
        <w:rPr>
          <w:rFonts w:ascii="仿宋" w:hAnsi="仿宋" w:eastAsia="仿宋"/>
          <w:sz w:val="32"/>
          <w:szCs w:val="32"/>
        </w:rPr>
        <w:fldChar w:fldCharType="end"/>
      </w:r>
    </w:p>
    <w:p>
      <w:pPr>
        <w:pStyle w:val="16"/>
        <w:tabs>
          <w:tab w:val="right" w:leader="dot" w:pos="9061"/>
        </w:tabs>
        <w:spacing w:before="0" w:after="0" w:line="360" w:lineRule="auto"/>
        <w:rPr>
          <w:rFonts w:ascii="仿宋" w:hAnsi="仿宋" w:eastAsia="仿宋"/>
          <w:b w:val="0"/>
          <w:bCs w:val="0"/>
          <w:caps w:val="0"/>
          <w:sz w:val="32"/>
          <w:szCs w:val="32"/>
        </w:rPr>
      </w:pPr>
      <w:r>
        <w:fldChar w:fldCharType="begin"/>
      </w:r>
      <w:r>
        <w:instrText xml:space="preserve"> HYPERLINK \l "_Toc125907425" </w:instrText>
      </w:r>
      <w:r>
        <w:fldChar w:fldCharType="separate"/>
      </w:r>
      <w:r>
        <w:rPr>
          <w:rStyle w:val="28"/>
          <w:rFonts w:hint="eastAsia" w:ascii="仿宋" w:hAnsi="仿宋" w:eastAsia="仿宋" w:cs="Times New Roman"/>
          <w:sz w:val="32"/>
          <w:szCs w:val="32"/>
          <w:shd w:val="clear" w:color="auto" w:fill="FFFFFF"/>
        </w:rPr>
        <w:t>第三章</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生态保护修复格局</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_Toc125907425 \h </w:instrText>
      </w:r>
      <w:r>
        <w:rPr>
          <w:rFonts w:ascii="仿宋" w:hAnsi="仿宋" w:eastAsia="仿宋"/>
          <w:sz w:val="32"/>
          <w:szCs w:val="32"/>
        </w:rPr>
        <w:fldChar w:fldCharType="separate"/>
      </w:r>
      <w:r>
        <w:rPr>
          <w:rFonts w:ascii="仿宋" w:hAnsi="仿宋" w:eastAsia="仿宋"/>
          <w:sz w:val="32"/>
          <w:szCs w:val="32"/>
        </w:rPr>
        <w:t xml:space="preserve"> 15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"_Toc125907426" </w:instrText>
      </w:r>
      <w:r>
        <w:fldChar w:fldCharType="separate"/>
      </w:r>
      <w:r>
        <w:rPr>
          <w:rStyle w:val="28"/>
          <w:rFonts w:hint="eastAsia" w:ascii="仿宋" w:hAnsi="仿宋" w:eastAsia="仿宋" w:cs="Times New Roman"/>
          <w:sz w:val="32"/>
          <w:szCs w:val="32"/>
          <w:shd w:val="clear" w:color="auto" w:fill="FFFFFF"/>
        </w:rPr>
        <w:t>一、自然地理和生态现状</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_Toc125907426 \h </w:instrText>
      </w:r>
      <w:r>
        <w:rPr>
          <w:rFonts w:ascii="仿宋" w:hAnsi="仿宋" w:eastAsia="仿宋"/>
          <w:sz w:val="32"/>
          <w:szCs w:val="32"/>
        </w:rPr>
        <w:fldChar w:fldCharType="separate"/>
      </w:r>
      <w:r>
        <w:rPr>
          <w:rFonts w:ascii="仿宋" w:hAnsi="仿宋" w:eastAsia="仿宋"/>
          <w:sz w:val="32"/>
          <w:szCs w:val="32"/>
        </w:rPr>
        <w:t xml:space="preserve"> 15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"_Toc125907427" </w:instrText>
      </w:r>
      <w:r>
        <w:fldChar w:fldCharType="separate"/>
      </w:r>
      <w:r>
        <w:rPr>
          <w:rStyle w:val="28"/>
          <w:rFonts w:hint="eastAsia" w:ascii="仿宋" w:hAnsi="仿宋" w:eastAsia="仿宋" w:cs="Times New Roman"/>
          <w:sz w:val="32"/>
          <w:szCs w:val="32"/>
          <w:shd w:val="clear" w:color="auto" w:fill="FFFFFF"/>
        </w:rPr>
        <w:t>二、在国家和自治区生态修复格局中的定位</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_Toc125907427 \h </w:instrText>
      </w:r>
      <w:r>
        <w:rPr>
          <w:rFonts w:ascii="仿宋" w:hAnsi="仿宋" w:eastAsia="仿宋"/>
          <w:sz w:val="32"/>
          <w:szCs w:val="32"/>
        </w:rPr>
        <w:fldChar w:fldCharType="separate"/>
      </w:r>
      <w:r>
        <w:rPr>
          <w:rFonts w:ascii="仿宋" w:hAnsi="仿宋" w:eastAsia="仿宋"/>
          <w:sz w:val="32"/>
          <w:szCs w:val="32"/>
        </w:rPr>
        <w:t xml:space="preserve"> 16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"_Toc125907428" </w:instrText>
      </w:r>
      <w:r>
        <w:fldChar w:fldCharType="separate"/>
      </w:r>
      <w:r>
        <w:rPr>
          <w:rStyle w:val="28"/>
          <w:rFonts w:hint="eastAsia" w:ascii="仿宋" w:hAnsi="仿宋" w:eastAsia="仿宋" w:cs="Times New Roman"/>
          <w:sz w:val="32"/>
          <w:szCs w:val="32"/>
          <w:shd w:val="clear" w:color="auto" w:fill="FFFFFF"/>
        </w:rPr>
        <w:t>三、吐鲁番市国土空间生态修复总体格局</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_Toc125907428 \h </w:instrText>
      </w:r>
      <w:r>
        <w:rPr>
          <w:rFonts w:ascii="仿宋" w:hAnsi="仿宋" w:eastAsia="仿宋"/>
          <w:sz w:val="32"/>
          <w:szCs w:val="32"/>
        </w:rPr>
        <w:fldChar w:fldCharType="separate"/>
      </w:r>
      <w:r>
        <w:rPr>
          <w:rFonts w:ascii="仿宋" w:hAnsi="仿宋" w:eastAsia="仿宋"/>
          <w:sz w:val="32"/>
          <w:szCs w:val="32"/>
        </w:rPr>
        <w:t xml:space="preserve"> 17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"_Toc125907429" </w:instrText>
      </w:r>
      <w:r>
        <w:fldChar w:fldCharType="separate"/>
      </w:r>
      <w:r>
        <w:rPr>
          <w:rStyle w:val="28"/>
          <w:rFonts w:hint="eastAsia" w:ascii="仿宋" w:hAnsi="仿宋" w:eastAsia="仿宋" w:cs="Times New Roman"/>
          <w:sz w:val="32"/>
          <w:szCs w:val="32"/>
          <w:shd w:val="clear" w:color="auto" w:fill="FFFFFF"/>
        </w:rPr>
        <w:t>四、生态修复分区</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_Toc125907429 \h </w:instrText>
      </w:r>
      <w:r>
        <w:rPr>
          <w:rFonts w:ascii="仿宋" w:hAnsi="仿宋" w:eastAsia="仿宋"/>
          <w:sz w:val="32"/>
          <w:szCs w:val="32"/>
        </w:rPr>
        <w:fldChar w:fldCharType="separate"/>
      </w:r>
      <w:r>
        <w:rPr>
          <w:rFonts w:ascii="仿宋" w:hAnsi="仿宋" w:eastAsia="仿宋"/>
          <w:sz w:val="32"/>
          <w:szCs w:val="32"/>
        </w:rPr>
        <w:t xml:space="preserve"> 18 </w:t>
      </w:r>
      <w:r>
        <w:rPr>
          <w:rFonts w:ascii="仿宋" w:hAnsi="仿宋" w:eastAsia="仿宋"/>
          <w:sz w:val="32"/>
          <w:szCs w:val="32"/>
        </w:rPr>
        <w:fldChar w:fldCharType="end"/>
      </w:r>
      <w:r>
        <w:rPr>
          <w:rFonts w:ascii="仿宋" w:hAnsi="仿宋" w:eastAsia="仿宋"/>
          <w:sz w:val="32"/>
          <w:szCs w:val="32"/>
        </w:rPr>
        <w:fldChar w:fldCharType="end"/>
      </w:r>
    </w:p>
    <w:p>
      <w:pPr>
        <w:pStyle w:val="16"/>
        <w:tabs>
          <w:tab w:val="right" w:leader="dot" w:pos="9061"/>
        </w:tabs>
        <w:spacing w:before="0" w:after="0" w:line="360" w:lineRule="auto"/>
        <w:rPr>
          <w:rFonts w:ascii="仿宋" w:hAnsi="仿宋" w:eastAsia="仿宋"/>
          <w:b w:val="0"/>
          <w:bCs w:val="0"/>
          <w:caps w:val="0"/>
          <w:sz w:val="32"/>
          <w:szCs w:val="32"/>
        </w:rPr>
      </w:pPr>
      <w:r>
        <w:fldChar w:fldCharType="begin"/>
      </w:r>
      <w:r>
        <w:instrText xml:space="preserve"> HYPERLINK \l "_Toc125907435" </w:instrText>
      </w:r>
      <w:r>
        <w:fldChar w:fldCharType="separate"/>
      </w:r>
      <w:r>
        <w:rPr>
          <w:rStyle w:val="28"/>
          <w:rFonts w:hint="eastAsia" w:ascii="仿宋" w:hAnsi="仿宋" w:eastAsia="仿宋" w:cs="Times New Roman"/>
          <w:sz w:val="32"/>
          <w:szCs w:val="32"/>
          <w:shd w:val="clear" w:color="auto" w:fill="FFFFFF"/>
        </w:rPr>
        <w:t>第四章</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国土空间生态修复重点工程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_Toc125907435 \h </w:instrText>
      </w:r>
      <w:r>
        <w:rPr>
          <w:rFonts w:ascii="仿宋" w:hAnsi="仿宋" w:eastAsia="仿宋"/>
          <w:sz w:val="32"/>
          <w:szCs w:val="32"/>
        </w:rPr>
        <w:fldChar w:fldCharType="separate"/>
      </w:r>
      <w:r>
        <w:rPr>
          <w:rFonts w:ascii="仿宋" w:hAnsi="仿宋" w:eastAsia="仿宋"/>
          <w:sz w:val="32"/>
          <w:szCs w:val="32"/>
        </w:rPr>
        <w:t xml:space="preserve"> 25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"_Toc125907436" </w:instrText>
      </w:r>
      <w:r>
        <w:fldChar w:fldCharType="separate"/>
      </w:r>
      <w:r>
        <w:rPr>
          <w:rStyle w:val="28"/>
          <w:rFonts w:hint="eastAsia" w:ascii="仿宋" w:hAnsi="仿宋" w:eastAsia="仿宋" w:cs="Times New Roman"/>
          <w:sz w:val="32"/>
          <w:szCs w:val="32"/>
          <w:shd w:val="clear" w:color="auto" w:fill="FFFFFF"/>
        </w:rPr>
        <w:t>一、历史遗留废弃工矿土地生态修复重点工程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_Toc125907436 \h </w:instrText>
      </w:r>
      <w:r>
        <w:rPr>
          <w:rFonts w:ascii="仿宋" w:hAnsi="仿宋" w:eastAsia="仿宋"/>
          <w:sz w:val="32"/>
          <w:szCs w:val="32"/>
        </w:rPr>
        <w:fldChar w:fldCharType="separate"/>
      </w:r>
      <w:r>
        <w:rPr>
          <w:rFonts w:ascii="仿宋" w:hAnsi="仿宋" w:eastAsia="仿宋"/>
          <w:sz w:val="32"/>
          <w:szCs w:val="32"/>
        </w:rPr>
        <w:t xml:space="preserve"> 25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"_Toc125907437" </w:instrText>
      </w:r>
      <w:r>
        <w:fldChar w:fldCharType="separate"/>
      </w:r>
      <w:r>
        <w:rPr>
          <w:rStyle w:val="28"/>
          <w:rFonts w:hint="eastAsia" w:ascii="仿宋" w:hAnsi="仿宋" w:eastAsia="仿宋" w:cs="Times New Roman"/>
          <w:sz w:val="32"/>
          <w:szCs w:val="32"/>
          <w:shd w:val="clear" w:color="auto" w:fill="FFFFFF"/>
        </w:rPr>
        <w:t>二、山水林田湖草沙一体化生态保护修复重点工程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_Toc125907437 \h </w:instrText>
      </w:r>
      <w:r>
        <w:rPr>
          <w:rFonts w:ascii="仿宋" w:hAnsi="仿宋" w:eastAsia="仿宋"/>
          <w:sz w:val="32"/>
          <w:szCs w:val="32"/>
        </w:rPr>
        <w:fldChar w:fldCharType="separate"/>
      </w:r>
      <w:r>
        <w:rPr>
          <w:rFonts w:ascii="仿宋" w:hAnsi="仿宋" w:eastAsia="仿宋"/>
          <w:sz w:val="32"/>
          <w:szCs w:val="32"/>
        </w:rPr>
        <w:t xml:space="preserve"> 25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"_Toc125907438" </w:instrText>
      </w:r>
      <w:r>
        <w:fldChar w:fldCharType="separate"/>
      </w:r>
      <w:r>
        <w:rPr>
          <w:rStyle w:val="28"/>
          <w:rFonts w:hint="eastAsia" w:ascii="仿宋" w:hAnsi="仿宋" w:eastAsia="仿宋" w:cs="Times New Roman"/>
          <w:sz w:val="32"/>
          <w:szCs w:val="32"/>
          <w:shd w:val="clear" w:color="auto" w:fill="FFFFFF"/>
        </w:rPr>
        <w:t>三、各分区生态修复重点工程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_Toc125907438 \h </w:instrText>
      </w:r>
      <w:r>
        <w:rPr>
          <w:rFonts w:ascii="仿宋" w:hAnsi="仿宋" w:eastAsia="仿宋"/>
          <w:sz w:val="32"/>
          <w:szCs w:val="32"/>
        </w:rPr>
        <w:fldChar w:fldCharType="separate"/>
      </w:r>
      <w:r>
        <w:rPr>
          <w:rFonts w:ascii="仿宋" w:hAnsi="仿宋" w:eastAsia="仿宋"/>
          <w:sz w:val="32"/>
          <w:szCs w:val="32"/>
        </w:rPr>
        <w:t xml:space="preserve"> 26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"_Toc125907439" </w:instrText>
      </w:r>
      <w:r>
        <w:fldChar w:fldCharType="separate"/>
      </w:r>
      <w:r>
        <w:rPr>
          <w:rStyle w:val="28"/>
          <w:rFonts w:hint="eastAsia" w:ascii="仿宋" w:hAnsi="仿宋" w:eastAsia="仿宋" w:cs="Times New Roman"/>
          <w:sz w:val="32"/>
          <w:szCs w:val="32"/>
          <w:shd w:val="clear" w:color="auto" w:fill="FFFFFF"/>
        </w:rPr>
        <w:t>四、生态保护与修复支撑重点工程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_Toc125907439 \h </w:instrText>
      </w:r>
      <w:r>
        <w:rPr>
          <w:rFonts w:ascii="仿宋" w:hAnsi="仿宋" w:eastAsia="仿宋"/>
          <w:sz w:val="32"/>
          <w:szCs w:val="32"/>
        </w:rPr>
        <w:fldChar w:fldCharType="separate"/>
      </w:r>
      <w:r>
        <w:rPr>
          <w:rFonts w:ascii="仿宋" w:hAnsi="仿宋" w:eastAsia="仿宋"/>
          <w:sz w:val="32"/>
          <w:szCs w:val="32"/>
        </w:rPr>
        <w:t xml:space="preserve"> 28 </w:t>
      </w:r>
      <w:r>
        <w:rPr>
          <w:rFonts w:ascii="仿宋" w:hAnsi="仿宋" w:eastAsia="仿宋"/>
          <w:sz w:val="32"/>
          <w:szCs w:val="32"/>
        </w:rPr>
        <w:fldChar w:fldCharType="end"/>
      </w:r>
      <w:r>
        <w:rPr>
          <w:rFonts w:ascii="仿宋" w:hAnsi="仿宋" w:eastAsia="仿宋"/>
          <w:sz w:val="32"/>
          <w:szCs w:val="32"/>
        </w:rPr>
        <w:fldChar w:fldCharType="end"/>
      </w:r>
    </w:p>
    <w:p>
      <w:pPr>
        <w:pStyle w:val="16"/>
        <w:tabs>
          <w:tab w:val="right" w:leader="dot" w:pos="9061"/>
        </w:tabs>
        <w:spacing w:before="0" w:after="0" w:line="360" w:lineRule="auto"/>
        <w:rPr>
          <w:rFonts w:ascii="仿宋" w:hAnsi="仿宋" w:eastAsia="仿宋"/>
          <w:b w:val="0"/>
          <w:bCs w:val="0"/>
          <w:caps w:val="0"/>
          <w:sz w:val="32"/>
          <w:szCs w:val="32"/>
        </w:rPr>
      </w:pPr>
      <w:r>
        <w:fldChar w:fldCharType="begin"/>
      </w:r>
      <w:r>
        <w:instrText xml:space="preserve"> HYPERLINK \l "_Toc125907440" </w:instrText>
      </w:r>
      <w:r>
        <w:fldChar w:fldCharType="separate"/>
      </w:r>
      <w:r>
        <w:rPr>
          <w:rStyle w:val="28"/>
          <w:rFonts w:hint="eastAsia" w:ascii="仿宋" w:hAnsi="仿宋" w:eastAsia="仿宋" w:cs="Times New Roman"/>
          <w:sz w:val="32"/>
          <w:szCs w:val="32"/>
          <w:shd w:val="clear" w:color="auto" w:fill="FFFFFF"/>
        </w:rPr>
        <w:t>第五章</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实施效益分析</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_Toc125907440 \h </w:instrText>
      </w:r>
      <w:r>
        <w:rPr>
          <w:rFonts w:ascii="仿宋" w:hAnsi="仿宋" w:eastAsia="仿宋"/>
          <w:sz w:val="32"/>
          <w:szCs w:val="32"/>
        </w:rPr>
        <w:fldChar w:fldCharType="separate"/>
      </w:r>
      <w:r>
        <w:rPr>
          <w:rFonts w:ascii="仿宋" w:hAnsi="仿宋" w:eastAsia="仿宋"/>
          <w:sz w:val="32"/>
          <w:szCs w:val="32"/>
        </w:rPr>
        <w:t xml:space="preserve"> 29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"_Toc125907441" </w:instrText>
      </w:r>
      <w:r>
        <w:fldChar w:fldCharType="separate"/>
      </w:r>
      <w:r>
        <w:rPr>
          <w:rStyle w:val="28"/>
          <w:rFonts w:hint="eastAsia" w:ascii="仿宋" w:hAnsi="仿宋" w:eastAsia="仿宋" w:cs="Times New Roman"/>
          <w:sz w:val="32"/>
          <w:szCs w:val="32"/>
          <w:shd w:val="clear" w:color="auto" w:fill="FFFFFF"/>
        </w:rPr>
        <w:t>一、生态效益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_Toc125907441 \h </w:instrText>
      </w:r>
      <w:r>
        <w:rPr>
          <w:rFonts w:ascii="仿宋" w:hAnsi="仿宋" w:eastAsia="仿宋"/>
          <w:sz w:val="32"/>
          <w:szCs w:val="32"/>
        </w:rPr>
        <w:fldChar w:fldCharType="separate"/>
      </w:r>
      <w:r>
        <w:rPr>
          <w:rFonts w:ascii="仿宋" w:hAnsi="仿宋" w:eastAsia="仿宋"/>
          <w:sz w:val="32"/>
          <w:szCs w:val="32"/>
        </w:rPr>
        <w:t xml:space="preserve"> 29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"_Toc125907442" </w:instrText>
      </w:r>
      <w:r>
        <w:fldChar w:fldCharType="separate"/>
      </w:r>
      <w:r>
        <w:rPr>
          <w:rStyle w:val="28"/>
          <w:rFonts w:hint="eastAsia" w:ascii="仿宋" w:hAnsi="仿宋" w:eastAsia="仿宋" w:cs="Times New Roman"/>
          <w:sz w:val="32"/>
          <w:szCs w:val="32"/>
          <w:shd w:val="clear" w:color="auto" w:fill="FFFFFF"/>
        </w:rPr>
        <w:t>二、社会效益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_Toc125907442 \h </w:instrText>
      </w:r>
      <w:r>
        <w:rPr>
          <w:rFonts w:ascii="仿宋" w:hAnsi="仿宋" w:eastAsia="仿宋"/>
          <w:sz w:val="32"/>
          <w:szCs w:val="32"/>
        </w:rPr>
        <w:fldChar w:fldCharType="separate"/>
      </w:r>
      <w:r>
        <w:rPr>
          <w:rFonts w:ascii="仿宋" w:hAnsi="仿宋" w:eastAsia="仿宋"/>
          <w:sz w:val="32"/>
          <w:szCs w:val="32"/>
        </w:rPr>
        <w:t xml:space="preserve"> 30 </w:t>
      </w:r>
      <w:r>
        <w:rPr>
          <w:rFonts w:ascii="仿宋" w:hAnsi="仿宋" w:eastAsia="仿宋"/>
          <w:sz w:val="32"/>
          <w:szCs w:val="32"/>
        </w:rPr>
        <w:fldChar w:fldCharType="end"/>
      </w:r>
      <w:r>
        <w:rPr>
          <w:rFonts w:ascii="仿宋" w:hAnsi="仿宋" w:eastAsia="仿宋"/>
          <w:sz w:val="32"/>
          <w:szCs w:val="32"/>
        </w:rPr>
        <w:fldChar w:fldCharType="end"/>
      </w:r>
    </w:p>
    <w:p>
      <w:pPr>
        <w:pStyle w:val="20"/>
        <w:tabs>
          <w:tab w:val="right" w:leader="dot" w:pos="9061"/>
        </w:tabs>
        <w:spacing w:line="360" w:lineRule="auto"/>
        <w:rPr>
          <w:rFonts w:ascii="仿宋" w:hAnsi="仿宋" w:eastAsia="仿宋"/>
          <w:smallCaps w:val="0"/>
          <w:sz w:val="32"/>
          <w:szCs w:val="32"/>
        </w:rPr>
      </w:pPr>
      <w:r>
        <w:fldChar w:fldCharType="begin"/>
      </w:r>
      <w:r>
        <w:instrText xml:space="preserve"> HYPERLINK \l "_Toc125907443" </w:instrText>
      </w:r>
      <w:r>
        <w:fldChar w:fldCharType="separate"/>
      </w:r>
      <w:r>
        <w:rPr>
          <w:rStyle w:val="28"/>
          <w:rFonts w:hint="eastAsia" w:ascii="仿宋" w:hAnsi="仿宋" w:eastAsia="仿宋" w:cs="Times New Roman"/>
          <w:sz w:val="32"/>
          <w:szCs w:val="32"/>
          <w:shd w:val="clear" w:color="auto" w:fill="FFFFFF"/>
        </w:rPr>
        <w:t>三、经济效益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_Toc125907443 \h </w:instrText>
      </w:r>
      <w:r>
        <w:rPr>
          <w:rFonts w:ascii="仿宋" w:hAnsi="仿宋" w:eastAsia="仿宋"/>
          <w:sz w:val="32"/>
          <w:szCs w:val="32"/>
        </w:rPr>
        <w:fldChar w:fldCharType="separate"/>
      </w:r>
      <w:r>
        <w:rPr>
          <w:rFonts w:ascii="仿宋" w:hAnsi="仿宋" w:eastAsia="仿宋"/>
          <w:sz w:val="32"/>
          <w:szCs w:val="32"/>
        </w:rPr>
        <w:t xml:space="preserve"> 31 </w:t>
      </w:r>
      <w:r>
        <w:rPr>
          <w:rFonts w:ascii="仿宋" w:hAnsi="仿宋" w:eastAsia="仿宋"/>
          <w:sz w:val="32"/>
          <w:szCs w:val="32"/>
        </w:rPr>
        <w:fldChar w:fldCharType="end"/>
      </w:r>
      <w:r>
        <w:rPr>
          <w:rFonts w:ascii="仿宋" w:hAnsi="仿宋" w:eastAsia="仿宋"/>
          <w:sz w:val="32"/>
          <w:szCs w:val="32"/>
        </w:rPr>
        <w:fldChar w:fldCharType="end"/>
      </w:r>
    </w:p>
    <w:p>
      <w:pPr>
        <w:pStyle w:val="16"/>
        <w:tabs>
          <w:tab w:val="right" w:leader="dot" w:pos="9061"/>
        </w:tabs>
        <w:spacing w:before="0" w:after="0" w:line="360" w:lineRule="auto"/>
        <w:rPr>
          <w:rFonts w:ascii="仿宋" w:hAnsi="仿宋" w:eastAsia="仿宋"/>
          <w:b w:val="0"/>
          <w:bCs w:val="0"/>
          <w:caps w:val="0"/>
          <w:sz w:val="32"/>
          <w:szCs w:val="32"/>
        </w:rPr>
      </w:pPr>
      <w:r>
        <w:fldChar w:fldCharType="begin"/>
      </w:r>
      <w:r>
        <w:instrText xml:space="preserve"> HYPERLINK \l "_Toc125907444" </w:instrText>
      </w:r>
      <w:r>
        <w:fldChar w:fldCharType="separate"/>
      </w:r>
      <w:r>
        <w:rPr>
          <w:rStyle w:val="28"/>
          <w:rFonts w:hint="eastAsia" w:ascii="仿宋" w:hAnsi="仿宋" w:eastAsia="仿宋" w:cs="Times New Roman"/>
          <w:sz w:val="32"/>
          <w:szCs w:val="32"/>
          <w:shd w:val="clear" w:color="auto" w:fill="FFFFFF"/>
        </w:rPr>
        <w:t>第六章</w:t>
      </w:r>
      <w:r>
        <w:rPr>
          <w:rStyle w:val="28"/>
          <w:rFonts w:ascii="仿宋" w:hAnsi="仿宋" w:eastAsia="仿宋" w:cs="Times New Roman"/>
          <w:sz w:val="32"/>
          <w:szCs w:val="32"/>
          <w:shd w:val="clear" w:color="auto" w:fill="FFFFFF"/>
        </w:rPr>
        <w:t xml:space="preserve">  </w:t>
      </w:r>
      <w:r>
        <w:rPr>
          <w:rStyle w:val="28"/>
          <w:rFonts w:hint="eastAsia" w:ascii="仿宋" w:hAnsi="仿宋" w:eastAsia="仿宋" w:cs="Times New Roman"/>
          <w:sz w:val="32"/>
          <w:szCs w:val="32"/>
          <w:shd w:val="clear" w:color="auto" w:fill="FFFFFF"/>
        </w:rPr>
        <w:t>保障措施</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_Toc125907444 \h </w:instrText>
      </w:r>
      <w:r>
        <w:rPr>
          <w:rFonts w:ascii="仿宋" w:hAnsi="仿宋" w:eastAsia="仿宋"/>
          <w:sz w:val="32"/>
          <w:szCs w:val="32"/>
        </w:rPr>
        <w:fldChar w:fldCharType="separate"/>
      </w:r>
      <w:r>
        <w:rPr>
          <w:rFonts w:ascii="仿宋" w:hAnsi="仿宋" w:eastAsia="仿宋"/>
          <w:sz w:val="32"/>
          <w:szCs w:val="32"/>
        </w:rPr>
        <w:t xml:space="preserve"> 32 </w:t>
      </w:r>
      <w:r>
        <w:rPr>
          <w:rFonts w:ascii="仿宋" w:hAnsi="仿宋" w:eastAsia="仿宋"/>
          <w:sz w:val="32"/>
          <w:szCs w:val="32"/>
        </w:rPr>
        <w:fldChar w:fldCharType="end"/>
      </w:r>
      <w:r>
        <w:rPr>
          <w:rFonts w:ascii="仿宋" w:hAnsi="仿宋" w:eastAsia="仿宋"/>
          <w:sz w:val="32"/>
          <w:szCs w:val="32"/>
        </w:rPr>
        <w:fldChar w:fldCharType="end"/>
      </w:r>
    </w:p>
    <w:p>
      <w:pPr>
        <w:widowControl/>
        <w:spacing w:line="360" w:lineRule="auto"/>
        <w:jc w:val="left"/>
        <w:rPr>
          <w:rFonts w:ascii="仿宋" w:hAnsi="仿宋" w:eastAsia="仿宋" w:cs="Times New Roman"/>
          <w:b/>
          <w:bCs/>
          <w:color w:val="000000" w:themeColor="text1"/>
          <w:sz w:val="32"/>
          <w:szCs w:val="32"/>
          <w:shd w:val="clear" w:color="auto" w:fill="FFFFFF"/>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end"/>
      </w:r>
    </w:p>
    <w:p>
      <w:pPr>
        <w:widowControl/>
        <w:jc w:val="left"/>
        <w:rPr>
          <w:rFonts w:ascii="仿宋" w:hAnsi="仿宋" w:eastAsia="仿宋" w:cs="Times New Roman"/>
          <w:b/>
          <w:bCs/>
          <w:color w:val="000000" w:themeColor="text1"/>
          <w:sz w:val="32"/>
          <w:szCs w:val="32"/>
          <w:shd w:val="clear" w:color="auto" w:fill="FFFFFF"/>
          <w14:textFill>
            <w14:solidFill>
              <w14:schemeClr w14:val="tx1"/>
            </w14:solidFill>
          </w14:textFill>
        </w:rPr>
      </w:pPr>
    </w:p>
    <w:p>
      <w:pPr>
        <w:widowControl/>
        <w:jc w:val="left"/>
        <w:rPr>
          <w:rFonts w:ascii="仿宋_GB2312" w:hAnsi="宋体" w:eastAsia="仿宋_GB2312"/>
          <w:b/>
          <w:bCs/>
          <w:color w:val="000000" w:themeColor="text1"/>
          <w:kern w:val="44"/>
          <w:sz w:val="32"/>
          <w:szCs w:val="32"/>
          <w14:textFill>
            <w14:solidFill>
              <w14:schemeClr w14:val="tx1"/>
            </w14:solidFill>
          </w14:textFill>
        </w:rPr>
        <w:sectPr>
          <w:headerReference r:id="rId6" w:type="default"/>
          <w:footerReference r:id="rId8" w:type="default"/>
          <w:headerReference r:id="rId7" w:type="even"/>
          <w:footerReference r:id="rId9" w:type="even"/>
          <w:pgSz w:w="11906" w:h="16838"/>
          <w:pgMar w:top="1418" w:right="1247" w:bottom="1418" w:left="1588" w:header="851" w:footer="992" w:gutter="0"/>
          <w:pgNumType w:fmt="numberInDash" w:start="1"/>
          <w:cols w:space="720" w:num="1"/>
          <w:docGrid w:linePitch="312" w:charSpace="0"/>
        </w:sectPr>
      </w:pP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bookmarkStart w:id="0" w:name="_Toc125907416"/>
      <w:r>
        <w:rPr>
          <w:rFonts w:hint="eastAsia" w:ascii="黑体" w:hAnsi="宋体" w:eastAsia="黑体" w:cs="Times New Roman"/>
          <w:color w:val="000000" w:themeColor="text1"/>
          <w:shd w:val="clear" w:color="auto" w:fill="FFFFFF"/>
          <w14:textFill>
            <w14:solidFill>
              <w14:schemeClr w14:val="tx1"/>
            </w14:solidFill>
          </w14:textFill>
        </w:rPr>
        <w:t>前   言</w:t>
      </w:r>
      <w:bookmarkEnd w:id="0"/>
    </w:p>
    <w:p>
      <w:pPr>
        <w:keepNext w:val="0"/>
        <w:keepLines w:val="0"/>
        <w:pageBreakBefore w:val="0"/>
        <w:widowControl w:val="0"/>
        <w:kinsoku/>
        <w:wordWrap/>
        <w:overflowPunct/>
        <w:topLinePunct w:val="0"/>
        <w:autoSpaceDE/>
        <w:autoSpaceDN/>
        <w:bidi w:val="0"/>
        <w:adjustRightInd/>
        <w:spacing w:line="560" w:lineRule="exact"/>
        <w:ind w:firstLine="561"/>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吐鲁番市位于我国生态安全战略格局“三区四带”中的“北方防沙带”，是我国防沙治沙关键性地带，也是自治区生态保护修复重点区域，对构筑新疆生态安全格局，维护地区生态安全屏障具有重要意义。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Times New Roman"/>
          <w:color w:val="000000" w:themeColor="text1"/>
          <w:sz w:val="32"/>
          <w:szCs w:val="32"/>
          <w:shd w:val="clear" w:color="auto" w:fill="FFFFFF"/>
          <w14:textFill>
            <w14:solidFill>
              <w14:schemeClr w14:val="tx1"/>
            </w14:solidFill>
          </w14:textFill>
        </w:rPr>
      </w:pPr>
      <w:r>
        <w:rPr>
          <w:rFonts w:hint="eastAsia" w:ascii="仿宋" w:hAnsi="仿宋" w:eastAsia="仿宋" w:cs="Times New Roman"/>
          <w:color w:val="000000" w:themeColor="text1"/>
          <w:sz w:val="32"/>
          <w:szCs w:val="32"/>
          <w:shd w:val="clear" w:color="auto" w:fill="FFFFFF"/>
          <w14:textFill>
            <w14:solidFill>
              <w14:schemeClr w14:val="tx1"/>
            </w14:solidFill>
          </w14:textFill>
        </w:rPr>
        <w:t>党的</w:t>
      </w:r>
      <w:r>
        <w:rPr>
          <w:rFonts w:ascii="仿宋" w:hAnsi="仿宋" w:eastAsia="仿宋" w:cs="Times New Roman"/>
          <w:color w:val="000000" w:themeColor="text1"/>
          <w:sz w:val="32"/>
          <w:szCs w:val="32"/>
          <w:shd w:val="clear" w:color="auto" w:fill="FFFFFF"/>
          <w14:textFill>
            <w14:solidFill>
              <w14:schemeClr w14:val="tx1"/>
            </w14:solidFill>
          </w14:textFill>
        </w:rPr>
        <w:t>十八大以来，</w:t>
      </w:r>
      <w:r>
        <w:rPr>
          <w:rFonts w:hint="eastAsia" w:ascii="仿宋" w:hAnsi="仿宋" w:eastAsia="仿宋" w:cs="Times New Roman"/>
          <w:color w:val="000000" w:themeColor="text1"/>
          <w:sz w:val="32"/>
          <w:szCs w:val="32"/>
          <w:shd w:val="clear" w:color="auto" w:fill="FFFFFF"/>
          <w14:textFill>
            <w14:solidFill>
              <w14:schemeClr w14:val="tx1"/>
            </w14:solidFill>
          </w14:textFill>
        </w:rPr>
        <w:t>吐鲁番市</w:t>
      </w:r>
      <w:r>
        <w:rPr>
          <w:rFonts w:ascii="仿宋" w:hAnsi="仿宋" w:eastAsia="仿宋" w:cs="Times New Roman"/>
          <w:color w:val="000000" w:themeColor="text1"/>
          <w:sz w:val="32"/>
          <w:szCs w:val="32"/>
          <w:shd w:val="clear" w:color="auto" w:fill="FFFFFF"/>
          <w14:textFill>
            <w14:solidFill>
              <w14:schemeClr w14:val="tx1"/>
            </w14:solidFill>
          </w14:textFill>
        </w:rPr>
        <w:t>不断加大生态保护修复工作投入力度，生态文明建设</w:t>
      </w:r>
      <w:r>
        <w:rPr>
          <w:rFonts w:hint="eastAsia" w:ascii="仿宋" w:hAnsi="仿宋" w:eastAsia="仿宋" w:cs="Times New Roman"/>
          <w:color w:val="000000" w:themeColor="text1"/>
          <w:sz w:val="32"/>
          <w:szCs w:val="32"/>
          <w:shd w:val="clear" w:color="auto" w:fill="FFFFFF"/>
          <w14:textFill>
            <w14:solidFill>
              <w14:schemeClr w14:val="tx1"/>
            </w14:solidFill>
          </w14:textFill>
        </w:rPr>
        <w:t>取得</w:t>
      </w:r>
      <w:r>
        <w:rPr>
          <w:rFonts w:ascii="仿宋" w:hAnsi="仿宋" w:eastAsia="仿宋" w:cs="Times New Roman"/>
          <w:color w:val="000000" w:themeColor="text1"/>
          <w:sz w:val="32"/>
          <w:szCs w:val="32"/>
          <w:shd w:val="clear" w:color="auto" w:fill="FFFFFF"/>
          <w14:textFill>
            <w14:solidFill>
              <w14:schemeClr w14:val="tx1"/>
            </w14:solidFill>
          </w14:textFill>
        </w:rPr>
        <w:t>显著成效，生态面貌明显改善。为深入贯彻习近平生态文明思想，落实中共中央、国务院</w:t>
      </w:r>
      <w:r>
        <w:rPr>
          <w:rFonts w:ascii="仿宋" w:hAnsi="仿宋" w:eastAsia="仿宋" w:cs="Times New Roman"/>
          <w:color w:val="000000" w:themeColor="text1"/>
          <w:sz w:val="32"/>
          <w:szCs w:val="32"/>
          <w:u w:val="none"/>
          <w:shd w:val="clear" w:color="auto" w:fill="FFFFFF"/>
          <w14:textFill>
            <w14:solidFill>
              <w14:schemeClr w14:val="tx1"/>
            </w14:solidFill>
          </w14:textFill>
        </w:rPr>
        <w:t>《关于加快推进生态文明建设的意见》《生态文明体制改革总体方案》</w:t>
      </w:r>
      <w:r>
        <w:rPr>
          <w:rFonts w:ascii="仿宋" w:hAnsi="仿宋" w:eastAsia="仿宋" w:cs="Times New Roman"/>
          <w:color w:val="000000" w:themeColor="text1"/>
          <w:sz w:val="32"/>
          <w:szCs w:val="32"/>
          <w:shd w:val="clear" w:color="auto" w:fill="FFFFFF"/>
          <w14:textFill>
            <w14:solidFill>
              <w14:schemeClr w14:val="tx1"/>
            </w14:solidFill>
          </w14:textFill>
        </w:rPr>
        <w:t>和自治区党委、</w:t>
      </w:r>
      <w:r>
        <w:rPr>
          <w:rFonts w:hint="eastAsia" w:ascii="仿宋" w:hAnsi="仿宋" w:eastAsia="仿宋" w:cs="Times New Roman"/>
          <w:color w:val="000000" w:themeColor="text1"/>
          <w:sz w:val="32"/>
          <w:szCs w:val="32"/>
          <w:shd w:val="clear" w:color="auto" w:fill="FFFFFF"/>
          <w:lang w:eastAsia="zh-CN"/>
          <w14:textFill>
            <w14:solidFill>
              <w14:schemeClr w14:val="tx1"/>
            </w14:solidFill>
          </w14:textFill>
        </w:rPr>
        <w:t>自治区</w:t>
      </w:r>
      <w:r>
        <w:rPr>
          <w:rFonts w:hint="eastAsia" w:ascii="仿宋" w:hAnsi="仿宋" w:eastAsia="仿宋" w:cs="Times New Roman"/>
          <w:color w:val="000000" w:themeColor="text1"/>
          <w:sz w:val="32"/>
          <w:szCs w:val="32"/>
          <w:shd w:val="clear" w:color="auto" w:fill="FFFFFF"/>
          <w14:textFill>
            <w14:solidFill>
              <w14:schemeClr w14:val="tx1"/>
            </w14:solidFill>
          </w14:textFill>
        </w:rPr>
        <w:t>人民</w:t>
      </w:r>
      <w:r>
        <w:rPr>
          <w:rFonts w:ascii="仿宋" w:hAnsi="仿宋" w:eastAsia="仿宋" w:cs="Times New Roman"/>
          <w:color w:val="000000" w:themeColor="text1"/>
          <w:sz w:val="32"/>
          <w:szCs w:val="32"/>
          <w:shd w:val="clear" w:color="auto" w:fill="FFFFFF"/>
          <w14:textFill>
            <w14:solidFill>
              <w14:schemeClr w14:val="tx1"/>
            </w14:solidFill>
          </w14:textFill>
        </w:rPr>
        <w:t>政府</w:t>
      </w:r>
      <w:r>
        <w:rPr>
          <w:rFonts w:hint="eastAsia" w:ascii="仿宋" w:hAnsi="仿宋" w:eastAsia="仿宋" w:cs="Times New Roman"/>
          <w:color w:val="000000" w:themeColor="text1"/>
          <w:sz w:val="32"/>
          <w:szCs w:val="32"/>
          <w:shd w:val="clear" w:color="auto" w:fill="FFFFFF"/>
          <w14:textFill>
            <w14:solidFill>
              <w14:schemeClr w14:val="tx1"/>
            </w14:solidFill>
          </w14:textFill>
        </w:rPr>
        <w:t>及吐鲁番市委、</w:t>
      </w:r>
      <w:r>
        <w:rPr>
          <w:rFonts w:hint="eastAsia" w:ascii="仿宋" w:hAnsi="仿宋" w:eastAsia="仿宋" w:cs="Times New Roman"/>
          <w:color w:val="000000" w:themeColor="text1"/>
          <w:sz w:val="32"/>
          <w:szCs w:val="32"/>
          <w:shd w:val="clear" w:color="auto" w:fill="FFFFFF"/>
          <w:lang w:eastAsia="zh-CN"/>
          <w14:textFill>
            <w14:solidFill>
              <w14:schemeClr w14:val="tx1"/>
            </w14:solidFill>
          </w14:textFill>
        </w:rPr>
        <w:t>市</w:t>
      </w:r>
      <w:r>
        <w:rPr>
          <w:rFonts w:hint="eastAsia" w:ascii="仿宋" w:hAnsi="仿宋" w:eastAsia="仿宋" w:cs="Times New Roman"/>
          <w:color w:val="000000" w:themeColor="text1"/>
          <w:sz w:val="32"/>
          <w:szCs w:val="32"/>
          <w:shd w:val="clear" w:color="auto" w:fill="FFFFFF"/>
          <w14:textFill>
            <w14:solidFill>
              <w14:schemeClr w14:val="tx1"/>
            </w14:solidFill>
          </w14:textFill>
        </w:rPr>
        <w:t>人民政府关于</w:t>
      </w:r>
      <w:r>
        <w:rPr>
          <w:rFonts w:ascii="仿宋" w:hAnsi="仿宋" w:eastAsia="仿宋" w:cs="Times New Roman"/>
          <w:color w:val="000000" w:themeColor="text1"/>
          <w:sz w:val="32"/>
          <w:szCs w:val="32"/>
          <w:shd w:val="clear" w:color="auto" w:fill="FFFFFF"/>
          <w14:textFill>
            <w14:solidFill>
              <w14:schemeClr w14:val="tx1"/>
            </w14:solidFill>
          </w14:textFill>
        </w:rPr>
        <w:t>加快生态文明建设的决策部署，为</w:t>
      </w:r>
      <w:r>
        <w:rPr>
          <w:rFonts w:hint="eastAsia" w:ascii="仿宋" w:hAnsi="仿宋" w:eastAsia="仿宋" w:cs="Times New Roman"/>
          <w:color w:val="000000" w:themeColor="text1"/>
          <w:sz w:val="32"/>
          <w:szCs w:val="32"/>
          <w:shd w:val="clear" w:color="auto" w:fill="FFFFFF"/>
          <w14:textFill>
            <w14:solidFill>
              <w14:schemeClr w14:val="tx1"/>
            </w14:solidFill>
          </w14:textFill>
        </w:rPr>
        <w:t>吐鲁番市</w:t>
      </w:r>
      <w:r>
        <w:rPr>
          <w:rFonts w:ascii="仿宋" w:hAnsi="仿宋" w:eastAsia="仿宋" w:cs="Times New Roman"/>
          <w:color w:val="000000" w:themeColor="text1"/>
          <w:sz w:val="32"/>
          <w:szCs w:val="32"/>
          <w:shd w:val="clear" w:color="auto" w:fill="FFFFFF"/>
          <w14:textFill>
            <w14:solidFill>
              <w14:schemeClr w14:val="tx1"/>
            </w14:solidFill>
          </w14:textFill>
        </w:rPr>
        <w:t>高质量发展提供生态保障，</w:t>
      </w:r>
      <w:r>
        <w:rPr>
          <w:rFonts w:hint="eastAsia" w:ascii="仿宋" w:hAnsi="仿宋" w:eastAsia="仿宋" w:cs="Times New Roman"/>
          <w:color w:val="000000" w:themeColor="text1"/>
          <w:sz w:val="32"/>
          <w:szCs w:val="32"/>
          <w:shd w:val="clear" w:color="auto" w:fill="FFFFFF"/>
          <w14:textFill>
            <w14:solidFill>
              <w14:schemeClr w14:val="tx1"/>
            </w14:solidFill>
          </w14:textFill>
        </w:rPr>
        <w:t>吐鲁番市自然资源局依据</w:t>
      </w:r>
      <w:r>
        <w:rPr>
          <w:rFonts w:hint="eastAsia" w:ascii="仿宋" w:hAnsi="仿宋" w:eastAsia="仿宋" w:cs="Times New Roman"/>
          <w:color w:val="000000" w:themeColor="text1"/>
          <w:sz w:val="32"/>
          <w:szCs w:val="32"/>
          <w:u w:val="none"/>
          <w:shd w:val="clear" w:color="auto" w:fill="FFFFFF"/>
          <w14:textFill>
            <w14:solidFill>
              <w14:schemeClr w14:val="tx1"/>
            </w14:solidFill>
          </w14:textFill>
        </w:rPr>
        <w:t>《新疆维吾尔自治区国土空间生态修复“十四五”规划》和《新疆维吾尔自治区地（州、市）级国土空间生态修复规划编制指南（试行）》</w:t>
      </w:r>
      <w:r>
        <w:rPr>
          <w:rFonts w:hint="eastAsia" w:ascii="仿宋" w:hAnsi="仿宋" w:eastAsia="仿宋" w:cs="Times New Roman"/>
          <w:color w:val="000000" w:themeColor="text1"/>
          <w:sz w:val="32"/>
          <w:szCs w:val="32"/>
          <w:shd w:val="clear" w:color="auto" w:fill="FFFFFF"/>
          <w14:textFill>
            <w14:solidFill>
              <w14:schemeClr w14:val="tx1"/>
            </w14:solidFill>
          </w14:textFill>
        </w:rPr>
        <w:t>组织</w:t>
      </w:r>
      <w:r>
        <w:rPr>
          <w:rFonts w:ascii="仿宋" w:hAnsi="仿宋" w:eastAsia="仿宋" w:cs="Times New Roman"/>
          <w:color w:val="000000" w:themeColor="text1"/>
          <w:sz w:val="32"/>
          <w:szCs w:val="32"/>
          <w:shd w:val="clear" w:color="auto" w:fill="FFFFFF"/>
          <w14:textFill>
            <w14:solidFill>
              <w14:schemeClr w14:val="tx1"/>
            </w14:solidFill>
          </w14:textFill>
        </w:rPr>
        <w:t>编制</w:t>
      </w:r>
      <w:r>
        <w:rPr>
          <w:rFonts w:hint="eastAsia" w:ascii="仿宋" w:hAnsi="仿宋" w:eastAsia="仿宋" w:cs="Times New Roman"/>
          <w:color w:val="000000" w:themeColor="text1"/>
          <w:sz w:val="32"/>
          <w:szCs w:val="32"/>
          <w:shd w:val="clear" w:color="auto" w:fill="FFFFFF"/>
          <w14:textFill>
            <w14:solidFill>
              <w14:schemeClr w14:val="tx1"/>
            </w14:solidFill>
          </w14:textFill>
        </w:rPr>
        <w:t>了</w:t>
      </w:r>
      <w:r>
        <w:rPr>
          <w:rFonts w:ascii="仿宋" w:hAnsi="仿宋" w:eastAsia="仿宋" w:cs="Times New Roman"/>
          <w:color w:val="000000" w:themeColor="text1"/>
          <w:sz w:val="32"/>
          <w:szCs w:val="32"/>
          <w:shd w:val="clear" w:color="auto" w:fill="FFFFFF"/>
          <w14:textFill>
            <w14:solidFill>
              <w14:schemeClr w14:val="tx1"/>
            </w14:solidFill>
          </w14:textFill>
        </w:rPr>
        <w:t>《</w:t>
      </w:r>
      <w:r>
        <w:rPr>
          <w:rFonts w:hint="eastAsia" w:ascii="仿宋" w:hAnsi="仿宋" w:eastAsia="仿宋" w:cs="Times New Roman"/>
          <w:color w:val="000000" w:themeColor="text1"/>
          <w:sz w:val="32"/>
          <w:szCs w:val="32"/>
          <w:shd w:val="clear" w:color="auto" w:fill="FFFFFF"/>
          <w14:textFill>
            <w14:solidFill>
              <w14:schemeClr w14:val="tx1"/>
            </w14:solidFill>
          </w14:textFill>
        </w:rPr>
        <w:t>吐鲁番市</w:t>
      </w:r>
      <w:r>
        <w:rPr>
          <w:rFonts w:ascii="仿宋" w:hAnsi="仿宋" w:eastAsia="仿宋" w:cs="Times New Roman"/>
          <w:color w:val="000000" w:themeColor="text1"/>
          <w:sz w:val="32"/>
          <w:szCs w:val="32"/>
          <w:shd w:val="clear" w:color="auto" w:fill="FFFFFF"/>
          <w14:textFill>
            <w14:solidFill>
              <w14:schemeClr w14:val="tx1"/>
            </w14:solidFill>
          </w14:textFill>
        </w:rPr>
        <w:t>国土空间生态修复规划</w:t>
      </w:r>
      <w:r>
        <w:rPr>
          <w:rFonts w:hint="eastAsia" w:ascii="仿宋" w:hAnsi="仿宋"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2021-2035</w:t>
      </w:r>
      <w:r>
        <w:rPr>
          <w:rFonts w:hint="eastAsia" w:ascii="仿宋" w:hAnsi="仿宋" w:eastAsia="仿宋" w:cs="Times New Roman"/>
          <w:color w:val="000000" w:themeColor="text1"/>
          <w:sz w:val="32"/>
          <w:szCs w:val="32"/>
          <w:shd w:val="clear" w:color="auto" w:fill="FFFFFF"/>
          <w14:textFill>
            <w14:solidFill>
              <w14:schemeClr w14:val="tx1"/>
            </w14:solidFill>
          </w14:textFill>
        </w:rPr>
        <w:t>年）</w:t>
      </w:r>
      <w:r>
        <w:rPr>
          <w:rFonts w:ascii="仿宋" w:hAnsi="仿宋" w:eastAsia="仿宋" w:cs="Times New Roman"/>
          <w:color w:val="000000" w:themeColor="text1"/>
          <w:sz w:val="32"/>
          <w:szCs w:val="32"/>
          <w:shd w:val="clear" w:color="auto" w:fill="FFFFFF"/>
          <w14:textFill>
            <w14:solidFill>
              <w14:schemeClr w14:val="tx1"/>
            </w14:solidFill>
          </w14:textFill>
        </w:rPr>
        <w:t>》（以下简称《规划》）。</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 w:hAnsi="仿宋" w:eastAsia="仿宋" w:cs="Times New Roman"/>
          <w:color w:val="000000" w:themeColor="text1"/>
          <w:sz w:val="32"/>
          <w:szCs w:val="32"/>
          <w:shd w:val="clear" w:color="auto" w:fill="FFFFFF"/>
          <w14:textFill>
            <w14:solidFill>
              <w14:schemeClr w14:val="tx1"/>
            </w14:solidFill>
          </w14:textFill>
        </w:rPr>
      </w:pPr>
      <w:r>
        <w:rPr>
          <w:rFonts w:ascii="仿宋" w:hAnsi="仿宋" w:eastAsia="仿宋" w:cs="Times New Roman"/>
          <w:color w:val="000000" w:themeColor="text1"/>
          <w:sz w:val="32"/>
          <w:szCs w:val="32"/>
          <w:shd w:val="clear" w:color="auto" w:fill="FFFFFF"/>
          <w14:textFill>
            <w14:solidFill>
              <w14:schemeClr w14:val="tx1"/>
            </w14:solidFill>
          </w14:textFill>
        </w:rPr>
        <w:t>《规划》立足</w:t>
      </w:r>
      <w:r>
        <w:rPr>
          <w:rFonts w:hint="eastAsia" w:ascii="仿宋" w:hAnsi="仿宋" w:eastAsia="仿宋" w:cs="Times New Roman"/>
          <w:color w:val="000000" w:themeColor="text1"/>
          <w:sz w:val="32"/>
          <w:szCs w:val="32"/>
          <w:shd w:val="clear" w:color="auto" w:fill="FFFFFF"/>
          <w14:textFill>
            <w14:solidFill>
              <w14:schemeClr w14:val="tx1"/>
            </w14:solidFill>
          </w14:textFill>
        </w:rPr>
        <w:t>吐鲁番市</w:t>
      </w:r>
      <w:r>
        <w:rPr>
          <w:rFonts w:ascii="仿宋" w:hAnsi="仿宋" w:eastAsia="仿宋" w:cs="Times New Roman"/>
          <w:color w:val="000000" w:themeColor="text1"/>
          <w:sz w:val="32"/>
          <w:szCs w:val="32"/>
          <w:shd w:val="clear" w:color="auto" w:fill="FFFFFF"/>
          <w14:textFill>
            <w14:solidFill>
              <w14:schemeClr w14:val="tx1"/>
            </w14:solidFill>
          </w14:textFill>
        </w:rPr>
        <w:t>自然地理格局，在识别国土空间突出生态问题和生态风险基础上，明确</w:t>
      </w:r>
      <w:r>
        <w:rPr>
          <w:rFonts w:hint="eastAsia" w:ascii="仿宋" w:hAnsi="仿宋" w:eastAsia="仿宋" w:cs="Times New Roman"/>
          <w:color w:val="000000" w:themeColor="text1"/>
          <w:sz w:val="32"/>
          <w:szCs w:val="32"/>
          <w:shd w:val="clear" w:color="auto" w:fill="FFFFFF"/>
          <w14:textFill>
            <w14:solidFill>
              <w14:schemeClr w14:val="tx1"/>
            </w14:solidFill>
          </w14:textFill>
        </w:rPr>
        <w:t>一定时期</w:t>
      </w:r>
      <w:r>
        <w:rPr>
          <w:rFonts w:ascii="仿宋" w:hAnsi="仿宋" w:eastAsia="仿宋" w:cs="Times New Roman"/>
          <w:color w:val="000000" w:themeColor="text1"/>
          <w:sz w:val="32"/>
          <w:szCs w:val="32"/>
          <w:shd w:val="clear" w:color="auto" w:fill="FFFFFF"/>
          <w14:textFill>
            <w14:solidFill>
              <w14:schemeClr w14:val="tx1"/>
            </w14:solidFill>
          </w14:textFill>
        </w:rPr>
        <w:t>国土空间生态修复工作的指导思想、基本原则和目标任务，谋划国土空间生态修复总体布局，稳步推进国土空间生态保护与修复重点工程，促进国土空间格局优化，筑牢生态安全屏障，增强生态系统固碳能力，是</w:t>
      </w:r>
      <w:r>
        <w:rPr>
          <w:rFonts w:hint="eastAsia" w:ascii="仿宋" w:hAnsi="仿宋" w:eastAsia="仿宋" w:cs="Times New Roman"/>
          <w:color w:val="000000" w:themeColor="text1"/>
          <w:sz w:val="32"/>
          <w:szCs w:val="32"/>
          <w:shd w:val="clear" w:color="auto" w:fill="FFFFFF"/>
          <w14:textFill>
            <w14:solidFill>
              <w14:schemeClr w14:val="tx1"/>
            </w14:solidFill>
          </w14:textFill>
        </w:rPr>
        <w:t>吐鲁番市</w:t>
      </w:r>
      <w:r>
        <w:rPr>
          <w:rFonts w:ascii="仿宋" w:hAnsi="仿宋" w:eastAsia="仿宋" w:cs="Times New Roman"/>
          <w:color w:val="000000" w:themeColor="text1"/>
          <w:sz w:val="32"/>
          <w:szCs w:val="32"/>
          <w:shd w:val="clear" w:color="auto" w:fill="FFFFFF"/>
          <w14:textFill>
            <w14:solidFill>
              <w14:schemeClr w14:val="tx1"/>
            </w14:solidFill>
          </w14:textFill>
        </w:rPr>
        <w:t>开展国土空间生态修复工作的纲领性文件和重要依据。</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rPr>
          <w:rFonts w:ascii="Times New Roman" w:hAnsi="Times New Roman" w:eastAsia="仿宋" w:cs="Times New Roman"/>
          <w:color w:val="000000" w:themeColor="text1"/>
          <w:sz w:val="32"/>
          <w:szCs w:val="32"/>
          <w:shd w:val="clear" w:color="auto" w:fill="FFFFFF"/>
          <w14:textFill>
            <w14:solidFill>
              <w14:schemeClr w14:val="tx1"/>
            </w14:solidFill>
          </w14:textFill>
        </w:rPr>
      </w:pPr>
      <w:r>
        <w:rPr>
          <w:rFonts w:ascii="Times New Roman" w:hAnsi="Times New Roman" w:eastAsia="仿宋" w:cs="Times New Roman"/>
          <w:color w:val="000000" w:themeColor="text1"/>
          <w:sz w:val="32"/>
          <w:szCs w:val="32"/>
          <w:shd w:val="clear" w:color="auto" w:fill="FFFFFF"/>
          <w14:textFill>
            <w14:solidFill>
              <w14:schemeClr w14:val="tx1"/>
            </w14:solidFill>
          </w14:textFill>
        </w:rPr>
        <w:t>《规划》范围包括吐鲁番市所辖国土空间面积69713</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平方公里</w:t>
      </w:r>
      <w:r>
        <w:rPr>
          <w:rFonts w:ascii="Times New Roman" w:hAnsi="Times New Roman" w:eastAsia="仿宋" w:cs="Times New Roman"/>
          <w:color w:val="000000" w:themeColor="text1"/>
          <w:sz w:val="32"/>
          <w:szCs w:val="32"/>
          <w:shd w:val="clear" w:color="auto" w:fill="FFFFFF"/>
          <w14:textFill>
            <w14:solidFill>
              <w14:schemeClr w14:val="tx1"/>
            </w14:solidFill>
          </w14:textFill>
        </w:rPr>
        <w:t>，规划期为2021-2035年，基准年为2020年，目标年为2035年，近期为2021-2025年，中远期为2026-2035年。</w:t>
      </w:r>
    </w:p>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br w:type="page"/>
      </w: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bookmarkStart w:id="1" w:name="_Toc125907417"/>
      <w:r>
        <w:rPr>
          <w:rFonts w:hint="eastAsia" w:ascii="黑体" w:hAnsi="宋体" w:eastAsia="黑体" w:cs="Times New Roman"/>
          <w:color w:val="000000" w:themeColor="text1"/>
          <w:shd w:val="clear" w:color="auto" w:fill="FFFFFF"/>
          <w14:textFill>
            <w14:solidFill>
              <w14:schemeClr w14:val="tx1"/>
            </w14:solidFill>
          </w14:textFill>
        </w:rPr>
        <w:t>第一章  国土空间生态修复面临的形势</w:t>
      </w:r>
      <w:bookmarkEnd w:id="1"/>
    </w:p>
    <w:p>
      <w:pPr>
        <w:pStyle w:val="3"/>
        <w:pageBreakBefore w:val="0"/>
        <w:widowControl w:val="0"/>
        <w:kinsoku/>
        <w:wordWrap/>
        <w:overflowPunct/>
        <w:topLinePunct w:val="0"/>
        <w:autoSpaceDE/>
        <w:autoSpaceDN/>
        <w:bidi w:val="0"/>
        <w:spacing w:before="120" w:beforeLines="50" w:after="120" w:afterLines="50" w:line="560" w:lineRule="exact"/>
        <w:jc w:val="lef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2" w:name="_Toc125907418"/>
      <w:bookmarkStart w:id="3" w:name="_Toc85576292"/>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一、国土空间生态修复取得成效</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党的十八大以来，在习近平生态文明思想指引下，</w:t>
      </w: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委、</w:t>
      </w:r>
      <w:r>
        <w:rPr>
          <w:rFonts w:hint="eastAsia" w:ascii="仿宋" w:hAnsi="仿宋" w:eastAsia="仿宋" w:cs="Times New Roman"/>
          <w:color w:val="000000" w:themeColor="text1"/>
          <w:sz w:val="32"/>
          <w:szCs w:val="32"/>
          <w:lang w:eastAsia="zh-CN"/>
          <w14:textFill>
            <w14:solidFill>
              <w14:schemeClr w14:val="tx1"/>
            </w14:solidFill>
          </w14:textFill>
        </w:rPr>
        <w:t>市</w:t>
      </w:r>
      <w:r>
        <w:rPr>
          <w:rFonts w:ascii="仿宋" w:hAnsi="仿宋" w:eastAsia="仿宋" w:cs="Times New Roman"/>
          <w:color w:val="000000" w:themeColor="text1"/>
          <w:sz w:val="32"/>
          <w:szCs w:val="32"/>
          <w14:textFill>
            <w14:solidFill>
              <w14:schemeClr w14:val="tx1"/>
            </w14:solidFill>
          </w14:textFill>
        </w:rPr>
        <w:t>人民政府高度重视生态保护和修复工作，深入贯彻落实党中央、国务院战略部署</w:t>
      </w:r>
      <w:r>
        <w:rPr>
          <w:rFonts w:hint="eastAsia" w:ascii="仿宋" w:hAnsi="仿宋" w:eastAsia="仿宋" w:cs="Times New Roman"/>
          <w:color w:val="000000" w:themeColor="text1"/>
          <w:sz w:val="32"/>
          <w:szCs w:val="32"/>
          <w14:textFill>
            <w14:solidFill>
              <w14:schemeClr w14:val="tx1"/>
            </w14:solidFill>
          </w14:textFill>
        </w:rPr>
        <w:t>和自治区党委、</w:t>
      </w:r>
      <w:r>
        <w:rPr>
          <w:rFonts w:hint="eastAsia" w:ascii="仿宋" w:hAnsi="仿宋" w:eastAsia="仿宋" w:cs="Times New Roman"/>
          <w:color w:val="000000" w:themeColor="text1"/>
          <w:sz w:val="32"/>
          <w:szCs w:val="32"/>
          <w:lang w:eastAsia="zh-CN"/>
          <w14:textFill>
            <w14:solidFill>
              <w14:schemeClr w14:val="tx1"/>
            </w14:solidFill>
          </w14:textFill>
        </w:rPr>
        <w:t>自治区</w:t>
      </w:r>
      <w:r>
        <w:rPr>
          <w:rFonts w:hint="eastAsia" w:ascii="仿宋" w:hAnsi="仿宋" w:eastAsia="仿宋" w:cs="Times New Roman"/>
          <w:color w:val="000000" w:themeColor="text1"/>
          <w:sz w:val="32"/>
          <w:szCs w:val="32"/>
          <w14:textFill>
            <w14:solidFill>
              <w14:schemeClr w14:val="tx1"/>
            </w14:solidFill>
          </w14:textFill>
        </w:rPr>
        <w:t>人民政府决策部署</w:t>
      </w:r>
      <w:r>
        <w:rPr>
          <w:rFonts w:ascii="仿宋" w:hAnsi="仿宋" w:eastAsia="仿宋" w:cs="Times New Roman"/>
          <w:color w:val="000000" w:themeColor="text1"/>
          <w:sz w:val="32"/>
          <w:szCs w:val="32"/>
          <w14:textFill>
            <w14:solidFill>
              <w14:schemeClr w14:val="tx1"/>
            </w14:solidFill>
          </w14:textFill>
        </w:rPr>
        <w:t>，认真贯彻落实新时代党的治疆方略，</w:t>
      </w:r>
      <w:r>
        <w:rPr>
          <w:rFonts w:hint="eastAsia" w:ascii="仿宋" w:hAnsi="仿宋" w:eastAsia="仿宋" w:cs="Times New Roman"/>
          <w:color w:val="000000" w:themeColor="text1"/>
          <w:sz w:val="32"/>
          <w:szCs w:val="32"/>
          <w14:textFill>
            <w14:solidFill>
              <w14:schemeClr w14:val="tx1"/>
            </w14:solidFill>
          </w14:textFill>
        </w:rPr>
        <w:t>高度重视中央环保督察工作，</w:t>
      </w:r>
      <w:r>
        <w:rPr>
          <w:rFonts w:ascii="仿宋" w:hAnsi="仿宋" w:eastAsia="仿宋" w:cs="Times New Roman"/>
          <w:color w:val="000000" w:themeColor="text1"/>
          <w:sz w:val="32"/>
          <w:szCs w:val="32"/>
          <w14:textFill>
            <w14:solidFill>
              <w14:schemeClr w14:val="tx1"/>
            </w14:solidFill>
          </w14:textFill>
        </w:rPr>
        <w:t>全面推进</w:t>
      </w: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生态文明建设，在加强生态保护的基础上，不断加大生态修复力度，积极探索统筹山水林田湖草沙</w:t>
      </w:r>
      <w:r>
        <w:rPr>
          <w:rFonts w:hint="eastAsia" w:ascii="仿宋" w:hAnsi="仿宋" w:eastAsia="仿宋" w:cs="Times New Roman"/>
          <w:color w:val="000000" w:themeColor="text1"/>
          <w:sz w:val="32"/>
          <w:szCs w:val="32"/>
          <w14:textFill>
            <w14:solidFill>
              <w14:schemeClr w14:val="tx1"/>
            </w14:solidFill>
          </w14:textFill>
        </w:rPr>
        <w:t>一体化</w:t>
      </w:r>
      <w:r>
        <w:rPr>
          <w:rFonts w:ascii="仿宋" w:hAnsi="仿宋" w:eastAsia="仿宋" w:cs="Times New Roman"/>
          <w:color w:val="000000" w:themeColor="text1"/>
          <w:sz w:val="32"/>
          <w:szCs w:val="32"/>
          <w14:textFill>
            <w14:solidFill>
              <w14:schemeClr w14:val="tx1"/>
            </w14:solidFill>
          </w14:textFill>
        </w:rPr>
        <w:t>保护</w:t>
      </w:r>
      <w:r>
        <w:rPr>
          <w:rFonts w:hint="eastAsia" w:ascii="仿宋" w:hAnsi="仿宋" w:eastAsia="仿宋" w:cs="Times New Roman"/>
          <w:color w:val="000000" w:themeColor="text1"/>
          <w:sz w:val="32"/>
          <w:szCs w:val="32"/>
          <w14:textFill>
            <w14:solidFill>
              <w14:schemeClr w14:val="tx1"/>
            </w14:solidFill>
          </w14:textFill>
        </w:rPr>
        <w:t>和</w:t>
      </w:r>
      <w:r>
        <w:rPr>
          <w:rFonts w:ascii="仿宋" w:hAnsi="仿宋" w:eastAsia="仿宋" w:cs="Times New Roman"/>
          <w:color w:val="000000" w:themeColor="text1"/>
          <w:sz w:val="32"/>
          <w:szCs w:val="32"/>
          <w14:textFill>
            <w14:solidFill>
              <w14:schemeClr w14:val="tx1"/>
            </w14:solidFill>
          </w14:textFill>
        </w:rPr>
        <w:t>修复，持续推进国土绿化、河湖湿地保护修复、防沙治沙、水土保持、生物多样性保护、</w:t>
      </w:r>
      <w:r>
        <w:rPr>
          <w:rFonts w:hint="eastAsia" w:ascii="仿宋" w:hAnsi="仿宋" w:eastAsia="仿宋" w:cs="Times New Roman"/>
          <w:color w:val="000000" w:themeColor="text1"/>
          <w:sz w:val="32"/>
          <w:szCs w:val="32"/>
          <w14:textFill>
            <w14:solidFill>
              <w14:schemeClr w14:val="tx1"/>
            </w14:solidFill>
          </w14:textFill>
        </w:rPr>
        <w:t>国土</w:t>
      </w:r>
      <w:r>
        <w:rPr>
          <w:rFonts w:ascii="仿宋" w:hAnsi="仿宋" w:eastAsia="仿宋" w:cs="Times New Roman"/>
          <w:color w:val="000000" w:themeColor="text1"/>
          <w:sz w:val="32"/>
          <w:szCs w:val="32"/>
          <w14:textFill>
            <w14:solidFill>
              <w14:schemeClr w14:val="tx1"/>
            </w14:solidFill>
          </w14:textFill>
        </w:rPr>
        <w:t>综合整治等重点生态工程</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取得了显著成效</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为推动</w:t>
      </w: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高质量</w:t>
      </w:r>
      <w:r>
        <w:rPr>
          <w:rFonts w:hint="eastAsia" w:ascii="仿宋" w:hAnsi="仿宋" w:eastAsia="仿宋" w:cs="Times New Roman"/>
          <w:color w:val="000000" w:themeColor="text1"/>
          <w:sz w:val="32"/>
          <w:szCs w:val="32"/>
          <w14:textFill>
            <w14:solidFill>
              <w14:schemeClr w14:val="tx1"/>
            </w14:solidFill>
          </w14:textFill>
        </w:rPr>
        <w:t>绿色</w:t>
      </w:r>
      <w:r>
        <w:rPr>
          <w:rFonts w:ascii="仿宋" w:hAnsi="仿宋" w:eastAsia="仿宋" w:cs="Times New Roman"/>
          <w:color w:val="000000" w:themeColor="text1"/>
          <w:sz w:val="32"/>
          <w:szCs w:val="32"/>
          <w14:textFill>
            <w14:solidFill>
              <w14:schemeClr w14:val="tx1"/>
            </w14:solidFill>
          </w14:textFill>
        </w:rPr>
        <w:t>发展奠定生态基础。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Times New Roman"/>
          <w:color w:val="000000" w:themeColor="text1"/>
          <w:sz w:val="32"/>
          <w:szCs w:val="32"/>
          <w14:textFill>
            <w14:solidFill>
              <w14:schemeClr w14:val="tx1"/>
            </w14:solidFill>
          </w14:textFill>
        </w:rPr>
      </w:pPr>
      <w:bookmarkStart w:id="4" w:name="_Toc119582335"/>
      <w:r>
        <w:rPr>
          <w:rFonts w:hint="eastAsia" w:ascii="仿宋" w:hAnsi="仿宋" w:eastAsia="仿宋" w:cs="Times New Roman"/>
          <w:b/>
          <w:bCs/>
          <w:color w:val="000000" w:themeColor="text1"/>
          <w:sz w:val="32"/>
          <w:szCs w:val="32"/>
          <w14:textFill>
            <w14:solidFill>
              <w14:schemeClr w14:val="tx1"/>
            </w14:solidFill>
          </w14:textFill>
        </w:rPr>
        <w:t>生态保护修复工程稳步推进，生态环境质量持续改善</w:t>
      </w:r>
      <w:bookmarkEnd w:id="4"/>
      <w:r>
        <w:rPr>
          <w:rFonts w:hint="eastAsia" w:ascii="仿宋" w:hAnsi="仿宋"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十三五</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以来，吐鲁番市三北防护林、退耕还林、防沙治沙、绿色通道造林、沙化治理、农田防护林建设、美丽乡村建设等重大生态保护与修复工程稳步实施，生态环境明显改善，初步形成以农田、道路、水渠防护林为骨架，绿洲边缘乔、灌、草防风固沙林为裙带，天然荒漠灌木林为屏障的绿洲生态防护林体系，</w:t>
      </w:r>
      <w:r>
        <w:rPr>
          <w:rFonts w:hint="eastAsia" w:ascii="仿宋" w:hAnsi="仿宋" w:eastAsia="仿宋" w:cs="Times New Roman"/>
          <w:color w:val="000000" w:themeColor="text1"/>
          <w:sz w:val="32"/>
          <w:szCs w:val="32"/>
          <w14:textFill>
            <w14:solidFill>
              <w14:schemeClr w14:val="tx1"/>
            </w14:solidFill>
          </w14:textFill>
        </w:rPr>
        <w:t>截止</w:t>
      </w:r>
      <w:r>
        <w:rPr>
          <w:rFonts w:ascii="Times New Roman" w:hAnsi="Times New Roman" w:eastAsia="仿宋" w:cs="Times New Roman"/>
          <w:color w:val="000000" w:themeColor="text1"/>
          <w:sz w:val="32"/>
          <w:szCs w:val="32"/>
          <w14:textFill>
            <w14:solidFill>
              <w14:schemeClr w14:val="tx1"/>
            </w14:solidFill>
          </w14:textFill>
        </w:rPr>
        <w:t>2020年全市森林覆盖率</w:t>
      </w:r>
      <w:r>
        <w:rPr>
          <w:rFonts w:hint="eastAsia" w:ascii="Times New Roman" w:hAnsi="Times New Roman" w:eastAsia="仿宋" w:cs="Times New Roman"/>
          <w:color w:val="000000" w:themeColor="text1"/>
          <w:sz w:val="32"/>
          <w:szCs w:val="32"/>
          <w14:textFill>
            <w14:solidFill>
              <w14:schemeClr w14:val="tx1"/>
            </w14:solidFill>
          </w14:textFill>
        </w:rPr>
        <w:t>达</w:t>
      </w:r>
      <w:r>
        <w:rPr>
          <w:rFonts w:ascii="Times New Roman" w:hAnsi="Times New Roman" w:eastAsia="仿宋" w:cs="Times New Roman"/>
          <w:color w:val="000000" w:themeColor="text1"/>
          <w:sz w:val="32"/>
          <w:szCs w:val="32"/>
          <w14:textFill>
            <w14:solidFill>
              <w14:schemeClr w14:val="tx1"/>
            </w14:solidFill>
          </w14:textFill>
        </w:rPr>
        <w:t>3.</w:t>
      </w: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lang w:val="en"/>
          <w14:textFill>
            <w14:solidFill>
              <w14:schemeClr w14:val="tx1"/>
            </w14:solidFill>
          </w14:textFill>
        </w:rPr>
        <w:t>0</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Times New Roman"/>
          <w:b/>
          <w:bCs/>
          <w:color w:val="000000" w:themeColor="text1"/>
          <w:sz w:val="32"/>
          <w:szCs w:val="32"/>
          <w14:textFill>
            <w14:solidFill>
              <w14:schemeClr w14:val="tx1"/>
            </w14:solidFill>
          </w14:textFill>
        </w:rPr>
      </w:pPr>
      <w:bookmarkStart w:id="5" w:name="_Toc119582336"/>
      <w:r>
        <w:rPr>
          <w:rFonts w:ascii="Times New Roman" w:hAnsi="Times New Roman" w:eastAsia="仿宋" w:cs="Times New Roman"/>
          <w:b/>
          <w:bCs/>
          <w:color w:val="000000" w:themeColor="text1"/>
          <w:sz w:val="32"/>
          <w:szCs w:val="32"/>
          <w14:textFill>
            <w14:solidFill>
              <w14:schemeClr w14:val="tx1"/>
            </w14:solidFill>
          </w14:textFill>
        </w:rPr>
        <w:t>国土绿化有序推进，荒漠化治理成效显著</w:t>
      </w:r>
      <w:bookmarkEnd w:id="5"/>
      <w:r>
        <w:rPr>
          <w:rFonts w:ascii="Times New Roman" w:hAnsi="Times New Roman" w:eastAsia="仿宋" w:cs="Times New Roman"/>
          <w:b/>
          <w:bCs/>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大力实施造林绿化工程，加快生态安全屏障建设，完成重点防护林建设人工造林19.5</w:t>
      </w:r>
      <w:r>
        <w:rPr>
          <w:rFonts w:ascii="Times New Roman" w:hAnsi="Times New Roman" w:eastAsia="仿宋" w:cs="Times New Roman"/>
          <w:color w:val="000000" w:themeColor="text1"/>
          <w:sz w:val="32"/>
          <w:szCs w:val="32"/>
          <w:lang w:val="en"/>
          <w14:textFill>
            <w14:solidFill>
              <w14:schemeClr w14:val="tx1"/>
            </w14:solidFill>
          </w14:textFill>
        </w:rPr>
        <w:t>0</w:t>
      </w:r>
      <w:r>
        <w:rPr>
          <w:rFonts w:ascii="Times New Roman" w:hAnsi="Times New Roman" w:eastAsia="仿宋" w:cs="Times New Roman"/>
          <w:color w:val="000000" w:themeColor="text1"/>
          <w:sz w:val="32"/>
          <w:szCs w:val="32"/>
          <w14:textFill>
            <w14:solidFill>
              <w14:schemeClr w14:val="tx1"/>
            </w14:solidFill>
          </w14:textFill>
        </w:rPr>
        <w:t>万亩，封育面积21.5</w:t>
      </w:r>
      <w:r>
        <w:rPr>
          <w:rFonts w:ascii="Times New Roman" w:hAnsi="Times New Roman" w:eastAsia="仿宋" w:cs="Times New Roman"/>
          <w:color w:val="000000" w:themeColor="text1"/>
          <w:sz w:val="32"/>
          <w:szCs w:val="32"/>
          <w:lang w:val="en"/>
          <w14:textFill>
            <w14:solidFill>
              <w14:schemeClr w14:val="tx1"/>
            </w14:solidFill>
          </w14:textFill>
        </w:rPr>
        <w:t>0</w:t>
      </w:r>
      <w:r>
        <w:rPr>
          <w:rFonts w:ascii="Times New Roman" w:hAnsi="Times New Roman" w:eastAsia="仿宋" w:cs="Times New Roman"/>
          <w:color w:val="000000" w:themeColor="text1"/>
          <w:sz w:val="32"/>
          <w:szCs w:val="32"/>
          <w14:textFill>
            <w14:solidFill>
              <w14:schemeClr w14:val="tx1"/>
            </w14:solidFill>
          </w14:textFill>
        </w:rPr>
        <w:t>万亩，沙化土地治理50.51万亩，新一轮退耕还林工程9.31万亩，G30</w:t>
      </w:r>
      <w:r>
        <w:rPr>
          <w:rFonts w:hint="eastAsia" w:ascii="Times New Roman" w:hAnsi="Times New Roman" w:eastAsia="仿宋" w:cs="Times New Roman"/>
          <w:color w:val="000000" w:themeColor="text1"/>
          <w:sz w:val="32"/>
          <w:szCs w:val="32"/>
          <w14:textFill>
            <w14:solidFill>
              <w14:schemeClr w14:val="tx1"/>
            </w14:solidFill>
          </w14:textFill>
        </w:rPr>
        <w:t>连霍高速</w:t>
      </w:r>
      <w:r>
        <w:rPr>
          <w:rFonts w:ascii="Times New Roman" w:hAnsi="Times New Roman" w:eastAsia="仿宋" w:cs="Times New Roman"/>
          <w:color w:val="000000" w:themeColor="text1"/>
          <w:sz w:val="32"/>
          <w:szCs w:val="32"/>
          <w14:textFill>
            <w14:solidFill>
              <w14:schemeClr w14:val="tx1"/>
            </w14:solidFill>
          </w14:textFill>
        </w:rPr>
        <w:t>防风生态绿化工程、洋河森林公园、吐托快速通道生态林工程、高昌</w:t>
      </w:r>
      <w:r>
        <w:rPr>
          <w:rFonts w:hint="eastAsia" w:ascii="Times New Roman" w:hAnsi="Times New Roman" w:eastAsia="仿宋" w:cs="Times New Roman"/>
          <w:color w:val="000000" w:themeColor="text1"/>
          <w:sz w:val="32"/>
          <w:szCs w:val="32"/>
          <w14:textFill>
            <w14:solidFill>
              <w14:schemeClr w14:val="tx1"/>
            </w14:solidFill>
          </w14:textFill>
        </w:rPr>
        <w:t>故</w:t>
      </w:r>
      <w:r>
        <w:rPr>
          <w:rFonts w:ascii="Times New Roman" w:hAnsi="Times New Roman" w:eastAsia="仿宋" w:cs="Times New Roman"/>
          <w:color w:val="000000" w:themeColor="text1"/>
          <w:sz w:val="32"/>
          <w:szCs w:val="32"/>
          <w14:textFill>
            <w14:solidFill>
              <w14:schemeClr w14:val="tx1"/>
            </w14:solidFill>
          </w14:textFill>
        </w:rPr>
        <w:t>城至吐峪沟旅游专线绿化工程、高昌区迎宾路绿化工程、库木塔格沙漠绿化工程、红山水库绿化工程、托克逊县沙丘绿化工程等一大批防风固沙工程相继建成，鄯善县库木塔格沙漠公园、艾丁湖沙漠公园升级为国家级沙漠公园，形成了以农田防护林为骨架，绿洲边缘乔、灌、草防风固沙林为裙带，天然荒漠灌木林为屏障的绿洲生态防护林安全体系，主要风沙危害区生态得到了有效治理，土地沙化趋势明显减缓，生态环境整体恶化的趋势得到初步控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Times New Roman"/>
          <w:color w:val="000000" w:themeColor="text1"/>
          <w:sz w:val="32"/>
          <w:szCs w:val="32"/>
          <w14:textFill>
            <w14:solidFill>
              <w14:schemeClr w14:val="tx1"/>
            </w14:solidFill>
          </w14:textFill>
        </w:rPr>
      </w:pPr>
      <w:bookmarkStart w:id="6" w:name="_Toc119582337"/>
      <w:r>
        <w:rPr>
          <w:rFonts w:ascii="Times New Roman" w:hAnsi="Times New Roman" w:eastAsia="仿宋" w:cs="Times New Roman"/>
          <w:b/>
          <w:bCs/>
          <w:color w:val="000000" w:themeColor="text1"/>
          <w:sz w:val="32"/>
          <w:szCs w:val="32"/>
          <w14:textFill>
            <w14:solidFill>
              <w14:schemeClr w14:val="tx1"/>
            </w14:solidFill>
          </w14:textFill>
        </w:rPr>
        <w:t>草原生态保护成效显现，草地退化现象得到遏制</w:t>
      </w:r>
      <w:bookmarkEnd w:id="6"/>
      <w:r>
        <w:rPr>
          <w:rFonts w:ascii="Times New Roman" w:hAnsi="Times New Roman" w:eastAsia="仿宋" w:cs="Times New Roman"/>
          <w:b/>
          <w:bCs/>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十三五”以来，吐鲁番市通过有序实施退牧还草、退耕还草、草原生态修复等工程，精准落实草原生态保护补助奖励政策，每年实施草原禁牧998万亩、实施草畜平衡144万亩，草地资源得到有效保护，草原生态系统质量显著提高，生物多样性不断提升，固碳储氮、涵养水源等生态功能明显增强。全世界最大的纯属骆驼刺草场得到有效保护，骆驼刺草原退化、沙化有效遏制</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草原自我更新修复能力得以提升，生物多样性日益丰富，草原生态持续向好。</w:t>
      </w:r>
      <w:bookmarkStart w:id="7" w:name="_Toc119582338"/>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 w:cs="Times New Roman"/>
          <w:b/>
          <w:bCs/>
          <w:color w:val="000000" w:themeColor="text1"/>
          <w:sz w:val="32"/>
          <w:szCs w:val="32"/>
          <w14:textFill>
            <w14:solidFill>
              <w14:schemeClr w14:val="tx1"/>
            </w14:solidFill>
          </w14:textFill>
        </w:rPr>
      </w:pPr>
      <w:r>
        <w:rPr>
          <w:rFonts w:hint="eastAsia" w:ascii="Times New Roman" w:hAnsi="Times New Roman" w:eastAsia="仿宋" w:cs="Times New Roman"/>
          <w:b/>
          <w:bCs/>
          <w:color w:val="000000" w:themeColor="text1"/>
          <w:sz w:val="32"/>
          <w:szCs w:val="32"/>
          <w14:textFill>
            <w14:solidFill>
              <w14:schemeClr w14:val="tx1"/>
            </w14:solidFill>
          </w14:textFill>
        </w:rPr>
        <w:t>稳步开展</w:t>
      </w:r>
      <w:r>
        <w:rPr>
          <w:rFonts w:ascii="Times New Roman" w:hAnsi="Times New Roman" w:eastAsia="仿宋" w:cs="Times New Roman"/>
          <w:b/>
          <w:bCs/>
          <w:color w:val="000000" w:themeColor="text1"/>
          <w:sz w:val="32"/>
          <w:szCs w:val="32"/>
          <w14:textFill>
            <w14:solidFill>
              <w14:schemeClr w14:val="tx1"/>
            </w14:solidFill>
          </w14:textFill>
        </w:rPr>
        <w:t>艾丁湖</w:t>
      </w:r>
      <w:r>
        <w:rPr>
          <w:rFonts w:hint="eastAsia" w:ascii="Times New Roman" w:hAnsi="Times New Roman" w:eastAsia="仿宋" w:cs="Times New Roman"/>
          <w:b/>
          <w:bCs/>
          <w:color w:val="000000" w:themeColor="text1"/>
          <w:sz w:val="32"/>
          <w:szCs w:val="32"/>
          <w14:textFill>
            <w14:solidFill>
              <w14:schemeClr w14:val="tx1"/>
            </w14:solidFill>
          </w14:textFill>
        </w:rPr>
        <w:t>湿地保护修复</w:t>
      </w:r>
      <w:r>
        <w:rPr>
          <w:rFonts w:ascii="Times New Roman" w:hAnsi="Times New Roman" w:eastAsia="仿宋" w:cs="Times New Roman"/>
          <w:b/>
          <w:bCs/>
          <w:color w:val="000000" w:themeColor="text1"/>
          <w:sz w:val="32"/>
          <w:szCs w:val="32"/>
          <w14:textFill>
            <w14:solidFill>
              <w14:schemeClr w14:val="tx1"/>
            </w14:solidFill>
          </w14:textFill>
        </w:rPr>
        <w:t>，湿地退化得到有效遏制</w:t>
      </w:r>
      <w:bookmarkEnd w:id="7"/>
      <w:r>
        <w:rPr>
          <w:rFonts w:hint="eastAsia" w:ascii="Times New Roman" w:hAnsi="Times New Roman"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“十三五”以来，吐鲁番市</w:t>
      </w:r>
      <w:r>
        <w:rPr>
          <w:rFonts w:ascii="仿宋" w:hAnsi="仿宋" w:eastAsia="仿宋" w:cs="Times New Roman"/>
          <w:color w:val="000000" w:themeColor="text1"/>
          <w:sz w:val="32"/>
          <w:szCs w:val="32"/>
          <w14:textFill>
            <w14:solidFill>
              <w14:schemeClr w14:val="tx1"/>
            </w14:solidFill>
          </w14:textFill>
        </w:rPr>
        <w:t>大力推行河</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湖长制，通过实施艾丁湖生态保护治理项目，建设大河沿、煤窑沟、柯柯亚以及现有白杨河至艾丁湖</w:t>
      </w:r>
      <w:r>
        <w:rPr>
          <w:rFonts w:ascii="Times New Roman" w:hAnsi="Times New Roman" w:eastAsia="仿宋" w:cs="Times New Roman"/>
          <w:color w:val="000000" w:themeColor="text1"/>
          <w:sz w:val="32"/>
          <w:szCs w:val="32"/>
          <w14:textFill>
            <w14:solidFill>
              <w14:schemeClr w14:val="tx1"/>
            </w14:solidFill>
          </w14:textFill>
        </w:rPr>
        <w:t>4条年补水能力不少于0.6</w:t>
      </w:r>
      <w:r>
        <w:rPr>
          <w:rFonts w:hint="eastAsia" w:ascii="Times New Roman" w:hAnsi="Times New Roman" w:eastAsia="仿宋" w:cs="Times New Roman"/>
          <w:color w:val="000000" w:themeColor="text1"/>
          <w:sz w:val="32"/>
          <w:szCs w:val="32"/>
          <w14:textFill>
            <w14:solidFill>
              <w14:schemeClr w14:val="tx1"/>
            </w14:solidFill>
          </w14:textFill>
        </w:rPr>
        <w:t>0</w:t>
      </w:r>
      <w:r>
        <w:rPr>
          <w:rFonts w:ascii="仿宋" w:hAnsi="仿宋" w:eastAsia="仿宋" w:cs="Times New Roman"/>
          <w:color w:val="000000" w:themeColor="text1"/>
          <w:sz w:val="32"/>
          <w:szCs w:val="32"/>
          <w14:textFill>
            <w14:solidFill>
              <w14:schemeClr w14:val="tx1"/>
            </w14:solidFill>
          </w14:textFill>
        </w:rPr>
        <w:t>亿立方米的应急补水通道，湖泊水面面积呈增长态势，艾丁湖湿地植被退化严重地区得到一定程度恢复，湿地萎缩和功能下降趋势得到了有效遏制。艾丁湖湿地公园升级为国家级湿地公园，</w:t>
      </w:r>
      <w:r>
        <w:rPr>
          <w:rFonts w:hint="eastAsia" w:ascii="仿宋" w:hAnsi="仿宋" w:eastAsia="仿宋" w:cs="Times New Roman"/>
          <w:color w:val="000000" w:themeColor="text1"/>
          <w:sz w:val="32"/>
          <w:szCs w:val="32"/>
          <w14:textFill>
            <w14:solidFill>
              <w14:schemeClr w14:val="tx1"/>
            </w14:solidFill>
          </w14:textFill>
        </w:rPr>
        <w:t>初步形成了以湿地公园为主的保护体系，湿地萎缩、河湖退化态势得到有效遏制，</w:t>
      </w:r>
      <w:r>
        <w:rPr>
          <w:rFonts w:ascii="仿宋" w:hAnsi="仿宋" w:eastAsia="仿宋" w:cs="Times New Roman"/>
          <w:color w:val="000000" w:themeColor="text1"/>
          <w:sz w:val="32"/>
          <w:szCs w:val="32"/>
          <w14:textFill>
            <w14:solidFill>
              <w14:schemeClr w14:val="tx1"/>
            </w14:solidFill>
          </w14:textFill>
        </w:rPr>
        <w:t>动植物生</w:t>
      </w:r>
      <w:r>
        <w:rPr>
          <w:rFonts w:hint="eastAsia" w:ascii="仿宋" w:hAnsi="仿宋" w:eastAsia="仿宋" w:cs="Times New Roman"/>
          <w:color w:val="000000" w:themeColor="text1"/>
          <w:sz w:val="32"/>
          <w:szCs w:val="32"/>
          <w14:textFill>
            <w14:solidFill>
              <w14:schemeClr w14:val="tx1"/>
            </w14:solidFill>
          </w14:textFill>
        </w:rPr>
        <w:t>活环境质量</w:t>
      </w:r>
      <w:r>
        <w:rPr>
          <w:rFonts w:ascii="仿宋" w:hAnsi="仿宋" w:eastAsia="仿宋" w:cs="Times New Roman"/>
          <w:color w:val="000000" w:themeColor="text1"/>
          <w:sz w:val="32"/>
          <w:szCs w:val="32"/>
          <w14:textFill>
            <w14:solidFill>
              <w14:schemeClr w14:val="tx1"/>
            </w14:solidFill>
          </w14:textFill>
        </w:rPr>
        <w:t>得到有效改善，生物多样性得到恢复，大雁、野鸭、</w:t>
      </w:r>
      <w:r>
        <w:rPr>
          <w:rFonts w:hint="eastAsia" w:ascii="仿宋" w:hAnsi="仿宋" w:eastAsia="仿宋" w:cs="Times New Roman"/>
          <w:color w:val="000000" w:themeColor="text1"/>
          <w:sz w:val="32"/>
          <w:szCs w:val="32"/>
          <w14:textFill>
            <w14:solidFill>
              <w14:schemeClr w14:val="tx1"/>
            </w14:solidFill>
          </w14:textFill>
        </w:rPr>
        <w:t>麻</w:t>
      </w:r>
      <w:r>
        <w:rPr>
          <w:rFonts w:ascii="仿宋" w:hAnsi="仿宋" w:eastAsia="仿宋" w:cs="Times New Roman"/>
          <w:color w:val="000000" w:themeColor="text1"/>
          <w:sz w:val="32"/>
          <w:szCs w:val="32"/>
          <w14:textFill>
            <w14:solidFill>
              <w14:schemeClr w14:val="tx1"/>
            </w14:solidFill>
          </w14:textFill>
        </w:rPr>
        <w:t>雀</w:t>
      </w:r>
      <w:r>
        <w:rPr>
          <w:rFonts w:hint="eastAsia" w:ascii="仿宋" w:hAnsi="仿宋" w:eastAsia="仿宋" w:cs="Times New Roman"/>
          <w:color w:val="000000" w:themeColor="text1"/>
          <w:sz w:val="32"/>
          <w:szCs w:val="32"/>
          <w14:textFill>
            <w14:solidFill>
              <w14:schemeClr w14:val="tx1"/>
            </w14:solidFill>
          </w14:textFill>
        </w:rPr>
        <w:t>等</w:t>
      </w:r>
      <w:r>
        <w:rPr>
          <w:rFonts w:ascii="仿宋" w:hAnsi="仿宋" w:eastAsia="仿宋" w:cs="Times New Roman"/>
          <w:color w:val="000000" w:themeColor="text1"/>
          <w:sz w:val="32"/>
          <w:szCs w:val="32"/>
          <w14:textFill>
            <w14:solidFill>
              <w14:schemeClr w14:val="tx1"/>
            </w14:solidFill>
          </w14:textFill>
        </w:rPr>
        <w:t>鸟类数量大幅增加，艾丁湖流域生态环境恶化趋势得到初步控制。</w:t>
      </w:r>
    </w:p>
    <w:p>
      <w:pPr>
        <w:pStyle w:val="37"/>
        <w:keepNext w:val="0"/>
        <w:keepLines w:val="0"/>
        <w:pageBreakBefore w:val="0"/>
        <w:widowControl w:val="0"/>
        <w:kinsoku/>
        <w:wordWrap/>
        <w:overflowPunct/>
        <w:topLinePunct w:val="0"/>
        <w:autoSpaceDE/>
        <w:autoSpaceDN/>
        <w:bidi w:val="0"/>
        <w:spacing w:line="560" w:lineRule="exact"/>
        <w:ind w:firstLine="643"/>
        <w:textAlignment w:val="auto"/>
        <w:rPr>
          <w:rFonts w:eastAsia="仿宋" w:cs="Times New Roman"/>
          <w:b/>
          <w:bCs/>
          <w:color w:val="000000" w:themeColor="text1"/>
          <w:sz w:val="32"/>
          <w:szCs w:val="32"/>
          <w14:textFill>
            <w14:solidFill>
              <w14:schemeClr w14:val="tx1"/>
            </w14:solidFill>
          </w14:textFill>
        </w:rPr>
      </w:pPr>
      <w:bookmarkStart w:id="8" w:name="_Toc119582339"/>
      <w:r>
        <w:rPr>
          <w:rFonts w:hint="eastAsia" w:eastAsia="仿宋" w:cs="Times New Roman"/>
          <w:b/>
          <w:bCs/>
          <w:color w:val="000000" w:themeColor="text1"/>
          <w:sz w:val="32"/>
          <w:szCs w:val="32"/>
          <w14:textFill>
            <w14:solidFill>
              <w14:schemeClr w14:val="tx1"/>
            </w14:solidFill>
          </w14:textFill>
        </w:rPr>
        <w:t>历史遗留废弃工矿土地治理成效显著</w:t>
      </w:r>
      <w:bookmarkEnd w:id="8"/>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“十三五”以来，吐鲁番市广泛开展</w:t>
      </w:r>
      <w:r>
        <w:rPr>
          <w:rFonts w:ascii="仿宋" w:hAnsi="仿宋" w:eastAsia="仿宋" w:cs="Times New Roman"/>
          <w:color w:val="000000" w:themeColor="text1"/>
          <w:sz w:val="32"/>
          <w:szCs w:val="32"/>
          <w14:textFill>
            <w14:solidFill>
              <w14:schemeClr w14:val="tx1"/>
            </w14:solidFill>
          </w14:textFill>
        </w:rPr>
        <w:t>矿山地质环境恢复</w:t>
      </w:r>
      <w:r>
        <w:rPr>
          <w:rFonts w:hint="eastAsia" w:ascii="仿宋" w:hAnsi="仿宋" w:eastAsia="仿宋" w:cs="Times New Roman"/>
          <w:color w:val="000000" w:themeColor="text1"/>
          <w:sz w:val="32"/>
          <w:szCs w:val="32"/>
          <w14:textFill>
            <w14:solidFill>
              <w14:schemeClr w14:val="tx1"/>
            </w14:solidFill>
          </w14:textFill>
        </w:rPr>
        <w:t>和生态综合</w:t>
      </w:r>
      <w:r>
        <w:rPr>
          <w:rFonts w:ascii="仿宋" w:hAnsi="仿宋" w:eastAsia="仿宋" w:cs="Times New Roman"/>
          <w:color w:val="000000" w:themeColor="text1"/>
          <w:sz w:val="32"/>
          <w:szCs w:val="32"/>
          <w14:textFill>
            <w14:solidFill>
              <w14:schemeClr w14:val="tx1"/>
            </w14:solidFill>
          </w14:textFill>
        </w:rPr>
        <w:t>治理，申请财政资金</w:t>
      </w:r>
      <w:r>
        <w:rPr>
          <w:rFonts w:eastAsia="仿宋" w:cs="Times New Roman"/>
          <w:color w:val="000000" w:themeColor="text1"/>
          <w:sz w:val="32"/>
          <w:szCs w:val="32"/>
          <w14:textFill>
            <w14:solidFill>
              <w14:schemeClr w14:val="tx1"/>
            </w14:solidFill>
          </w14:textFill>
        </w:rPr>
        <w:t>3740万元，完成了13座历史遗留矿山的恢复治理。筹措7285万元资金，用于功能区内矿业权清理清退和矿山地质环境治理恢复工作，完成恢复治理面积3.10平方</w:t>
      </w:r>
      <w:r>
        <w:rPr>
          <w:rFonts w:hint="eastAsia" w:eastAsia="仿宋" w:cs="Times New Roman"/>
          <w:color w:val="000000" w:themeColor="text1"/>
          <w:sz w:val="32"/>
          <w:szCs w:val="32"/>
          <w14:textFill>
            <w14:solidFill>
              <w14:schemeClr w14:val="tx1"/>
            </w14:solidFill>
          </w14:textFill>
        </w:rPr>
        <w:t>公里</w:t>
      </w:r>
      <w:r>
        <w:rPr>
          <w:rFonts w:eastAsia="仿宋" w:cs="Times New Roman"/>
          <w:color w:val="000000" w:themeColor="text1"/>
          <w:sz w:val="32"/>
          <w:szCs w:val="32"/>
          <w14:textFill>
            <w14:solidFill>
              <w14:schemeClr w14:val="tx1"/>
            </w14:solidFill>
          </w14:textFill>
        </w:rPr>
        <w:t>。督促22</w:t>
      </w:r>
      <w:r>
        <w:rPr>
          <w:rFonts w:ascii="仿宋" w:hAnsi="仿宋" w:eastAsia="仿宋" w:cs="Times New Roman"/>
          <w:color w:val="000000" w:themeColor="text1"/>
          <w:sz w:val="32"/>
          <w:szCs w:val="32"/>
          <w14:textFill>
            <w14:solidFill>
              <w14:schemeClr w14:val="tx1"/>
            </w14:solidFill>
          </w14:textFill>
        </w:rPr>
        <w:t>家政策性关闭小煤矿和砂石粘土矿业主完成矿山地质环境恢复治理工作</w:t>
      </w:r>
      <w:r>
        <w:rPr>
          <w:rFonts w:hint="eastAsia" w:ascii="仿宋" w:hAnsi="仿宋"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艾维尔沟区域6家石灰</w:t>
      </w:r>
      <w:r>
        <w:rPr>
          <w:rFonts w:hint="eastAsia" w:eastAsia="仿宋" w:cs="Times New Roman"/>
          <w:color w:val="000000" w:themeColor="text1"/>
          <w:sz w:val="32"/>
          <w:szCs w:val="32"/>
          <w14:textFill>
            <w14:solidFill>
              <w14:schemeClr w14:val="tx1"/>
            </w14:solidFill>
          </w14:textFill>
        </w:rPr>
        <w:t>岩</w:t>
      </w:r>
      <w:r>
        <w:rPr>
          <w:rFonts w:eastAsia="仿宋" w:cs="Times New Roman"/>
          <w:color w:val="000000" w:themeColor="text1"/>
          <w:sz w:val="32"/>
          <w:szCs w:val="32"/>
          <w14:textFill>
            <w14:solidFill>
              <w14:schemeClr w14:val="tx1"/>
            </w14:solidFill>
          </w14:textFill>
        </w:rPr>
        <w:t>矿开采企业制定</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一矿一治理方案</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台阶式采场</w:t>
      </w:r>
      <w:r>
        <w:rPr>
          <w:rFonts w:eastAsia="仿宋" w:cs="Times New Roman"/>
          <w:color w:val="000000" w:themeColor="text1"/>
          <w:sz w:val="32"/>
          <w:szCs w:val="32"/>
          <w14:textFill>
            <w14:solidFill>
              <w14:schemeClr w14:val="tx1"/>
            </w14:solidFill>
          </w14:textFill>
        </w:rPr>
        <w:t>得到有效规范，清理废渣小料308万吨，侵占河道所有生产设备均已拆除，河道内98万</w:t>
      </w:r>
      <w:r>
        <w:rPr>
          <w:rFonts w:hint="eastAsia" w:eastAsia="仿宋" w:cs="Times New Roman"/>
          <w:color w:val="000000" w:themeColor="text1"/>
          <w:sz w:val="32"/>
          <w:szCs w:val="32"/>
          <w14:textFill>
            <w14:solidFill>
              <w14:schemeClr w14:val="tx1"/>
            </w14:solidFill>
          </w14:textFill>
        </w:rPr>
        <w:t>立</w:t>
      </w:r>
      <w:r>
        <w:rPr>
          <w:rFonts w:eastAsia="仿宋" w:cs="Times New Roman"/>
          <w:color w:val="000000" w:themeColor="text1"/>
          <w:sz w:val="32"/>
          <w:szCs w:val="32"/>
          <w14:textFill>
            <w14:solidFill>
              <w14:schemeClr w14:val="tx1"/>
            </w14:solidFill>
          </w14:textFill>
        </w:rPr>
        <w:t>方</w:t>
      </w:r>
      <w:r>
        <w:rPr>
          <w:rFonts w:hint="eastAsia" w:eastAsia="仿宋" w:cs="Times New Roman"/>
          <w:color w:val="000000" w:themeColor="text1"/>
          <w:sz w:val="32"/>
          <w:szCs w:val="32"/>
          <w14:textFill>
            <w14:solidFill>
              <w14:schemeClr w14:val="tx1"/>
            </w14:solidFill>
          </w14:textFill>
        </w:rPr>
        <w:t>米</w:t>
      </w:r>
      <w:r>
        <w:rPr>
          <w:rFonts w:eastAsia="仿宋" w:cs="Times New Roman"/>
          <w:color w:val="000000" w:themeColor="text1"/>
          <w:sz w:val="32"/>
          <w:szCs w:val="32"/>
          <w14:textFill>
            <w14:solidFill>
              <w14:schemeClr w14:val="tx1"/>
            </w14:solidFill>
          </w14:textFill>
        </w:rPr>
        <w:t>废渣全部清理完成</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随着矿山地质环境治理和保护力度不断加大，</w:t>
      </w:r>
      <w:r>
        <w:rPr>
          <w:rFonts w:hint="eastAsia" w:eastAsia="仿宋" w:cs="Times New Roman"/>
          <w:color w:val="000000" w:themeColor="text1"/>
          <w:sz w:val="32"/>
          <w:szCs w:val="32"/>
          <w14:textFill>
            <w14:solidFill>
              <w14:schemeClr w14:val="tx1"/>
            </w14:solidFill>
          </w14:textFill>
        </w:rPr>
        <w:t>矿山地质环境持续改</w:t>
      </w:r>
      <w:r>
        <w:rPr>
          <w:rFonts w:hint="eastAsia" w:ascii="仿宋" w:hAnsi="仿宋" w:eastAsia="仿宋" w:cs="Times New Roman"/>
          <w:color w:val="000000" w:themeColor="text1"/>
          <w:sz w:val="32"/>
          <w:szCs w:val="32"/>
          <w14:textFill>
            <w14:solidFill>
              <w14:schemeClr w14:val="tx1"/>
            </w14:solidFill>
          </w14:textFill>
        </w:rPr>
        <w:t>善，</w:t>
      </w:r>
      <w:r>
        <w:rPr>
          <w:rFonts w:ascii="仿宋" w:hAnsi="仿宋" w:eastAsia="仿宋" w:cs="Times New Roman"/>
          <w:color w:val="000000" w:themeColor="text1"/>
          <w:sz w:val="32"/>
          <w:szCs w:val="32"/>
          <w14:textFill>
            <w14:solidFill>
              <w14:schemeClr w14:val="tx1"/>
            </w14:solidFill>
          </w14:textFill>
        </w:rPr>
        <w:t>历史遗留矿山地质环境问题得到了有效治理</w:t>
      </w:r>
      <w:r>
        <w:rPr>
          <w:rFonts w:hint="eastAsia" w:ascii="仿宋" w:hAnsi="仿宋" w:eastAsia="仿宋" w:cs="Times New Roman"/>
          <w:color w:val="000000" w:themeColor="text1"/>
          <w:sz w:val="32"/>
          <w:szCs w:val="32"/>
          <w14:textFill>
            <w14:solidFill>
              <w14:schemeClr w14:val="tx1"/>
            </w14:solidFill>
          </w14:textFill>
        </w:rPr>
        <w:t>。</w:t>
      </w:r>
    </w:p>
    <w:p>
      <w:pPr>
        <w:pStyle w:val="37"/>
        <w:keepNext w:val="0"/>
        <w:keepLines w:val="0"/>
        <w:pageBreakBefore w:val="0"/>
        <w:widowControl w:val="0"/>
        <w:kinsoku/>
        <w:wordWrap/>
        <w:overflowPunct/>
        <w:topLinePunct w:val="0"/>
        <w:autoSpaceDE/>
        <w:autoSpaceDN/>
        <w:bidi w:val="0"/>
        <w:spacing w:line="560" w:lineRule="exact"/>
        <w:ind w:firstLine="643"/>
        <w:textAlignment w:val="auto"/>
        <w:rPr>
          <w:rFonts w:eastAsia="仿宋" w:cs="Times New Roman"/>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中央环境保护督察反馈意见整改成效显著。</w:t>
      </w:r>
      <w:r>
        <w:rPr>
          <w:rFonts w:hint="eastAsia" w:ascii="仿宋" w:hAnsi="仿宋" w:eastAsia="仿宋" w:cs="Times New Roman"/>
          <w:color w:val="000000" w:themeColor="text1"/>
          <w:sz w:val="32"/>
          <w:szCs w:val="32"/>
          <w14:textFill>
            <w14:solidFill>
              <w14:schemeClr w14:val="tx1"/>
            </w14:solidFill>
          </w14:textFill>
        </w:rPr>
        <w:t>吐鲁番市委、市政府始终把整改工作作为重要政治任务、重大民生工程和重大发展问题来对待，纳入“一把手”工程部署、安排、推动、落实。主要领导坚持“四个亲自”，即对整改工作亲自部署、重大问题亲自过问、重要环节亲自协调、重要案件亲自督办，明确“决不做为发展而影响生态环境的事”，坚持做到“三个不放过”，即坚持问题不解决不放过、整改不到位不放过、整改效果不好不放过，从严从实从细从紧抓好整改工作。通过坚强有力整改，</w:t>
      </w:r>
      <w:r>
        <w:rPr>
          <w:rFonts w:eastAsia="仿宋" w:cs="Times New Roman"/>
          <w:color w:val="000000" w:themeColor="text1"/>
          <w:sz w:val="32"/>
          <w:szCs w:val="32"/>
          <w14:textFill>
            <w14:solidFill>
              <w14:schemeClr w14:val="tx1"/>
            </w14:solidFill>
          </w14:textFill>
        </w:rPr>
        <w:t>18项整改任务均按期保质完成整改并通过自治区</w:t>
      </w:r>
      <w:r>
        <w:rPr>
          <w:rFonts w:hint="eastAsia" w:eastAsia="仿宋" w:cs="Times New Roman"/>
          <w:color w:val="000000" w:themeColor="text1"/>
          <w:sz w:val="32"/>
          <w:szCs w:val="32"/>
          <w14:textFill>
            <w14:solidFill>
              <w14:schemeClr w14:val="tx1"/>
            </w14:solidFill>
          </w14:textFill>
        </w:rPr>
        <w:t>验收</w:t>
      </w:r>
      <w:r>
        <w:rPr>
          <w:rFonts w:eastAsia="仿宋" w:cs="Times New Roman"/>
          <w:color w:val="000000" w:themeColor="text1"/>
          <w:sz w:val="32"/>
          <w:szCs w:val="32"/>
          <w14:textFill>
            <w14:solidFill>
              <w14:schemeClr w14:val="tx1"/>
            </w14:solidFill>
          </w14:textFill>
        </w:rPr>
        <w:t>备案。</w:t>
      </w:r>
    </w:p>
    <w:p>
      <w:pPr>
        <w:pStyle w:val="3"/>
        <w:pageBreakBefore w:val="0"/>
        <w:widowControl w:val="0"/>
        <w:kinsoku/>
        <w:wordWrap/>
        <w:overflowPunct/>
        <w:topLinePunct w:val="0"/>
        <w:autoSpaceDE/>
        <w:autoSpaceDN/>
        <w:bidi w:val="0"/>
        <w:spacing w:before="120" w:beforeLines="50" w:after="120" w:afterLines="50" w:line="560" w:lineRule="exact"/>
        <w:jc w:val="lef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9" w:name="_Toc125907419"/>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二、国土空间生态修复存在问题</w:t>
      </w:r>
      <w:bookmarkEnd w:id="9"/>
    </w:p>
    <w:p>
      <w:pPr>
        <w:keepNext w:val="0"/>
        <w:keepLines w:val="0"/>
        <w:pageBreakBefore w:val="0"/>
        <w:widowControl w:val="0"/>
        <w:kinsoku/>
        <w:wordWrap/>
        <w:overflowPunct/>
        <w:topLinePunct w:val="0"/>
        <w:autoSpaceDE/>
        <w:autoSpaceDN/>
        <w:bidi w:val="0"/>
        <w:spacing w:line="560" w:lineRule="exact"/>
        <w:ind w:firstLine="641"/>
        <w:textAlignment w:val="auto"/>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受自然条件约束，吐鲁番市自然生态系统敏感脆弱，水资源供需矛盾突出，森林、草原、湿地等生态系统功能不强，大量受损自然生态系统亟待恢复。经济发展带来的生态保护压力依然较大，科学绿化、水土保持、防沙治沙、草地修复、土地整治、矿山治理等工程缺乏系统性、整体性、长效性，导致资源配置效率不高。</w:t>
      </w:r>
    </w:p>
    <w:p>
      <w:pPr>
        <w:pStyle w:val="37"/>
        <w:keepNext w:val="0"/>
        <w:keepLines w:val="0"/>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10" w:name="_Toc119582347"/>
      <w:r>
        <w:rPr>
          <w:rFonts w:hint="eastAsia" w:eastAsia="仿宋" w:cs="Times New Roman"/>
          <w:b/>
          <w:bCs/>
          <w:color w:val="000000" w:themeColor="text1"/>
          <w:sz w:val="32"/>
          <w:szCs w:val="32"/>
          <w14:textFill>
            <w14:solidFill>
              <w14:schemeClr w14:val="tx1"/>
            </w14:solidFill>
          </w14:textFill>
        </w:rPr>
        <w:t>生态环境本底脆弱，三类空间质量有待进一步提升</w:t>
      </w:r>
      <w:bookmarkEnd w:id="10"/>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气候干热少雨，生态环境本底脆弱，长期的水土资源开发活动，使吐鲁番市各类生态系统受到不同程度的干扰和破坏，生态环境形势依然严峻。生态空间质量有待提升，主要表现在山区天然林、平原河谷林及荒漠林局地退化问题突出，草地退化形势依然严峻，以轻度、中度退化为主，河湖湿地萎缩导致湿地功能不同程度退化，水资源匮乏造成湿地补水困难，局部地区土地沙化问题依然严重，主要分布在吐鲁番盆地南缘与固定、半固定沙丘活化带相接壤的绿洲边缘地区；农业空间生态功能有所退化，主要体现在农田防护林树种单一、功能退化，地膜残留给农田土壤健康带来风险，农村人居环境“短板”突出；城镇空间品质尚需进一步提升，主要表现在原生生态风貌趋于消失，城镇空间破碎化程度增加。国土空间开发保护格局有待进一步优化，三类空间冲突问题有待统筹解决，过渡带生态系统受损，废弃工矿土地生态问题突出。</w:t>
      </w:r>
    </w:p>
    <w:p>
      <w:pPr>
        <w:pStyle w:val="37"/>
        <w:keepNext w:val="0"/>
        <w:keepLines w:val="0"/>
        <w:pageBreakBefore w:val="0"/>
        <w:widowControl w:val="0"/>
        <w:kinsoku/>
        <w:wordWrap/>
        <w:overflowPunct/>
        <w:topLinePunct w:val="0"/>
        <w:autoSpaceDE/>
        <w:autoSpaceDN/>
        <w:bidi w:val="0"/>
        <w:spacing w:line="560" w:lineRule="exact"/>
        <w:ind w:firstLine="643"/>
        <w:textAlignment w:val="auto"/>
        <w:rPr>
          <w:rFonts w:cs="Times New Roman"/>
          <w:color w:val="000000" w:themeColor="text1"/>
          <w:shd w:val="clear" w:color="auto" w:fill="FFFFFF"/>
          <w14:textFill>
            <w14:solidFill>
              <w14:schemeClr w14:val="tx1"/>
            </w14:solidFill>
          </w14:textFill>
        </w:rPr>
      </w:pPr>
      <w:bookmarkStart w:id="11" w:name="_Toc119582348"/>
      <w:r>
        <w:rPr>
          <w:rFonts w:hint="eastAsia" w:eastAsia="仿宋" w:cs="Times New Roman"/>
          <w:b/>
          <w:bCs/>
          <w:color w:val="000000" w:themeColor="text1"/>
          <w:sz w:val="32"/>
          <w:szCs w:val="32"/>
          <w14:textFill>
            <w14:solidFill>
              <w14:schemeClr w14:val="tx1"/>
            </w14:solidFill>
          </w14:textFill>
        </w:rPr>
        <w:t>水资源瓶颈问题突出，生态保护修复压力依旧较大</w:t>
      </w:r>
      <w:bookmarkEnd w:id="11"/>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吐鲁番市生态本底弱、生态方面历史欠账较多，生态保护修复任务十分艰巨。水资源匮乏、生态系统脆弱、资源环境承载力低、生态系统自然恢复力弱，是吐鲁番市生态保护修复必须面临的先天障碍。近几十年水土开发，绿洲规模持续扩大，导致水资源过度利用，荒漠灌木林植被退化、河湖湿地萎缩、生物多样性下降，彻底扭转这种趋势需要一个长期过程。</w:t>
      </w:r>
      <w:bookmarkStart w:id="12" w:name="_Hlk68795781"/>
      <w:r>
        <w:rPr>
          <w:rFonts w:hint="eastAsia" w:ascii="仿宋" w:hAnsi="仿宋" w:eastAsia="仿宋" w:cs="Times New Roman"/>
          <w:color w:val="000000" w:themeColor="text1"/>
          <w:sz w:val="32"/>
          <w:szCs w:val="32"/>
          <w14:textFill>
            <w14:solidFill>
              <w14:schemeClr w14:val="tx1"/>
            </w14:solidFill>
          </w14:textFill>
        </w:rPr>
        <w:t>吐鲁番市是极度缺水地区，属于资源性、结构性和工程性缺水并存地区。</w:t>
      </w:r>
      <w:r>
        <w:rPr>
          <w:rFonts w:eastAsia="仿宋" w:cs="Times New Roman"/>
          <w:color w:val="000000" w:themeColor="text1"/>
          <w:sz w:val="32"/>
          <w:szCs w:val="32"/>
          <w14:textFill>
            <w14:solidFill>
              <w14:schemeClr w14:val="tx1"/>
            </w14:solidFill>
          </w14:textFill>
        </w:rPr>
        <w:t>现状全域用水量已超过水资源承载能力，用水结构中87%为农业用水，存在地表水过度利用，地下水超采利用，水资源可持续利用面临挑战，艾丁湖的水面维持任务艰巨。未来气候变化将加剧冰川来水波动，如何保障生态用水是吐鲁番市生态保护修复的重要挑战。</w:t>
      </w:r>
    </w:p>
    <w:bookmarkEnd w:id="12"/>
    <w:p>
      <w:pPr>
        <w:pStyle w:val="37"/>
        <w:keepNext w:val="0"/>
        <w:keepLines w:val="0"/>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13" w:name="_Toc119582349"/>
      <w:r>
        <w:rPr>
          <w:rFonts w:hint="eastAsia" w:eastAsia="仿宋" w:cs="Times New Roman"/>
          <w:b/>
          <w:bCs/>
          <w:color w:val="000000" w:themeColor="text1"/>
          <w:sz w:val="32"/>
          <w:szCs w:val="32"/>
          <w14:textFill>
            <w14:solidFill>
              <w14:schemeClr w14:val="tx1"/>
            </w14:solidFill>
          </w14:textFill>
        </w:rPr>
        <w:t>“山水”理念落实有待进一步实践，生态系统保护修复系统性仍需进一步加强</w:t>
      </w:r>
      <w:bookmarkEnd w:id="13"/>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落实整体保护、系统修复、综合治理的理念和要求还有待在实践中探索，权责对等的管理体制和协调联动机制尚未建立，统筹生态保护修复仍旧面临较大压力和阻力，部分生态工程建设目标、建设内容和治理措施缺乏系统性、综合性，生态保护修复体系和生态保护修复现代化能力建设有待进一步加强。</w:t>
      </w:r>
    </w:p>
    <w:p>
      <w:pPr>
        <w:pStyle w:val="37"/>
        <w:keepNext w:val="0"/>
        <w:keepLines w:val="0"/>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14" w:name="_Toc119582350"/>
      <w:r>
        <w:rPr>
          <w:rFonts w:hint="eastAsia" w:eastAsia="仿宋" w:cs="Times New Roman"/>
          <w:b/>
          <w:bCs/>
          <w:color w:val="000000" w:themeColor="text1"/>
          <w:sz w:val="32"/>
          <w:szCs w:val="32"/>
          <w14:textFill>
            <w14:solidFill>
              <w14:schemeClr w14:val="tx1"/>
            </w14:solidFill>
          </w14:textFill>
        </w:rPr>
        <w:t>矿产资源开发区域生态功能下降明显，历史遗留废弃工矿土地整治有待优化治理</w:t>
      </w:r>
      <w:bookmarkEnd w:id="14"/>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资源富集区与许多重要生态功能单元存在一定程度的空间重叠，部分矿区位于自然保护区、生态保护红线内，部分金、铜、铁矿等资源分布在罗布泊野骆驼国家级自然保护区内，挤占野生动物生存空间，导致生态空间破碎化加剧，矿产资源开发区域生态功能下降明显。历史遗留废弃工矿土地点多且散，由于资金紧张，勘查程度及治理能力有限，市场化方式推进矿山生态修复路径尚未建立。部分矿山企业存在重开发、轻保护，矿山地质环境保护与土地复垦责任义务履行不到位。</w:t>
      </w:r>
    </w:p>
    <w:p>
      <w:pPr>
        <w:pStyle w:val="37"/>
        <w:keepNext w:val="0"/>
        <w:keepLines w:val="0"/>
        <w:pageBreakBefore w:val="0"/>
        <w:widowControl w:val="0"/>
        <w:kinsoku/>
        <w:wordWrap/>
        <w:overflowPunct/>
        <w:topLinePunct w:val="0"/>
        <w:autoSpaceDE/>
        <w:autoSpaceDN/>
        <w:bidi w:val="0"/>
        <w:spacing w:line="560" w:lineRule="exact"/>
        <w:ind w:firstLine="643"/>
        <w:textAlignment w:val="auto"/>
        <w:rPr>
          <w:rFonts w:ascii="仿宋" w:hAnsi="仿宋" w:eastAsia="仿宋" w:cs="Times New Roman"/>
          <w:color w:val="000000" w:themeColor="text1"/>
          <w:sz w:val="32"/>
          <w:szCs w:val="32"/>
          <w14:textFill>
            <w14:solidFill>
              <w14:schemeClr w14:val="tx1"/>
            </w14:solidFill>
          </w14:textFill>
        </w:rPr>
      </w:pPr>
      <w:bookmarkStart w:id="15" w:name="_Toc119582351"/>
      <w:r>
        <w:rPr>
          <w:rFonts w:hint="eastAsia" w:eastAsia="仿宋" w:cs="Times New Roman"/>
          <w:b/>
          <w:bCs/>
          <w:color w:val="000000" w:themeColor="text1"/>
          <w:sz w:val="32"/>
          <w:szCs w:val="32"/>
          <w14:textFill>
            <w14:solidFill>
              <w14:schemeClr w14:val="tx1"/>
            </w14:solidFill>
          </w14:textFill>
        </w:rPr>
        <w:t>多元化投入机制尚未建立，科技支撑能力不足</w:t>
      </w:r>
      <w:bookmarkEnd w:id="15"/>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生态保护和修复具有公益性、外部性特征，加之生态补偿机制不够完善，生态产品价值实现缺乏有效途径，政府主导、企业主责、社会参与的生态保护修复体系尚未健全，相关责任主体内生动力不足，缺乏激励社会资本投入生态保护修复的有效政策和措施，资金多元化投入机制尚未建立。极端干旱区生态保护修复的理论研究、标准体系、技术研发、科研成果转化等科技支撑方面相对薄弱，理论研究与实践存在一定程度的脱节现象，关键技术和措施的系统性不足。科技服务平台和服务体系不健全，支撑生态保护修复的调查、监测、评价、预警等科技保障能力不足，部门间信息共享机制尚未完全建立。</w:t>
      </w:r>
    </w:p>
    <w:p>
      <w:pPr>
        <w:pStyle w:val="3"/>
        <w:pageBreakBefore w:val="0"/>
        <w:widowControl w:val="0"/>
        <w:kinsoku/>
        <w:wordWrap/>
        <w:overflowPunct/>
        <w:topLinePunct w:val="0"/>
        <w:autoSpaceDE/>
        <w:autoSpaceDN/>
        <w:bidi w:val="0"/>
        <w:spacing w:before="120" w:beforeLines="50" w:after="120" w:afterLines="50" w:line="560" w:lineRule="exact"/>
        <w:jc w:val="lef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16" w:name="_Toc125907420"/>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三、国土空间生态修复面临机遇</w:t>
      </w:r>
      <w:bookmarkEnd w:id="16"/>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hd w:val="clear" w:color="auto" w:fill="FFFFFF"/>
          <w14:textFill>
            <w14:solidFill>
              <w14:schemeClr w14:val="tx1"/>
            </w14:solidFill>
          </w14:textFill>
        </w:rPr>
      </w:pPr>
      <w:bookmarkStart w:id="17" w:name="_Toc119582341"/>
      <w:r>
        <w:rPr>
          <w:rFonts w:eastAsia="仿宋" w:cs="Times New Roman"/>
          <w:b/>
          <w:bCs/>
          <w:color w:val="000000" w:themeColor="text1"/>
          <w:sz w:val="32"/>
          <w:szCs w:val="32"/>
          <w14:textFill>
            <w14:solidFill>
              <w14:schemeClr w14:val="tx1"/>
            </w14:solidFill>
          </w14:textFill>
        </w:rPr>
        <w:t>习近平生态文明思想深入</w:t>
      </w:r>
      <w:r>
        <w:rPr>
          <w:rFonts w:hint="eastAsia" w:eastAsia="仿宋" w:cs="Times New Roman"/>
          <w:b/>
          <w:bCs/>
          <w:color w:val="000000" w:themeColor="text1"/>
          <w:sz w:val="32"/>
          <w:szCs w:val="32"/>
          <w14:textFill>
            <w14:solidFill>
              <w14:schemeClr w14:val="tx1"/>
            </w14:solidFill>
          </w14:textFill>
        </w:rPr>
        <w:t>民</w:t>
      </w:r>
      <w:r>
        <w:rPr>
          <w:rFonts w:eastAsia="仿宋" w:cs="Times New Roman"/>
          <w:b/>
          <w:bCs/>
          <w:color w:val="000000" w:themeColor="text1"/>
          <w:sz w:val="32"/>
          <w:szCs w:val="32"/>
          <w14:textFill>
            <w14:solidFill>
              <w14:schemeClr w14:val="tx1"/>
            </w14:solidFill>
          </w14:textFill>
        </w:rPr>
        <w:t>心，为生态保护修复事业开启</w:t>
      </w:r>
      <w:r>
        <w:rPr>
          <w:rFonts w:hint="eastAsia" w:eastAsia="仿宋" w:cs="Times New Roman"/>
          <w:b/>
          <w:bCs/>
          <w:color w:val="000000" w:themeColor="text1"/>
          <w:sz w:val="32"/>
          <w:szCs w:val="32"/>
          <w14:textFill>
            <w14:solidFill>
              <w14:schemeClr w14:val="tx1"/>
            </w14:solidFill>
          </w14:textFill>
        </w:rPr>
        <w:t>了全新</w:t>
      </w:r>
      <w:r>
        <w:rPr>
          <w:rFonts w:eastAsia="仿宋" w:cs="Times New Roman"/>
          <w:b/>
          <w:bCs/>
          <w:color w:val="000000" w:themeColor="text1"/>
          <w:sz w:val="32"/>
          <w:szCs w:val="32"/>
          <w14:textFill>
            <w14:solidFill>
              <w14:schemeClr w14:val="tx1"/>
            </w14:solidFill>
          </w14:textFill>
        </w:rPr>
        <w:t>空间</w:t>
      </w:r>
      <w:bookmarkEnd w:id="17"/>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党的十八大以来国家推进生态文明建设的力度不断加大，</w:t>
      </w:r>
      <w:r>
        <w:rPr>
          <w:rFonts w:hint="eastAsia" w:ascii="仿宋" w:hAnsi="仿宋" w:eastAsia="仿宋" w:cs="Times New Roman"/>
          <w:color w:val="000000" w:themeColor="text1"/>
          <w:sz w:val="32"/>
          <w:szCs w:val="32"/>
          <w14:textFill>
            <w14:solidFill>
              <w14:schemeClr w14:val="tx1"/>
            </w14:solidFill>
          </w14:textFill>
        </w:rPr>
        <w:t>党的十九大，将“建设美丽中国”提升到人类命运共同体理念的高度，将建设生态文明提升到“中华民族永续发展的千年大计”的高度。</w:t>
      </w:r>
      <w:r>
        <w:rPr>
          <w:rFonts w:ascii="仿宋" w:hAnsi="仿宋" w:eastAsia="仿宋" w:cs="Times New Roman"/>
          <w:color w:val="000000" w:themeColor="text1"/>
          <w:sz w:val="32"/>
          <w:szCs w:val="32"/>
          <w14:textFill>
            <w14:solidFill>
              <w14:schemeClr w14:val="tx1"/>
            </w14:solidFill>
          </w14:textFill>
        </w:rPr>
        <w:t>十三届全国人大一次会议第三次全体会议通过</w:t>
      </w:r>
      <w:r>
        <w:rPr>
          <w:rFonts w:hint="eastAsia" w:ascii="仿宋" w:hAnsi="仿宋" w:eastAsia="仿宋" w:cs="Times New Roman"/>
          <w:color w:val="000000" w:themeColor="text1"/>
          <w:sz w:val="32"/>
          <w:szCs w:val="32"/>
          <w14:textFill>
            <w14:solidFill>
              <w14:schemeClr w14:val="tx1"/>
            </w14:solidFill>
          </w14:textFill>
        </w:rPr>
        <w:t>的</w:t>
      </w:r>
      <w:r>
        <w:rPr>
          <w:rFonts w:ascii="仿宋" w:hAnsi="仿宋" w:eastAsia="仿宋" w:cs="Times New Roman"/>
          <w:color w:val="000000" w:themeColor="text1"/>
          <w:sz w:val="32"/>
          <w:szCs w:val="32"/>
          <w14:textFill>
            <w14:solidFill>
              <w14:schemeClr w14:val="tx1"/>
            </w14:solidFill>
          </w14:textFill>
        </w:rPr>
        <w:t>《中华人民共和国宪法修正案》，把“生态文明建设”写入宪法，成为国家纲领。</w:t>
      </w:r>
      <w:r>
        <w:rPr>
          <w:rFonts w:hint="eastAsia" w:ascii="仿宋" w:hAnsi="仿宋" w:eastAsia="仿宋" w:cs="Times New Roman"/>
          <w:color w:val="000000" w:themeColor="text1"/>
          <w:sz w:val="32"/>
          <w:szCs w:val="32"/>
          <w14:textFill>
            <w14:solidFill>
              <w14:schemeClr w14:val="tx1"/>
            </w14:solidFill>
          </w14:textFill>
        </w:rPr>
        <w:t>在第三次中央新疆工作座谈会上，习近平总书记指出，要坚持绿水青山就是金山银山的理念，坚决守住生态保护红线，统筹开展治沙治水和森林草原保护工作，让大美新疆天更蓝、山更绿、水更清。</w:t>
      </w:r>
      <w:r>
        <w:rPr>
          <w:rFonts w:ascii="仿宋" w:hAnsi="仿宋" w:eastAsia="仿宋" w:cs="Times New Roman"/>
          <w:color w:val="000000" w:themeColor="text1"/>
          <w:sz w:val="32"/>
          <w:szCs w:val="32"/>
          <w14:textFill>
            <w14:solidFill>
              <w14:schemeClr w14:val="tx1"/>
            </w14:solidFill>
          </w14:textFill>
        </w:rPr>
        <w:t>为“十四五”期间乃至更长时期内新疆坚定不移推进生态环境保护、建设美丽新疆提供了明确的方向和强有力的保障</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在习近平生态文明思想引领下，“绿水青山就是金山银山</w:t>
      </w:r>
      <w:r>
        <w:rPr>
          <w:rFonts w:hint="eastAsia" w:ascii="仿宋" w:hAnsi="仿宋" w:eastAsia="仿宋" w:cs="Times New Roman"/>
          <w:color w:val="000000" w:themeColor="text1"/>
          <w:sz w:val="32"/>
          <w:szCs w:val="32"/>
          <w14:textFill>
            <w14:solidFill>
              <w14:schemeClr w14:val="tx1"/>
            </w14:solidFill>
          </w14:textFill>
        </w:rPr>
        <w:t>、冰天雪地也是金山银山</w:t>
      </w:r>
      <w:r>
        <w:rPr>
          <w:rFonts w:ascii="仿宋" w:hAnsi="仿宋" w:eastAsia="仿宋" w:cs="Times New Roman"/>
          <w:color w:val="000000" w:themeColor="text1"/>
          <w:sz w:val="32"/>
          <w:szCs w:val="32"/>
          <w14:textFill>
            <w14:solidFill>
              <w14:schemeClr w14:val="tx1"/>
            </w14:solidFill>
          </w14:textFill>
        </w:rPr>
        <w:t>”的绿色发展观，“良好生态环境是最普惠的民生福祉”的民生观，</w:t>
      </w:r>
      <w:r>
        <w:rPr>
          <w:rFonts w:hint="eastAsia" w:ascii="仿宋" w:hAnsi="仿宋" w:eastAsia="仿宋" w:cs="Times New Roman"/>
          <w:color w:val="000000" w:themeColor="text1"/>
          <w:sz w:val="32"/>
          <w:szCs w:val="32"/>
          <w14:textFill>
            <w14:solidFill>
              <w14:schemeClr w14:val="tx1"/>
            </w14:solidFill>
          </w14:textFill>
        </w:rPr>
        <w:t>“尊重自然、顺应自然、保护自然”的科学观，</w:t>
      </w:r>
      <w:r>
        <w:rPr>
          <w:rFonts w:ascii="仿宋" w:hAnsi="仿宋" w:eastAsia="仿宋" w:cs="Times New Roman"/>
          <w:color w:val="000000" w:themeColor="text1"/>
          <w:sz w:val="32"/>
          <w:szCs w:val="32"/>
          <w14:textFill>
            <w14:solidFill>
              <w14:schemeClr w14:val="tx1"/>
            </w14:solidFill>
          </w14:textFill>
        </w:rPr>
        <w:t>为</w:t>
      </w:r>
      <w:r>
        <w:rPr>
          <w:rFonts w:hint="eastAsia" w:ascii="仿宋" w:hAnsi="仿宋" w:eastAsia="仿宋" w:cs="Times New Roman"/>
          <w:color w:val="000000" w:themeColor="text1"/>
          <w:sz w:val="32"/>
          <w:szCs w:val="32"/>
          <w14:textFill>
            <w14:solidFill>
              <w14:schemeClr w14:val="tx1"/>
            </w14:solidFill>
          </w14:textFill>
        </w:rPr>
        <w:t>新时代吐鲁番市</w:t>
      </w:r>
      <w:r>
        <w:rPr>
          <w:rFonts w:ascii="仿宋" w:hAnsi="仿宋" w:eastAsia="仿宋" w:cs="Times New Roman"/>
          <w:color w:val="000000" w:themeColor="text1"/>
          <w:sz w:val="32"/>
          <w:szCs w:val="32"/>
          <w14:textFill>
            <w14:solidFill>
              <w14:schemeClr w14:val="tx1"/>
            </w14:solidFill>
          </w14:textFill>
        </w:rPr>
        <w:t>国土空间生态修复指明了</w:t>
      </w:r>
      <w:r>
        <w:rPr>
          <w:rFonts w:hint="eastAsia" w:ascii="仿宋" w:hAnsi="仿宋" w:eastAsia="仿宋" w:cs="Times New Roman"/>
          <w:color w:val="000000" w:themeColor="text1"/>
          <w:sz w:val="32"/>
          <w:szCs w:val="32"/>
          <w14:textFill>
            <w14:solidFill>
              <w14:schemeClr w14:val="tx1"/>
            </w14:solidFill>
          </w14:textFill>
        </w:rPr>
        <w:t>新</w:t>
      </w:r>
      <w:r>
        <w:rPr>
          <w:rFonts w:ascii="仿宋" w:hAnsi="仿宋" w:eastAsia="仿宋" w:cs="Times New Roman"/>
          <w:color w:val="000000" w:themeColor="text1"/>
          <w:sz w:val="32"/>
          <w:szCs w:val="32"/>
          <w14:textFill>
            <w14:solidFill>
              <w14:schemeClr w14:val="tx1"/>
            </w14:solidFill>
          </w14:textFill>
        </w:rPr>
        <w:t>方向、开启了新空间。</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hd w:val="clear" w:color="auto" w:fill="FFFFFF"/>
          <w14:textFill>
            <w14:solidFill>
              <w14:schemeClr w14:val="tx1"/>
            </w14:solidFill>
          </w14:textFill>
        </w:rPr>
      </w:pPr>
      <w:bookmarkStart w:id="18" w:name="_Toc119582342"/>
      <w:r>
        <w:rPr>
          <w:rFonts w:eastAsia="仿宋" w:cs="Times New Roman"/>
          <w:b/>
          <w:bCs/>
          <w:color w:val="000000" w:themeColor="text1"/>
          <w:sz w:val="32"/>
          <w:szCs w:val="32"/>
          <w14:textFill>
            <w14:solidFill>
              <w14:schemeClr w14:val="tx1"/>
            </w14:solidFill>
          </w14:textFill>
        </w:rPr>
        <w:t>生态文明建设体制改革取得重大突破，为生态</w:t>
      </w:r>
      <w:r>
        <w:rPr>
          <w:rFonts w:hint="eastAsia" w:eastAsia="仿宋" w:cs="Times New Roman"/>
          <w:b/>
          <w:bCs/>
          <w:color w:val="000000" w:themeColor="text1"/>
          <w:sz w:val="32"/>
          <w:szCs w:val="32"/>
          <w14:textFill>
            <w14:solidFill>
              <w14:schemeClr w14:val="tx1"/>
            </w14:solidFill>
          </w14:textFill>
        </w:rPr>
        <w:t>保护</w:t>
      </w:r>
      <w:r>
        <w:rPr>
          <w:rFonts w:eastAsia="仿宋" w:cs="Times New Roman"/>
          <w:b/>
          <w:bCs/>
          <w:color w:val="000000" w:themeColor="text1"/>
          <w:sz w:val="32"/>
          <w:szCs w:val="32"/>
          <w14:textFill>
            <w14:solidFill>
              <w14:schemeClr w14:val="tx1"/>
            </w14:solidFill>
          </w14:textFill>
        </w:rPr>
        <w:t>修复事业提供了制度基础</w:t>
      </w:r>
      <w:bookmarkEnd w:id="18"/>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生态文明体制机制改革取得重大突破，党的十八大以来，我国生态文明建设领域全面深化改革取得重大突破，顶层设计和制度体系加快形成，生态文明建设系统性、整体性、协同性显著增强，重要领域和关键环节改革取得突破性进展。党的十九大对加快生态文明体制改革、建设美丽中国作出系统安排，部署实施了一系列重大改革措施。党的十九届四中全会将坚持和完善生态文明制度体系作为坚持和完善中国特色社会主义制度的重要组成部分。近年来，我国大力健全自然资源资产产权制度，健全国土空间开发保护制度，建立国土空间规划体系，落实资源有偿使用制度，实行资源总量管理和全面节约制度。</w:t>
      </w:r>
      <w:r>
        <w:rPr>
          <w:rFonts w:ascii="仿宋" w:hAnsi="仿宋" w:eastAsia="仿宋" w:cs="Times New Roman"/>
          <w:color w:val="000000" w:themeColor="text1"/>
          <w:sz w:val="32"/>
          <w:szCs w:val="32"/>
          <w14:textFill>
            <w14:solidFill>
              <w14:schemeClr w14:val="tx1"/>
            </w14:solidFill>
          </w14:textFill>
        </w:rPr>
        <w:t>经过长期生态文明建设实践，由自然资源资产产权制度、国土空间开发保护制度、</w:t>
      </w:r>
      <w:r>
        <w:rPr>
          <w:rFonts w:hint="eastAsia" w:ascii="仿宋" w:hAnsi="仿宋" w:eastAsia="仿宋" w:cs="Times New Roman"/>
          <w:color w:val="000000" w:themeColor="text1"/>
          <w:sz w:val="32"/>
          <w:szCs w:val="32"/>
          <w14:textFill>
            <w14:solidFill>
              <w14:schemeClr w14:val="tx1"/>
            </w14:solidFill>
          </w14:textFill>
        </w:rPr>
        <w:t>自然</w:t>
      </w:r>
      <w:r>
        <w:rPr>
          <w:rFonts w:ascii="仿宋" w:hAnsi="仿宋" w:eastAsia="仿宋" w:cs="Times New Roman"/>
          <w:color w:val="000000" w:themeColor="text1"/>
          <w:sz w:val="32"/>
          <w:szCs w:val="32"/>
          <w14:textFill>
            <w14:solidFill>
              <w14:schemeClr w14:val="tx1"/>
            </w14:solidFill>
          </w14:textFill>
        </w:rPr>
        <w:t>资源有偿使用</w:t>
      </w:r>
      <w:r>
        <w:rPr>
          <w:rFonts w:hint="eastAsia" w:ascii="仿宋" w:hAnsi="仿宋" w:eastAsia="仿宋" w:cs="Times New Roman"/>
          <w:color w:val="000000" w:themeColor="text1"/>
          <w:sz w:val="32"/>
          <w:szCs w:val="32"/>
          <w14:textFill>
            <w14:solidFill>
              <w14:schemeClr w14:val="tx1"/>
            </w14:solidFill>
          </w14:textFill>
        </w:rPr>
        <w:t>制度、</w:t>
      </w:r>
      <w:r>
        <w:rPr>
          <w:rFonts w:ascii="仿宋" w:hAnsi="仿宋" w:eastAsia="仿宋" w:cs="Times New Roman"/>
          <w:color w:val="000000" w:themeColor="text1"/>
          <w:sz w:val="32"/>
          <w:szCs w:val="32"/>
          <w14:textFill>
            <w14:solidFill>
              <w14:schemeClr w14:val="tx1"/>
            </w14:solidFill>
          </w14:textFill>
        </w:rPr>
        <w:t>生态</w:t>
      </w:r>
      <w:r>
        <w:rPr>
          <w:rFonts w:hint="eastAsia" w:ascii="仿宋" w:hAnsi="仿宋" w:eastAsia="仿宋" w:cs="Times New Roman"/>
          <w:color w:val="000000" w:themeColor="text1"/>
          <w:sz w:val="32"/>
          <w:szCs w:val="32"/>
          <w14:textFill>
            <w14:solidFill>
              <w14:schemeClr w14:val="tx1"/>
            </w14:solidFill>
          </w14:textFill>
        </w:rPr>
        <w:t>保护</w:t>
      </w:r>
      <w:r>
        <w:rPr>
          <w:rFonts w:ascii="仿宋" w:hAnsi="仿宋" w:eastAsia="仿宋" w:cs="Times New Roman"/>
          <w:color w:val="000000" w:themeColor="text1"/>
          <w:sz w:val="32"/>
          <w:szCs w:val="32"/>
          <w14:textFill>
            <w14:solidFill>
              <w14:schemeClr w14:val="tx1"/>
            </w14:solidFill>
          </w14:textFill>
        </w:rPr>
        <w:t>补偿制度、生态文明绩效评价考核和责任追究制度等</w:t>
      </w:r>
      <w:r>
        <w:rPr>
          <w:rFonts w:hint="eastAsia" w:ascii="仿宋" w:hAnsi="仿宋" w:eastAsia="仿宋" w:cs="Times New Roman"/>
          <w:color w:val="000000" w:themeColor="text1"/>
          <w:sz w:val="32"/>
          <w:szCs w:val="32"/>
          <w14:textFill>
            <w14:solidFill>
              <w14:schemeClr w14:val="tx1"/>
            </w14:solidFill>
          </w14:textFill>
        </w:rPr>
        <w:t>构成的</w:t>
      </w:r>
      <w:r>
        <w:rPr>
          <w:rFonts w:ascii="仿宋" w:hAnsi="仿宋" w:eastAsia="仿宋" w:cs="Times New Roman"/>
          <w:color w:val="000000" w:themeColor="text1"/>
          <w:sz w:val="32"/>
          <w:szCs w:val="32"/>
          <w14:textFill>
            <w14:solidFill>
              <w14:schemeClr w14:val="tx1"/>
            </w14:solidFill>
          </w14:textFill>
        </w:rPr>
        <w:t>生态文明体制</w:t>
      </w:r>
      <w:r>
        <w:rPr>
          <w:rFonts w:hint="eastAsia" w:ascii="仿宋" w:hAnsi="仿宋" w:eastAsia="仿宋" w:cs="Times New Roman"/>
          <w:color w:val="000000" w:themeColor="text1"/>
          <w:sz w:val="32"/>
          <w:szCs w:val="32"/>
          <w14:textFill>
            <w14:solidFill>
              <w14:schemeClr w14:val="tx1"/>
            </w14:solidFill>
          </w14:textFill>
        </w:rPr>
        <w:t>正在逐步</w:t>
      </w:r>
      <w:r>
        <w:rPr>
          <w:rFonts w:ascii="仿宋" w:hAnsi="仿宋" w:eastAsia="仿宋" w:cs="Times New Roman"/>
          <w:color w:val="000000" w:themeColor="text1"/>
          <w:sz w:val="32"/>
          <w:szCs w:val="32"/>
          <w14:textFill>
            <w14:solidFill>
              <w14:schemeClr w14:val="tx1"/>
            </w14:solidFill>
          </w14:textFill>
        </w:rPr>
        <w:t>构建</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为新时</w:t>
      </w:r>
      <w:r>
        <w:rPr>
          <w:rFonts w:hint="eastAsia" w:ascii="仿宋" w:hAnsi="仿宋" w:eastAsia="仿宋" w:cs="Times New Roman"/>
          <w:color w:val="000000" w:themeColor="text1"/>
          <w:sz w:val="32"/>
          <w:szCs w:val="32"/>
          <w14:textFill>
            <w14:solidFill>
              <w14:schemeClr w14:val="tx1"/>
            </w14:solidFill>
          </w14:textFill>
        </w:rPr>
        <w:t>代吐鲁番市</w:t>
      </w:r>
      <w:r>
        <w:rPr>
          <w:rFonts w:ascii="仿宋" w:hAnsi="仿宋" w:eastAsia="仿宋" w:cs="Times New Roman"/>
          <w:color w:val="000000" w:themeColor="text1"/>
          <w:sz w:val="32"/>
          <w:szCs w:val="32"/>
          <w14:textFill>
            <w14:solidFill>
              <w14:schemeClr w14:val="tx1"/>
            </w14:solidFill>
          </w14:textFill>
        </w:rPr>
        <w:t>国土空间生态修复</w:t>
      </w:r>
      <w:r>
        <w:rPr>
          <w:rFonts w:hint="eastAsia" w:ascii="仿宋" w:hAnsi="仿宋" w:eastAsia="仿宋" w:cs="Times New Roman"/>
          <w:color w:val="000000" w:themeColor="text1"/>
          <w:sz w:val="32"/>
          <w:szCs w:val="32"/>
          <w14:textFill>
            <w14:solidFill>
              <w14:schemeClr w14:val="tx1"/>
            </w14:solidFill>
          </w14:textFill>
        </w:rPr>
        <w:t>奠定了制度基础</w:t>
      </w:r>
      <w:r>
        <w:rPr>
          <w:rFonts w:ascii="仿宋" w:hAnsi="仿宋" w:eastAsia="仿宋" w:cs="Times New Roman"/>
          <w:color w:val="000000" w:themeColor="text1"/>
          <w:sz w:val="32"/>
          <w:szCs w:val="32"/>
          <w14:textFill>
            <w14:solidFill>
              <w14:schemeClr w14:val="tx1"/>
            </w14:solidFill>
          </w14:textFill>
        </w:rPr>
        <w:t>。</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hd w:val="clear" w:color="auto" w:fill="FFFFFF"/>
          <w14:textFill>
            <w14:solidFill>
              <w14:schemeClr w14:val="tx1"/>
            </w14:solidFill>
          </w14:textFill>
        </w:rPr>
      </w:pPr>
      <w:bookmarkStart w:id="19" w:name="_Toc119582343"/>
      <w:r>
        <w:rPr>
          <w:rFonts w:eastAsia="仿宋" w:cs="Times New Roman"/>
          <w:b/>
          <w:bCs/>
          <w:color w:val="000000" w:themeColor="text1"/>
          <w:sz w:val="32"/>
          <w:szCs w:val="32"/>
          <w14:textFill>
            <w14:solidFill>
              <w14:schemeClr w14:val="tx1"/>
            </w14:solidFill>
          </w14:textFill>
        </w:rPr>
        <w:t>新时代党的治疆方略落地生根，为生态保护修复事业提供了基本遵循</w:t>
      </w:r>
      <w:bookmarkEnd w:id="19"/>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新疆</w:t>
      </w:r>
      <w:r>
        <w:rPr>
          <w:rFonts w:hint="eastAsia" w:ascii="仿宋" w:hAnsi="仿宋" w:eastAsia="仿宋" w:cs="Times New Roman"/>
          <w:color w:val="000000" w:themeColor="text1"/>
          <w:sz w:val="32"/>
          <w:szCs w:val="32"/>
          <w14:textFill>
            <w14:solidFill>
              <w14:schemeClr w14:val="tx1"/>
            </w14:solidFill>
          </w14:textFill>
        </w:rPr>
        <w:t>是“丝绸之路经济带”建设的核心区，</w:t>
      </w:r>
      <w:r>
        <w:rPr>
          <w:rFonts w:ascii="仿宋" w:hAnsi="仿宋" w:eastAsia="仿宋" w:cs="Times New Roman"/>
          <w:color w:val="000000" w:themeColor="text1"/>
          <w:sz w:val="32"/>
          <w:szCs w:val="32"/>
          <w14:textFill>
            <w14:solidFill>
              <w14:schemeClr w14:val="tx1"/>
            </w14:solidFill>
          </w14:textFill>
        </w:rPr>
        <w:t>战略地位特殊、面临问题特殊，做好新疆工作意义重大。</w:t>
      </w:r>
      <w:r>
        <w:rPr>
          <w:rFonts w:hint="eastAsia" w:ascii="仿宋" w:hAnsi="仿宋" w:eastAsia="仿宋" w:cs="Times New Roman"/>
          <w:color w:val="000000" w:themeColor="text1"/>
          <w:sz w:val="32"/>
          <w:szCs w:val="32"/>
          <w14:textFill>
            <w14:solidFill>
              <w14:schemeClr w14:val="tx1"/>
            </w14:solidFill>
          </w14:textFill>
        </w:rPr>
        <w:t>“一带一路”</w:t>
      </w:r>
      <w:r>
        <w:rPr>
          <w:rFonts w:hint="eastAsia" w:ascii="仿宋" w:hAnsi="仿宋" w:eastAsia="仿宋" w:cs="Times New Roman"/>
          <w:color w:val="000000" w:themeColor="text1"/>
          <w:sz w:val="32"/>
          <w:szCs w:val="32"/>
          <w:lang w:eastAsia="zh-CN"/>
          <w14:textFill>
            <w14:solidFill>
              <w14:schemeClr w14:val="tx1"/>
            </w14:solidFill>
          </w14:textFill>
        </w:rPr>
        <w:t>倡议</w:t>
      </w:r>
      <w:r>
        <w:rPr>
          <w:rFonts w:hint="eastAsia" w:ascii="仿宋" w:hAnsi="仿宋" w:eastAsia="仿宋" w:cs="Times New Roman"/>
          <w:color w:val="000000" w:themeColor="text1"/>
          <w:sz w:val="32"/>
          <w:szCs w:val="32"/>
          <w14:textFill>
            <w14:solidFill>
              <w14:schemeClr w14:val="tx1"/>
            </w14:solidFill>
          </w14:textFill>
        </w:rPr>
        <w:t>提出伊始，就将生态保护置于重要位置。</w:t>
      </w:r>
      <w:r>
        <w:rPr>
          <w:rFonts w:ascii="仿宋" w:hAnsi="仿宋" w:eastAsia="仿宋" w:cs="Times New Roman"/>
          <w:color w:val="000000" w:themeColor="text1"/>
          <w:sz w:val="32"/>
          <w:szCs w:val="32"/>
          <w:u w:val="none"/>
          <w14:textFill>
            <w14:solidFill>
              <w14:schemeClr w14:val="tx1"/>
            </w14:solidFill>
          </w14:textFill>
        </w:rPr>
        <w:t>《全国重要生态系统保护和修复重大工程总体规划</w:t>
      </w:r>
      <w:r>
        <w:rPr>
          <w:rFonts w:eastAsia="仿宋" w:cs="Times New Roman"/>
          <w:color w:val="000000" w:themeColor="text1"/>
          <w:sz w:val="32"/>
          <w:szCs w:val="32"/>
          <w:u w:val="none"/>
          <w14:textFill>
            <w14:solidFill>
              <w14:schemeClr w14:val="tx1"/>
            </w14:solidFill>
          </w14:textFill>
        </w:rPr>
        <w:t>（2021</w:t>
      </w:r>
      <w:r>
        <w:rPr>
          <w:rFonts w:hint="eastAsia" w:eastAsia="仿宋" w:cs="Times New Roman"/>
          <w:color w:val="000000" w:themeColor="text1"/>
          <w:sz w:val="32"/>
          <w:szCs w:val="32"/>
          <w:u w:val="none"/>
          <w14:textFill>
            <w14:solidFill>
              <w14:schemeClr w14:val="tx1"/>
            </w14:solidFill>
          </w14:textFill>
        </w:rPr>
        <w:t>-</w:t>
      </w:r>
      <w:r>
        <w:rPr>
          <w:rFonts w:eastAsia="仿宋" w:cs="Times New Roman"/>
          <w:color w:val="000000" w:themeColor="text1"/>
          <w:sz w:val="32"/>
          <w:szCs w:val="32"/>
          <w:u w:val="none"/>
          <w14:textFill>
            <w14:solidFill>
              <w14:schemeClr w14:val="tx1"/>
            </w14:solidFill>
          </w14:textFill>
        </w:rPr>
        <w:t>2035年）</w:t>
      </w:r>
      <w:r>
        <w:rPr>
          <w:rFonts w:ascii="仿宋" w:hAnsi="仿宋" w:eastAsia="仿宋" w:cs="Times New Roman"/>
          <w:color w:val="000000" w:themeColor="text1"/>
          <w:sz w:val="32"/>
          <w:szCs w:val="32"/>
          <w:u w:val="none"/>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确立了以“</w:t>
      </w:r>
      <w:r>
        <w:rPr>
          <w:rFonts w:hint="eastAsia" w:ascii="仿宋" w:hAnsi="仿宋" w:eastAsia="仿宋" w:cs="Times New Roman"/>
          <w:color w:val="000000" w:themeColor="text1"/>
          <w:sz w:val="32"/>
          <w:szCs w:val="32"/>
          <w14:textFill>
            <w14:solidFill>
              <w14:schemeClr w14:val="tx1"/>
            </w14:solidFill>
          </w14:textFill>
        </w:rPr>
        <w:t>三区四带</w:t>
      </w:r>
      <w:r>
        <w:rPr>
          <w:rFonts w:ascii="仿宋" w:hAnsi="仿宋" w:eastAsia="仿宋" w:cs="Times New Roman"/>
          <w:color w:val="000000" w:themeColor="text1"/>
          <w:sz w:val="32"/>
          <w:szCs w:val="32"/>
          <w14:textFill>
            <w14:solidFill>
              <w14:schemeClr w14:val="tx1"/>
            </w14:solidFill>
          </w14:textFill>
        </w:rPr>
        <w:t>”为骨架的国家生态安全格局</w:t>
      </w:r>
      <w:r>
        <w:rPr>
          <w:rFonts w:hint="eastAsia" w:ascii="仿宋" w:hAnsi="仿宋" w:eastAsia="仿宋" w:cs="Times New Roman"/>
          <w:color w:val="000000" w:themeColor="text1"/>
          <w:sz w:val="32"/>
          <w:szCs w:val="32"/>
          <w14:textFill>
            <w14:solidFill>
              <w14:schemeClr w14:val="tx1"/>
            </w14:solidFill>
          </w14:textFill>
        </w:rPr>
        <w:t>，将新疆纳入</w:t>
      </w:r>
      <w:r>
        <w:rPr>
          <w:rFonts w:ascii="仿宋" w:hAnsi="仿宋" w:eastAsia="仿宋" w:cs="Times New Roman"/>
          <w:color w:val="000000" w:themeColor="text1"/>
          <w:sz w:val="32"/>
          <w:szCs w:val="32"/>
          <w14:textFill>
            <w14:solidFill>
              <w14:schemeClr w14:val="tx1"/>
            </w14:solidFill>
          </w14:textFill>
        </w:rPr>
        <w:t>“北方防沙带”</w:t>
      </w:r>
      <w:r>
        <w:rPr>
          <w:rFonts w:hint="eastAsia" w:ascii="仿宋" w:hAnsi="仿宋" w:eastAsia="仿宋" w:cs="Times New Roman"/>
          <w:color w:val="000000" w:themeColor="text1"/>
          <w:sz w:val="32"/>
          <w:szCs w:val="32"/>
          <w14:textFill>
            <w14:solidFill>
              <w14:schemeClr w14:val="tx1"/>
            </w14:solidFill>
          </w14:textFill>
        </w:rPr>
        <w:t>和“青藏高原生态屏障区”，吐鲁番市位于我国北方防沙带重要生态功能区。“吐鲁番市废弃工矿地土地整治项目”已列入自治区重点生态保护修复治理资金支持项目库，开展历史遗留废弃工矿土地整治</w:t>
      </w:r>
      <w:r>
        <w:rPr>
          <w:rFonts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将</w:t>
      </w:r>
      <w:r>
        <w:rPr>
          <w:rFonts w:ascii="仿宋" w:hAnsi="仿宋" w:eastAsia="仿宋" w:cs="Times New Roman"/>
          <w:color w:val="000000" w:themeColor="text1"/>
          <w:sz w:val="32"/>
          <w:szCs w:val="32"/>
          <w14:textFill>
            <w14:solidFill>
              <w14:schemeClr w14:val="tx1"/>
            </w14:solidFill>
          </w14:textFill>
        </w:rPr>
        <w:t>有力推动</w:t>
      </w: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实现国土空间整体保护、系统修复、综合治理</w:t>
      </w:r>
      <w:r>
        <w:rPr>
          <w:rFonts w:hint="eastAsia" w:ascii="仿宋" w:hAnsi="仿宋" w:eastAsia="仿宋" w:cs="Times New Roman"/>
          <w:color w:val="000000" w:themeColor="text1"/>
          <w:sz w:val="32"/>
          <w:szCs w:val="32"/>
          <w14:textFill>
            <w14:solidFill>
              <w14:schemeClr w14:val="tx1"/>
            </w14:solidFill>
          </w14:textFill>
        </w:rPr>
        <w:t>。</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hd w:val="clear" w:color="auto" w:fill="FFFFFF"/>
          <w14:textFill>
            <w14:solidFill>
              <w14:schemeClr w14:val="tx1"/>
            </w14:solidFill>
          </w14:textFill>
        </w:rPr>
      </w:pPr>
      <w:bookmarkStart w:id="20" w:name="_Toc119582344"/>
      <w:r>
        <w:rPr>
          <w:rFonts w:hint="eastAsia" w:eastAsia="仿宋" w:cs="Times New Roman"/>
          <w:b/>
          <w:bCs/>
          <w:color w:val="000000" w:themeColor="text1"/>
          <w:sz w:val="32"/>
          <w:szCs w:val="32"/>
          <w14:textFill>
            <w14:solidFill>
              <w14:schemeClr w14:val="tx1"/>
            </w14:solidFill>
          </w14:textFill>
        </w:rPr>
        <w:t>山水林田湖草沙一体化保护修复系统治理</w:t>
      </w:r>
      <w:r>
        <w:rPr>
          <w:rFonts w:eastAsia="仿宋" w:cs="Times New Roman"/>
          <w:b/>
          <w:bCs/>
          <w:color w:val="000000" w:themeColor="text1"/>
          <w:sz w:val="32"/>
          <w:szCs w:val="32"/>
          <w14:textFill>
            <w14:solidFill>
              <w14:schemeClr w14:val="tx1"/>
            </w14:solidFill>
          </w14:textFill>
        </w:rPr>
        <w:t>，</w:t>
      </w:r>
      <w:r>
        <w:rPr>
          <w:rFonts w:hint="eastAsia" w:eastAsia="仿宋" w:cs="Times New Roman"/>
          <w:b/>
          <w:bCs/>
          <w:color w:val="000000" w:themeColor="text1"/>
          <w:sz w:val="32"/>
          <w:szCs w:val="32"/>
          <w14:textFill>
            <w14:solidFill>
              <w14:schemeClr w14:val="tx1"/>
            </w14:solidFill>
          </w14:textFill>
        </w:rPr>
        <w:t>各项试点工作顺利推进</w:t>
      </w:r>
      <w:r>
        <w:rPr>
          <w:rFonts w:eastAsia="仿宋" w:cs="Times New Roman"/>
          <w:b/>
          <w:bCs/>
          <w:color w:val="000000" w:themeColor="text1"/>
          <w:sz w:val="32"/>
          <w:szCs w:val="32"/>
          <w14:textFill>
            <w14:solidFill>
              <w14:schemeClr w14:val="tx1"/>
            </w14:solidFill>
          </w14:textFill>
        </w:rPr>
        <w:t>为生态保护修复事业提供了</w:t>
      </w:r>
      <w:r>
        <w:rPr>
          <w:rFonts w:hint="eastAsia" w:eastAsia="仿宋" w:cs="Times New Roman"/>
          <w:b/>
          <w:bCs/>
          <w:color w:val="000000" w:themeColor="text1"/>
          <w:sz w:val="32"/>
          <w:szCs w:val="32"/>
          <w14:textFill>
            <w14:solidFill>
              <w14:schemeClr w14:val="tx1"/>
            </w14:solidFill>
          </w14:textFill>
        </w:rPr>
        <w:t>新的发展理念</w:t>
      </w:r>
      <w:bookmarkEnd w:id="20"/>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党的十九大报告提出了“统筹山水林田湖草治理理念”。</w:t>
      </w:r>
      <w:r>
        <w:rPr>
          <w:rFonts w:ascii="仿宋" w:hAnsi="仿宋" w:eastAsia="仿宋" w:cs="Times New Roman"/>
          <w:color w:val="000000" w:themeColor="text1"/>
          <w:sz w:val="32"/>
          <w:szCs w:val="32"/>
          <w14:textFill>
            <w14:solidFill>
              <w14:schemeClr w14:val="tx1"/>
            </w14:solidFill>
          </w14:textFill>
        </w:rPr>
        <w:t>构建山水林田湖草</w:t>
      </w:r>
      <w:r>
        <w:rPr>
          <w:rFonts w:hint="eastAsia" w:ascii="仿宋" w:hAnsi="仿宋" w:eastAsia="仿宋" w:cs="Times New Roman"/>
          <w:color w:val="000000" w:themeColor="text1"/>
          <w:sz w:val="32"/>
          <w:szCs w:val="32"/>
          <w14:textFill>
            <w14:solidFill>
              <w14:schemeClr w14:val="tx1"/>
            </w14:solidFill>
          </w14:textFill>
        </w:rPr>
        <w:t>沙</w:t>
      </w:r>
      <w:r>
        <w:rPr>
          <w:rFonts w:ascii="仿宋" w:hAnsi="仿宋" w:eastAsia="仿宋" w:cs="Times New Roman"/>
          <w:color w:val="000000" w:themeColor="text1"/>
          <w:sz w:val="32"/>
          <w:szCs w:val="32"/>
          <w14:textFill>
            <w14:solidFill>
              <w14:schemeClr w14:val="tx1"/>
            </w14:solidFill>
          </w14:textFill>
        </w:rPr>
        <w:t>生命共同体，是践行习近平生态文明思想的重要举措。</w:t>
      </w:r>
      <w:r>
        <w:rPr>
          <w:rFonts w:hint="eastAsia" w:ascii="仿宋" w:hAnsi="仿宋" w:eastAsia="仿宋" w:cs="Times New Roman"/>
          <w:color w:val="000000" w:themeColor="text1"/>
          <w:sz w:val="32"/>
          <w:szCs w:val="32"/>
          <w14:textFill>
            <w14:solidFill>
              <w14:schemeClr w14:val="tx1"/>
            </w14:solidFill>
          </w14:textFill>
        </w:rPr>
        <w:t>为贯彻落实党的十九届五中全会精神和第三次中央新疆座谈会会议精神，统筹推进对我国生态安全具有重要保障作用、生态收益范围较广的重点区域的山水林田湖草沙综合治理、系统治理、源头治理，监督管理，以生态文明高地建设为中心，扎实推进山水林田湖草沙系统治理、综合治理、源头治理，以突出对国家和自治区重大战略的生态支撑，为今后吐鲁番市生态保护修复工作提供了新的发展理念。立足吐鲁番市生态本底和实际情况，将</w:t>
      </w:r>
      <w:r>
        <w:rPr>
          <w:rFonts w:ascii="仿宋" w:hAnsi="仿宋" w:eastAsia="仿宋" w:cs="Times New Roman"/>
          <w:color w:val="000000" w:themeColor="text1"/>
          <w:sz w:val="32"/>
          <w:szCs w:val="32"/>
          <w14:textFill>
            <w14:solidFill>
              <w14:schemeClr w14:val="tx1"/>
            </w14:solidFill>
          </w14:textFill>
        </w:rPr>
        <w:t>生态文明建设放在</w:t>
      </w:r>
      <w:r>
        <w:rPr>
          <w:rFonts w:hint="eastAsia" w:ascii="仿宋" w:hAnsi="仿宋" w:eastAsia="仿宋" w:cs="Times New Roman"/>
          <w:color w:val="000000" w:themeColor="text1"/>
          <w:sz w:val="32"/>
          <w:szCs w:val="32"/>
          <w14:textFill>
            <w14:solidFill>
              <w14:schemeClr w14:val="tx1"/>
            </w14:solidFill>
          </w14:textFill>
        </w:rPr>
        <w:t>巩固</w:t>
      </w:r>
      <w:r>
        <w:rPr>
          <w:rFonts w:ascii="仿宋" w:hAnsi="仿宋" w:eastAsia="仿宋" w:cs="Times New Roman"/>
          <w:color w:val="000000" w:themeColor="text1"/>
          <w:sz w:val="32"/>
          <w:szCs w:val="32"/>
          <w14:textFill>
            <w14:solidFill>
              <w14:schemeClr w14:val="tx1"/>
            </w14:solidFill>
          </w14:textFill>
        </w:rPr>
        <w:t>经济社会发展和长治久安的</w:t>
      </w:r>
      <w:r>
        <w:rPr>
          <w:rFonts w:hint="eastAsia" w:ascii="仿宋" w:hAnsi="仿宋" w:eastAsia="仿宋" w:cs="Times New Roman"/>
          <w:color w:val="000000" w:themeColor="text1"/>
          <w:sz w:val="32"/>
          <w:szCs w:val="32"/>
          <w14:textFill>
            <w14:solidFill>
              <w14:schemeClr w14:val="tx1"/>
            </w14:solidFill>
          </w14:textFill>
        </w:rPr>
        <w:t>工作总目标的</w:t>
      </w:r>
      <w:r>
        <w:rPr>
          <w:rFonts w:ascii="仿宋" w:hAnsi="仿宋" w:eastAsia="仿宋" w:cs="Times New Roman"/>
          <w:color w:val="000000" w:themeColor="text1"/>
          <w:sz w:val="32"/>
          <w:szCs w:val="32"/>
          <w14:textFill>
            <w14:solidFill>
              <w14:schemeClr w14:val="tx1"/>
            </w14:solidFill>
          </w14:textFill>
        </w:rPr>
        <w:t>突出战略位置，</w:t>
      </w:r>
      <w:r>
        <w:rPr>
          <w:rFonts w:hint="eastAsia" w:ascii="仿宋" w:hAnsi="仿宋" w:eastAsia="仿宋" w:cs="Times New Roman"/>
          <w:color w:val="000000" w:themeColor="text1"/>
          <w:sz w:val="32"/>
          <w:szCs w:val="32"/>
          <w14:textFill>
            <w14:solidFill>
              <w14:schemeClr w14:val="tx1"/>
            </w14:solidFill>
          </w14:textFill>
        </w:rPr>
        <w:t>通过实施一批生态保护和修复工程，</w:t>
      </w:r>
      <w:r>
        <w:rPr>
          <w:rFonts w:ascii="仿宋" w:hAnsi="仿宋" w:eastAsia="仿宋" w:cs="Times New Roman"/>
          <w:color w:val="000000" w:themeColor="text1"/>
          <w:sz w:val="32"/>
          <w:szCs w:val="32"/>
          <w14:textFill>
            <w14:solidFill>
              <w14:schemeClr w14:val="tx1"/>
            </w14:solidFill>
          </w14:textFill>
        </w:rPr>
        <w:t>加快山水林田湖草沙一体化保护和修复，实现</w:t>
      </w:r>
      <w:r>
        <w:rPr>
          <w:rFonts w:hint="eastAsia" w:ascii="仿宋" w:hAnsi="仿宋" w:eastAsia="仿宋" w:cs="Times New Roman"/>
          <w:color w:val="000000" w:themeColor="text1"/>
          <w:sz w:val="32"/>
          <w:szCs w:val="32"/>
          <w14:textFill>
            <w14:solidFill>
              <w14:schemeClr w14:val="tx1"/>
            </w14:solidFill>
          </w14:textFill>
        </w:rPr>
        <w:t>生态系统的</w:t>
      </w:r>
      <w:r>
        <w:rPr>
          <w:rFonts w:ascii="仿宋" w:hAnsi="仿宋" w:eastAsia="仿宋" w:cs="Times New Roman"/>
          <w:color w:val="000000" w:themeColor="text1"/>
          <w:sz w:val="32"/>
          <w:szCs w:val="32"/>
          <w14:textFill>
            <w14:solidFill>
              <w14:schemeClr w14:val="tx1"/>
            </w14:solidFill>
          </w14:textFill>
        </w:rPr>
        <w:t>格局优化、系统稳定、功能提升，</w:t>
      </w:r>
      <w:r>
        <w:rPr>
          <w:rFonts w:hint="eastAsia" w:ascii="仿宋" w:hAnsi="仿宋" w:eastAsia="仿宋" w:cs="Times New Roman"/>
          <w:color w:val="000000" w:themeColor="text1"/>
          <w:sz w:val="32"/>
          <w:szCs w:val="32"/>
          <w14:textFill>
            <w14:solidFill>
              <w14:schemeClr w14:val="tx1"/>
            </w14:solidFill>
          </w14:textFill>
        </w:rPr>
        <w:t>并将其</w:t>
      </w:r>
      <w:r>
        <w:rPr>
          <w:rFonts w:ascii="仿宋" w:hAnsi="仿宋" w:eastAsia="仿宋" w:cs="Times New Roman"/>
          <w:color w:val="000000" w:themeColor="text1"/>
          <w:sz w:val="32"/>
          <w:szCs w:val="32"/>
          <w14:textFill>
            <w14:solidFill>
              <w14:schemeClr w14:val="tx1"/>
            </w14:solidFill>
          </w14:textFill>
        </w:rPr>
        <w:t>贯穿于全过程，</w:t>
      </w:r>
      <w:r>
        <w:rPr>
          <w:rFonts w:hint="eastAsia" w:ascii="仿宋" w:hAnsi="仿宋" w:eastAsia="仿宋" w:cs="Times New Roman"/>
          <w:color w:val="000000" w:themeColor="text1"/>
          <w:sz w:val="32"/>
          <w:szCs w:val="32"/>
          <w14:textFill>
            <w14:solidFill>
              <w14:schemeClr w14:val="tx1"/>
            </w14:solidFill>
          </w14:textFill>
        </w:rPr>
        <w:t>符合当前</w:t>
      </w:r>
      <w:r>
        <w:rPr>
          <w:rFonts w:ascii="仿宋" w:hAnsi="仿宋" w:eastAsia="仿宋" w:cs="Times New Roman"/>
          <w:color w:val="000000" w:themeColor="text1"/>
          <w:sz w:val="32"/>
          <w:szCs w:val="32"/>
          <w14:textFill>
            <w14:solidFill>
              <w14:schemeClr w14:val="tx1"/>
            </w14:solidFill>
          </w14:textFill>
        </w:rPr>
        <w:t>实际</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是</w:t>
      </w:r>
      <w:r>
        <w:rPr>
          <w:rFonts w:hint="eastAsia" w:ascii="仿宋" w:hAnsi="仿宋" w:eastAsia="仿宋" w:cs="Times New Roman"/>
          <w:color w:val="000000" w:themeColor="text1"/>
          <w:sz w:val="32"/>
          <w:szCs w:val="32"/>
          <w14:textFill>
            <w14:solidFill>
              <w14:schemeClr w14:val="tx1"/>
            </w14:solidFill>
          </w14:textFill>
        </w:rPr>
        <w:t>完整准确贯彻落实新时代党的治疆方略、</w:t>
      </w:r>
      <w:r>
        <w:rPr>
          <w:rFonts w:ascii="仿宋" w:hAnsi="仿宋" w:eastAsia="仿宋" w:cs="Times New Roman"/>
          <w:color w:val="000000" w:themeColor="text1"/>
          <w:sz w:val="32"/>
          <w:szCs w:val="32"/>
          <w14:textFill>
            <w14:solidFill>
              <w14:schemeClr w14:val="tx1"/>
            </w14:solidFill>
          </w14:textFill>
        </w:rPr>
        <w:t>筑牢西部生态安全屏障的切实体现。</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ascii="仿宋" w:hAnsi="仿宋" w:eastAsia="仿宋"/>
          <w:color w:val="000000" w:themeColor="text1"/>
          <w:sz w:val="32"/>
          <w:szCs w:val="30"/>
          <w14:textFill>
            <w14:solidFill>
              <w14:schemeClr w14:val="tx1"/>
            </w14:solidFill>
          </w14:textFill>
        </w:rPr>
      </w:pPr>
      <w:bookmarkStart w:id="21" w:name="_Toc119582345"/>
      <w:r>
        <w:rPr>
          <w:rFonts w:hint="eastAsia" w:eastAsia="仿宋" w:cs="Times New Roman"/>
          <w:b/>
          <w:bCs/>
          <w:color w:val="000000" w:themeColor="text1"/>
          <w:sz w:val="32"/>
          <w:szCs w:val="32"/>
          <w14:textFill>
            <w14:solidFill>
              <w14:schemeClr w14:val="tx1"/>
            </w14:solidFill>
          </w14:textFill>
        </w:rPr>
        <w:t>高质量发展和实现碳达峰碳中和使命，</w:t>
      </w:r>
      <w:r>
        <w:rPr>
          <w:rFonts w:eastAsia="仿宋" w:cs="Times New Roman"/>
          <w:b/>
          <w:bCs/>
          <w:color w:val="000000" w:themeColor="text1"/>
          <w:sz w:val="32"/>
          <w:szCs w:val="32"/>
          <w14:textFill>
            <w14:solidFill>
              <w14:schemeClr w14:val="tx1"/>
            </w14:solidFill>
          </w14:textFill>
        </w:rPr>
        <w:t>为生态保护修复事业</w:t>
      </w:r>
      <w:r>
        <w:rPr>
          <w:rFonts w:hint="eastAsia" w:eastAsia="仿宋" w:cs="Times New Roman"/>
          <w:b/>
          <w:bCs/>
          <w:color w:val="000000" w:themeColor="text1"/>
          <w:sz w:val="32"/>
          <w:szCs w:val="32"/>
          <w14:textFill>
            <w14:solidFill>
              <w14:schemeClr w14:val="tx1"/>
            </w14:solidFill>
          </w14:textFill>
        </w:rPr>
        <w:t>提出</w:t>
      </w:r>
      <w:r>
        <w:rPr>
          <w:rFonts w:eastAsia="仿宋" w:cs="Times New Roman"/>
          <w:b/>
          <w:bCs/>
          <w:color w:val="000000" w:themeColor="text1"/>
          <w:sz w:val="32"/>
          <w:szCs w:val="32"/>
          <w14:textFill>
            <w14:solidFill>
              <w14:schemeClr w14:val="tx1"/>
            </w14:solidFill>
          </w14:textFill>
        </w:rPr>
        <w:t>了</w:t>
      </w:r>
      <w:r>
        <w:rPr>
          <w:rFonts w:hint="eastAsia" w:eastAsia="仿宋" w:cs="Times New Roman"/>
          <w:b/>
          <w:bCs/>
          <w:color w:val="000000" w:themeColor="text1"/>
          <w:sz w:val="32"/>
          <w:szCs w:val="32"/>
          <w14:textFill>
            <w14:solidFill>
              <w14:schemeClr w14:val="tx1"/>
            </w14:solidFill>
          </w14:textFill>
        </w:rPr>
        <w:t>更高要求</w:t>
      </w:r>
      <w:bookmarkEnd w:id="21"/>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习近平总书记强调，高质量发展是“十四五”乃至更长时期我国经济社会发展的主题，关系我国社会主义现代化建设全局。立足新发展阶段、贯彻新发展理念、构建新发展格局，推动高质量发展，是当前和今后一个时期全党全国必须抓紧抓好的工作。这就要求我们充分发挥自然资源禀赋优势，推动生态保护修复事业高质量发展，实现绿色发展新突破。</w:t>
      </w:r>
      <w:r>
        <w:rPr>
          <w:rFonts w:ascii="仿宋" w:hAnsi="仿宋" w:eastAsia="仿宋"/>
          <w:color w:val="000000" w:themeColor="text1"/>
          <w:sz w:val="32"/>
          <w:szCs w:val="32"/>
          <w14:textFill>
            <w14:solidFill>
              <w14:schemeClr w14:val="tx1"/>
            </w14:solidFill>
          </w14:textFill>
        </w:rPr>
        <w:t>增加多元投入，强化科技支撑，加强生态保护修复，大力发展绿色产业，丰富优质生</w:t>
      </w:r>
      <w:r>
        <w:rPr>
          <w:rFonts w:hint="eastAsia" w:ascii="仿宋" w:hAnsi="仿宋" w:eastAsia="仿宋"/>
          <w:color w:val="000000" w:themeColor="text1"/>
          <w:sz w:val="32"/>
          <w:szCs w:val="32"/>
          <w14:textFill>
            <w14:solidFill>
              <w14:schemeClr w14:val="tx1"/>
            </w14:solidFill>
          </w14:textFill>
        </w:rPr>
        <w:t>态</w:t>
      </w:r>
      <w:r>
        <w:rPr>
          <w:rFonts w:ascii="仿宋" w:hAnsi="仿宋" w:eastAsia="仿宋"/>
          <w:color w:val="000000" w:themeColor="text1"/>
          <w:sz w:val="32"/>
          <w:szCs w:val="32"/>
          <w14:textFill>
            <w14:solidFill>
              <w14:schemeClr w14:val="tx1"/>
            </w14:solidFill>
          </w14:textFill>
        </w:rPr>
        <w:t>产品供应</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创新发展生态旅游，注重实现人与自然和谐共生，提供更多的优质生态产品，实现林草高质量发展。</w:t>
      </w:r>
      <w:r>
        <w:rPr>
          <w:rFonts w:hint="eastAsia" w:ascii="仿宋" w:hAnsi="仿宋" w:eastAsia="仿宋"/>
          <w:color w:val="000000" w:themeColor="text1"/>
          <w:sz w:val="32"/>
          <w:szCs w:val="30"/>
          <w14:textFill>
            <w14:solidFill>
              <w14:schemeClr w14:val="tx1"/>
            </w14:solidFill>
          </w14:textFill>
        </w:rPr>
        <w:t>习近平总书记在第七十五届联合国大会上向国际社会作出“中国二氧化碳排放力争</w:t>
      </w:r>
      <w:r>
        <w:rPr>
          <w:rFonts w:eastAsia="仿宋" w:cs="Times New Roman"/>
          <w:color w:val="000000" w:themeColor="text1"/>
          <w:sz w:val="32"/>
          <w:szCs w:val="30"/>
          <w14:textFill>
            <w14:solidFill>
              <w14:schemeClr w14:val="tx1"/>
            </w14:solidFill>
          </w14:textFill>
        </w:rPr>
        <w:t>2030年前达到峰值，努力争取2060</w:t>
      </w:r>
      <w:r>
        <w:rPr>
          <w:rFonts w:hint="eastAsia" w:ascii="仿宋" w:hAnsi="仿宋" w:eastAsia="仿宋"/>
          <w:color w:val="000000" w:themeColor="text1"/>
          <w:sz w:val="32"/>
          <w:szCs w:val="30"/>
          <w14:textFill>
            <w14:solidFill>
              <w14:schemeClr w14:val="tx1"/>
            </w14:solidFill>
          </w14:textFill>
        </w:rPr>
        <w:t>年前实现碳中和”的承诺。要求吐鲁番市坚定不移走生态优先、绿色低碳的高质量发展之路，大力推进节能降耗工作，推动形成绿色生产生活方式，提升生态系统碳汇增量，探索建立生态产品价值实现机制，为新疆乃至全国生态建设作出积极贡献。</w:t>
      </w:r>
    </w:p>
    <w:p>
      <w:pPr>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p>
    <w:p>
      <w:pPr>
        <w:spacing w:line="540" w:lineRule="exact"/>
        <w:ind w:firstLine="640" w:firstLineChars="200"/>
        <w:rPr>
          <w:rFonts w:ascii="仿宋" w:hAnsi="仿宋" w:eastAsia="仿宋" w:cs="Times New Roman"/>
          <w:color w:val="000000" w:themeColor="text1"/>
          <w:sz w:val="32"/>
          <w:szCs w:val="32"/>
          <w:shd w:val="clear" w:color="auto" w:fill="FFFFFF"/>
          <w14:textFill>
            <w14:solidFill>
              <w14:schemeClr w14:val="tx1"/>
            </w14:solidFill>
          </w14:textFill>
        </w:rPr>
      </w:pPr>
      <w:bookmarkStart w:id="22" w:name="_Toc85576295"/>
      <w:bookmarkStart w:id="23" w:name="_Toc77863856"/>
      <w:bookmarkStart w:id="24" w:name="_Toc77863899"/>
      <w:r>
        <w:rPr>
          <w:rFonts w:ascii="仿宋" w:hAnsi="仿宋" w:eastAsia="仿宋" w:cs="Times New Roman"/>
          <w:color w:val="000000" w:themeColor="text1"/>
          <w:sz w:val="32"/>
          <w:szCs w:val="32"/>
          <w:shd w:val="clear" w:color="auto" w:fill="FFFFFF"/>
          <w14:textFill>
            <w14:solidFill>
              <w14:schemeClr w14:val="tx1"/>
            </w14:solidFill>
          </w14:textFill>
        </w:rPr>
        <w:br w:type="page"/>
      </w: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bookmarkStart w:id="25" w:name="_Toc125907421"/>
      <w:r>
        <w:rPr>
          <w:rFonts w:ascii="黑体" w:hAnsi="宋体" w:eastAsia="黑体" w:cs="Times New Roman"/>
          <w:color w:val="000000" w:themeColor="text1"/>
          <w:shd w:val="clear" w:color="auto" w:fill="FFFFFF"/>
          <w14:textFill>
            <w14:solidFill>
              <w14:schemeClr w14:val="tx1"/>
            </w14:solidFill>
          </w14:textFill>
        </w:rPr>
        <w:t>第</w:t>
      </w:r>
      <w:r>
        <w:rPr>
          <w:rFonts w:hint="eastAsia" w:ascii="黑体" w:hAnsi="宋体" w:eastAsia="黑体" w:cs="Times New Roman"/>
          <w:color w:val="000000" w:themeColor="text1"/>
          <w:shd w:val="clear" w:color="auto" w:fill="FFFFFF"/>
          <w14:textFill>
            <w14:solidFill>
              <w14:schemeClr w14:val="tx1"/>
            </w14:solidFill>
          </w14:textFill>
        </w:rPr>
        <w:t>二</w:t>
      </w:r>
      <w:r>
        <w:rPr>
          <w:rFonts w:ascii="黑体" w:hAnsi="宋体" w:eastAsia="黑体" w:cs="Times New Roman"/>
          <w:color w:val="000000" w:themeColor="text1"/>
          <w:shd w:val="clear" w:color="auto" w:fill="FFFFFF"/>
          <w14:textFill>
            <w14:solidFill>
              <w14:schemeClr w14:val="tx1"/>
            </w14:solidFill>
          </w14:textFill>
        </w:rPr>
        <w:t>章  总体要求</w:t>
      </w:r>
      <w:bookmarkEnd w:id="25"/>
    </w:p>
    <w:p>
      <w:pPr>
        <w:pStyle w:val="3"/>
        <w:spacing w:before="120" w:beforeLines="50" w:after="120" w:afterLines="50" w:line="360" w:lineRule="auto"/>
        <w:jc w:val="left"/>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26" w:name="_Toc125907422"/>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一、指导思想</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以习近平新时代中国特色社会主义思想为指导，全面深入贯彻落实党的十九大和十九届历次全会精神和习近平生态文明思想及国务院、自治区、吐鲁番市关于国土空间规划、生态保护修复工作的整体部署，按照“山水林田湖草是生命共同体”的理念，牢固树立社会主义生态文明观和“绿水青山就是金山银山”的理念，坚持节约优先、保护优先、自然恢复为主的方针，坚决践行生态优先绿色发展理念，把生态保护修复工作放在落实市高质量发展和乡村振兴等的重要环节进行系统谋划，对接上位规划，综合评价国土空间生态环境质量，按照整体保护、系统修复和综合治理的思路，</w:t>
      </w:r>
      <w:r>
        <w:rPr>
          <w:rFonts w:ascii="仿宋" w:hAnsi="仿宋" w:eastAsia="仿宋"/>
          <w:color w:val="000000" w:themeColor="text1"/>
          <w:sz w:val="32"/>
          <w:szCs w:val="32"/>
          <w14:textFill>
            <w14:solidFill>
              <w14:schemeClr w14:val="tx1"/>
            </w14:solidFill>
          </w14:textFill>
        </w:rPr>
        <w:t>以改善生态环境质量</w:t>
      </w:r>
      <w:r>
        <w:rPr>
          <w:rFonts w:hint="eastAsia" w:ascii="仿宋" w:hAnsi="仿宋" w:eastAsia="仿宋"/>
          <w:color w:val="000000" w:themeColor="text1"/>
          <w:sz w:val="32"/>
          <w:szCs w:val="32"/>
          <w14:textFill>
            <w14:solidFill>
              <w14:schemeClr w14:val="tx1"/>
            </w14:solidFill>
          </w14:textFill>
        </w:rPr>
        <w:t>和稳定性</w:t>
      </w:r>
      <w:r>
        <w:rPr>
          <w:rFonts w:ascii="仿宋" w:hAnsi="仿宋" w:eastAsia="仿宋"/>
          <w:color w:val="000000" w:themeColor="text1"/>
          <w:sz w:val="32"/>
          <w:szCs w:val="32"/>
          <w14:textFill>
            <w14:solidFill>
              <w14:schemeClr w14:val="tx1"/>
            </w14:solidFill>
          </w14:textFill>
        </w:rPr>
        <w:t>为核心，以保障和维护生态功能为主线，按照山水林田湖草</w:t>
      </w:r>
      <w:r>
        <w:rPr>
          <w:rFonts w:hint="eastAsia" w:ascii="仿宋" w:hAnsi="仿宋" w:eastAsia="仿宋"/>
          <w:color w:val="000000" w:themeColor="text1"/>
          <w:sz w:val="32"/>
          <w:szCs w:val="32"/>
          <w14:textFill>
            <w14:solidFill>
              <w14:schemeClr w14:val="tx1"/>
            </w14:solidFill>
          </w14:textFill>
        </w:rPr>
        <w:t>沙</w:t>
      </w:r>
      <w:r>
        <w:rPr>
          <w:rFonts w:ascii="仿宋" w:hAnsi="仿宋" w:eastAsia="仿宋"/>
          <w:color w:val="000000" w:themeColor="text1"/>
          <w:sz w:val="32"/>
          <w:szCs w:val="32"/>
          <w14:textFill>
            <w14:solidFill>
              <w14:schemeClr w14:val="tx1"/>
            </w14:solidFill>
          </w14:textFill>
        </w:rPr>
        <w:t>系统保护的要求，遵循自然规律和生态系统内在机理，</w:t>
      </w:r>
      <w:r>
        <w:rPr>
          <w:rFonts w:hint="eastAsia" w:ascii="仿宋" w:hAnsi="仿宋" w:eastAsia="仿宋"/>
          <w:color w:val="000000" w:themeColor="text1"/>
          <w:sz w:val="32"/>
          <w:szCs w:val="32"/>
          <w14:textFill>
            <w14:solidFill>
              <w14:schemeClr w14:val="tx1"/>
            </w14:solidFill>
          </w14:textFill>
        </w:rPr>
        <w:t>科学确立国土空间生态修复目标体系和主要任务，有序部署国土空间生态修复重点工程，</w:t>
      </w:r>
      <w:r>
        <w:rPr>
          <w:rFonts w:ascii="仿宋" w:hAnsi="仿宋" w:eastAsia="仿宋"/>
          <w:color w:val="000000" w:themeColor="text1"/>
          <w:sz w:val="32"/>
          <w:szCs w:val="32"/>
          <w14:textFill>
            <w14:solidFill>
              <w14:schemeClr w14:val="tx1"/>
            </w14:solidFill>
          </w14:textFill>
        </w:rPr>
        <w:t>重点对受损、退化、服务下降的生态系统进行保护和修复，</w:t>
      </w:r>
      <w:r>
        <w:rPr>
          <w:rFonts w:hint="eastAsia" w:ascii="仿宋" w:hAnsi="仿宋" w:eastAsia="仿宋"/>
          <w:color w:val="000000" w:themeColor="text1"/>
          <w:sz w:val="32"/>
          <w:szCs w:val="32"/>
          <w14:textFill>
            <w14:solidFill>
              <w14:schemeClr w14:val="tx1"/>
            </w14:solidFill>
          </w14:textFill>
        </w:rPr>
        <w:t>推动山水林田湖草沙整体保护、系统修复、综合治理，提升吐鲁番市重要生态系统的质量和稳定性，筑牢生态安全屏障，</w:t>
      </w:r>
      <w:r>
        <w:rPr>
          <w:rFonts w:ascii="仿宋" w:hAnsi="仿宋" w:eastAsia="仿宋"/>
          <w:color w:val="000000" w:themeColor="text1"/>
          <w:sz w:val="32"/>
          <w:szCs w:val="32"/>
          <w14:textFill>
            <w14:solidFill>
              <w14:schemeClr w14:val="tx1"/>
            </w14:solidFill>
          </w14:textFill>
        </w:rPr>
        <w:t>维护国家、自治区以及</w:t>
      </w:r>
      <w:r>
        <w:rPr>
          <w:rFonts w:hint="eastAsia" w:ascii="仿宋" w:hAnsi="仿宋" w:eastAsia="仿宋"/>
          <w:color w:val="000000" w:themeColor="text1"/>
          <w:sz w:val="32"/>
          <w:szCs w:val="32"/>
          <w14:textFill>
            <w14:solidFill>
              <w14:schemeClr w14:val="tx1"/>
            </w14:solidFill>
          </w14:textFill>
        </w:rPr>
        <w:t>吐鲁番市</w:t>
      </w:r>
      <w:r>
        <w:rPr>
          <w:rFonts w:ascii="仿宋" w:hAnsi="仿宋" w:eastAsia="仿宋"/>
          <w:color w:val="000000" w:themeColor="text1"/>
          <w:sz w:val="32"/>
          <w:szCs w:val="32"/>
          <w14:textFill>
            <w14:solidFill>
              <w14:schemeClr w14:val="tx1"/>
            </w14:solidFill>
          </w14:textFill>
        </w:rPr>
        <w:t>生态安全</w:t>
      </w:r>
      <w:r>
        <w:rPr>
          <w:rFonts w:hint="eastAsia" w:ascii="仿宋" w:hAnsi="仿宋" w:eastAsia="仿宋"/>
          <w:color w:val="000000" w:themeColor="text1"/>
          <w:sz w:val="32"/>
          <w:szCs w:val="32"/>
          <w14:textFill>
            <w14:solidFill>
              <w14:schemeClr w14:val="tx1"/>
            </w14:solidFill>
          </w14:textFill>
        </w:rPr>
        <w:t>。</w:t>
      </w:r>
    </w:p>
    <w:p>
      <w:pPr>
        <w:pStyle w:val="3"/>
        <w:spacing w:before="120" w:beforeLines="50" w:after="120" w:afterLines="50" w:line="360" w:lineRule="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27" w:name="_Toc125907423"/>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二、基本原则</w:t>
      </w:r>
      <w:bookmarkEnd w:id="27"/>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28" w:name="_Toc119582378"/>
      <w:r>
        <w:rPr>
          <w:rFonts w:hint="eastAsia" w:eastAsia="仿宋" w:cs="Times New Roman"/>
          <w:b/>
          <w:bCs/>
          <w:color w:val="000000" w:themeColor="text1"/>
          <w:sz w:val="32"/>
          <w:szCs w:val="32"/>
          <w14:textFill>
            <w14:solidFill>
              <w14:schemeClr w14:val="tx1"/>
            </w14:solidFill>
          </w14:textFill>
        </w:rPr>
        <w:t>——坚持保护优先，自然恢复</w:t>
      </w:r>
      <w:bookmarkEnd w:id="28"/>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牢固树立和践行绿水青山就是金山银山理念，尊重自然、顺应自然、保护自然，遵循自然生态系统演替规律，遵循山水林田湖草沙生命共同体的理念，坚持自然恢复为主，人工辅助修复为辅，突出重点，分步实施，点面结合、以点带面方式，重点实施建设保护修复分区与工程布局</w:t>
      </w:r>
      <w:r>
        <w:rPr>
          <w:rFonts w:ascii="仿宋" w:hAnsi="仿宋" w:eastAsia="仿宋"/>
          <w:color w:val="000000" w:themeColor="text1"/>
          <w:sz w:val="32"/>
          <w:szCs w:val="32"/>
          <w14:textFill>
            <w14:solidFill>
              <w14:schemeClr w14:val="tx1"/>
            </w14:solidFill>
          </w14:textFill>
        </w:rPr>
        <w:t>。</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29" w:name="_Toc119582379"/>
      <w:r>
        <w:rPr>
          <w:rFonts w:hint="eastAsia" w:eastAsia="仿宋" w:cs="Times New Roman"/>
          <w:b/>
          <w:bCs/>
          <w:color w:val="000000" w:themeColor="text1"/>
          <w:sz w:val="32"/>
          <w:szCs w:val="32"/>
          <w14:textFill>
            <w14:solidFill>
              <w14:schemeClr w14:val="tx1"/>
            </w14:solidFill>
          </w14:textFill>
        </w:rPr>
        <w:t>——坚持统一规划，总体设计</w:t>
      </w:r>
      <w:bookmarkEnd w:id="29"/>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坚持长远结合、久久为功，以提升生态系统服务为目标，按照统一规划、整体设计、分期部署、分段实施思路，科学确定生态保护修复目标、合理布局项目工程、统筹实施各类工程，同步推动山上山下、地上地下、流域上下游、河口、山水林田湖草一体化保护和修复，增强生态保护修复效果。</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30" w:name="_Toc119582380"/>
      <w:r>
        <w:rPr>
          <w:rFonts w:hint="eastAsia" w:eastAsia="仿宋" w:cs="Times New Roman"/>
          <w:b/>
          <w:bCs/>
          <w:color w:val="000000" w:themeColor="text1"/>
          <w:sz w:val="32"/>
          <w:szCs w:val="32"/>
          <w14:textFill>
            <w14:solidFill>
              <w14:schemeClr w14:val="tx1"/>
            </w14:solidFill>
          </w14:textFill>
        </w:rPr>
        <w:t>——坚持科学治理，遵循规律</w:t>
      </w:r>
      <w:bookmarkEnd w:id="30"/>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提高修复措施的科学性，遵循生态系统自身的演替规律，综合考虑自然生态系统各要素与人工生态系统之间的协同性，注重系统性和关联性，全方位、全地域、全要素、全过程统筹推进生态保护修复工作。</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31" w:name="_Toc119582381"/>
      <w:r>
        <w:rPr>
          <w:rFonts w:hint="eastAsia" w:eastAsia="仿宋" w:cs="Times New Roman"/>
          <w:b/>
          <w:bCs/>
          <w:color w:val="000000" w:themeColor="text1"/>
          <w:sz w:val="32"/>
          <w:szCs w:val="32"/>
          <w14:textFill>
            <w14:solidFill>
              <w14:schemeClr w14:val="tx1"/>
            </w14:solidFill>
          </w14:textFill>
        </w:rPr>
        <w:t>——坚持问题导向，分步实施</w:t>
      </w:r>
      <w:bookmarkEnd w:id="31"/>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以问题为导向，一切从实际出发，系统梳理隐患与风险，对自然生态系统进行全方位生态问题诊断，提高问题识别和诊断精度。以水而定，量水而行，宜保则保、宜耕则耕、宜林则林、宜草则草、宜湿则湿、宜建则建、宜荒则荒，分步骤、分阶段进行，做到循序渐进、提高修复的针对性。</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32" w:name="_Toc119582382"/>
      <w:r>
        <w:rPr>
          <w:rFonts w:hint="eastAsia" w:eastAsia="仿宋" w:cs="Times New Roman"/>
          <w:b/>
          <w:bCs/>
          <w:color w:val="000000" w:themeColor="text1"/>
          <w:sz w:val="32"/>
          <w:szCs w:val="32"/>
          <w14:textFill>
            <w14:solidFill>
              <w14:schemeClr w14:val="tx1"/>
            </w14:solidFill>
          </w14:textFill>
        </w:rPr>
        <w:t>——坚持改革创新，完善机制</w:t>
      </w:r>
      <w:bookmarkEnd w:id="32"/>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坚持以生态文明制度改革引领生态系统管理，借助丝绸之路经济带建设的重要机遇，探索生态系统保护修复与服务功能协同提升关键技术，创新和完善生态保护修复的资金筹措与组织、实施、管护、考核、激励、责任追究等系列管理机制，形成责权明确、协同推进、务实有效的管理格局，建设丝绸之路经济带生态文明。</w:t>
      </w:r>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33" w:name="_Toc125907424"/>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三、规划目标</w:t>
      </w:r>
      <w:bookmarkEnd w:id="33"/>
    </w:p>
    <w:p>
      <w:pPr>
        <w:pageBreakBefore w:val="0"/>
        <w:widowControl w:val="0"/>
        <w:kinsoku/>
        <w:wordWrap/>
        <w:overflowPunct/>
        <w:topLinePunct w:val="0"/>
        <w:autoSpaceDE/>
        <w:autoSpaceDN/>
        <w:bidi w:val="0"/>
        <w:spacing w:line="560" w:lineRule="exact"/>
        <w:ind w:firstLine="561"/>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到</w:t>
      </w:r>
      <w:r>
        <w:rPr>
          <w:rFonts w:ascii="Times New Roman" w:hAnsi="Times New Roman" w:eastAsia="仿宋" w:cs="Times New Roman"/>
          <w:color w:val="000000" w:themeColor="text1"/>
          <w:sz w:val="32"/>
          <w:szCs w:val="32"/>
          <w14:textFill>
            <w14:solidFill>
              <w14:schemeClr w14:val="tx1"/>
            </w14:solidFill>
          </w14:textFill>
        </w:rPr>
        <w:t>2025</w:t>
      </w:r>
      <w:r>
        <w:rPr>
          <w:rFonts w:ascii="仿宋" w:hAnsi="仿宋" w:eastAsia="仿宋" w:cs="Times New Roman"/>
          <w:color w:val="000000" w:themeColor="text1"/>
          <w:sz w:val="32"/>
          <w:szCs w:val="32"/>
          <w14:textFill>
            <w14:solidFill>
              <w14:schemeClr w14:val="tx1"/>
            </w14:solidFill>
          </w14:textFill>
        </w:rPr>
        <w:t>年，通过实施一批国土空间生态修复重点工程和重点项目，持续推进历史遗留废弃工矿土地整治工作，吐鲁番市生态文明建设取得新进步，生态保护修复机制</w:t>
      </w:r>
      <w:r>
        <w:rPr>
          <w:rFonts w:hint="eastAsia" w:ascii="仿宋" w:hAnsi="仿宋" w:eastAsia="仿宋" w:cs="Times New Roman"/>
          <w:color w:val="000000" w:themeColor="text1"/>
          <w:sz w:val="32"/>
          <w:szCs w:val="32"/>
          <w14:textFill>
            <w14:solidFill>
              <w14:schemeClr w14:val="tx1"/>
            </w14:solidFill>
          </w14:textFill>
        </w:rPr>
        <w:t>初步</w:t>
      </w:r>
      <w:r>
        <w:rPr>
          <w:rFonts w:ascii="仿宋" w:hAnsi="仿宋" w:eastAsia="仿宋" w:cs="Times New Roman"/>
          <w:color w:val="000000" w:themeColor="text1"/>
          <w:sz w:val="32"/>
          <w:szCs w:val="32"/>
          <w14:textFill>
            <w14:solidFill>
              <w14:schemeClr w14:val="tx1"/>
            </w14:solidFill>
          </w14:textFill>
        </w:rPr>
        <w:t>形成，生态</w:t>
      </w:r>
      <w:r>
        <w:rPr>
          <w:rFonts w:hint="eastAsia" w:ascii="仿宋" w:hAnsi="仿宋" w:eastAsia="仿宋" w:cs="Times New Roman"/>
          <w:color w:val="000000" w:themeColor="text1"/>
          <w:sz w:val="32"/>
          <w:szCs w:val="32"/>
          <w14:textFill>
            <w14:solidFill>
              <w14:schemeClr w14:val="tx1"/>
            </w14:solidFill>
          </w14:textFill>
        </w:rPr>
        <w:t>保护修复格局初步建立，</w:t>
      </w:r>
      <w:r>
        <w:rPr>
          <w:rFonts w:ascii="仿宋" w:hAnsi="仿宋" w:eastAsia="仿宋" w:cs="Times New Roman"/>
          <w:color w:val="000000" w:themeColor="text1"/>
          <w:sz w:val="32"/>
          <w:szCs w:val="32"/>
          <w14:textFill>
            <w14:solidFill>
              <w14:schemeClr w14:val="tx1"/>
            </w14:solidFill>
          </w14:textFill>
        </w:rPr>
        <w:t>森林、草原、沙漠、湖泊湿地、农田生态系统</w:t>
      </w:r>
      <w:r>
        <w:rPr>
          <w:rFonts w:hint="eastAsia" w:ascii="仿宋" w:hAnsi="仿宋" w:eastAsia="仿宋" w:cs="Times New Roman"/>
          <w:color w:val="000000" w:themeColor="text1"/>
          <w:sz w:val="32"/>
          <w:szCs w:val="32"/>
          <w14:textFill>
            <w14:solidFill>
              <w14:schemeClr w14:val="tx1"/>
            </w14:solidFill>
          </w14:textFill>
        </w:rPr>
        <w:t>质量和稳定性逐步提升</w:t>
      </w:r>
      <w:r>
        <w:rPr>
          <w:rFonts w:ascii="仿宋" w:hAnsi="仿宋" w:eastAsia="仿宋" w:cs="Times New Roman"/>
          <w:color w:val="000000" w:themeColor="text1"/>
          <w:sz w:val="32"/>
          <w:szCs w:val="32"/>
          <w14:textFill>
            <w14:solidFill>
              <w14:schemeClr w14:val="tx1"/>
            </w14:solidFill>
          </w14:textFill>
        </w:rPr>
        <w:t>，生态环境持续向好。</w:t>
      </w:r>
    </w:p>
    <w:p>
      <w:pPr>
        <w:pageBreakBefore w:val="0"/>
        <w:widowControl w:val="0"/>
        <w:kinsoku/>
        <w:wordWrap/>
        <w:overflowPunct/>
        <w:topLinePunct w:val="0"/>
        <w:autoSpaceDE/>
        <w:autoSpaceDN/>
        <w:bidi w:val="0"/>
        <w:spacing w:line="560" w:lineRule="exact"/>
        <w:ind w:firstLine="561"/>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到</w:t>
      </w:r>
      <w:r>
        <w:rPr>
          <w:rFonts w:ascii="Times New Roman" w:hAnsi="Times New Roman" w:eastAsia="仿宋" w:cs="Times New Roman"/>
          <w:color w:val="000000" w:themeColor="text1"/>
          <w:sz w:val="32"/>
          <w:szCs w:val="32"/>
          <w14:textFill>
            <w14:solidFill>
              <w14:schemeClr w14:val="tx1"/>
            </w14:solidFill>
          </w14:textFill>
        </w:rPr>
        <w:t>2035</w:t>
      </w:r>
      <w:r>
        <w:rPr>
          <w:rFonts w:ascii="仿宋" w:hAnsi="仿宋" w:eastAsia="仿宋" w:cs="Times New Roman"/>
          <w:color w:val="000000" w:themeColor="text1"/>
          <w:sz w:val="32"/>
          <w:szCs w:val="32"/>
          <w14:textFill>
            <w14:solidFill>
              <w14:schemeClr w14:val="tx1"/>
            </w14:solidFill>
          </w14:textFill>
        </w:rPr>
        <w:t>年，</w:t>
      </w:r>
      <w:r>
        <w:rPr>
          <w:rFonts w:hint="eastAsia" w:ascii="仿宋" w:hAnsi="仿宋" w:eastAsia="仿宋" w:cs="Times New Roman"/>
          <w:color w:val="000000" w:themeColor="text1"/>
          <w:sz w:val="32"/>
          <w:szCs w:val="32"/>
          <w14:textFill>
            <w14:solidFill>
              <w14:schemeClr w14:val="tx1"/>
            </w14:solidFill>
          </w14:textFill>
        </w:rPr>
        <w:t>通过进一步实施国土空间生态修复重点工程和重点项目，</w:t>
      </w:r>
      <w:r>
        <w:rPr>
          <w:rFonts w:ascii="仿宋" w:hAnsi="仿宋" w:eastAsia="仿宋" w:cs="Times New Roman"/>
          <w:color w:val="000000" w:themeColor="text1"/>
          <w:sz w:val="32"/>
          <w:szCs w:val="32"/>
          <w14:textFill>
            <w14:solidFill>
              <w14:schemeClr w14:val="tx1"/>
            </w14:solidFill>
          </w14:textFill>
        </w:rPr>
        <w:t>持续推进历史遗留废弃工矿土地整治工作</w:t>
      </w:r>
      <w:r>
        <w:rPr>
          <w:rFonts w:hint="eastAsia" w:ascii="仿宋" w:hAnsi="仿宋" w:eastAsia="仿宋" w:cs="Times New Roman"/>
          <w:color w:val="000000" w:themeColor="text1"/>
          <w:sz w:val="32"/>
          <w:szCs w:val="32"/>
          <w14:textFill>
            <w14:solidFill>
              <w14:schemeClr w14:val="tx1"/>
            </w14:solidFill>
          </w14:textFill>
        </w:rPr>
        <w:t>，实施吐鲁番盆地山水林田湖草沙一体化保护和修复重点工程，</w:t>
      </w:r>
      <w:r>
        <w:rPr>
          <w:rFonts w:ascii="仿宋" w:hAnsi="仿宋" w:eastAsia="仿宋" w:cs="Times New Roman"/>
          <w:color w:val="000000" w:themeColor="text1"/>
          <w:sz w:val="32"/>
          <w:szCs w:val="32"/>
          <w14:textFill>
            <w14:solidFill>
              <w14:schemeClr w14:val="tx1"/>
            </w14:solidFill>
          </w14:textFill>
        </w:rPr>
        <w:t>国土空间开发保护格局得到优化，生产生活方式绿色转型成效显著，能源资源开发利用效率大幅提升，能耗和水资源消耗、建设用地、碳排放总量得到有效控制，生态保护和修复机制基本形成，生态环境持续改善，生态安全屏障更加牢固，城乡人居环境明显改善</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资源节约、环境友好、人与自然和谐共生格局基本形成</w:t>
      </w:r>
      <w:r>
        <w:rPr>
          <w:rFonts w:hint="eastAsia" w:ascii="仿宋" w:hAnsi="仿宋" w:eastAsia="仿宋" w:cs="Times New Roman"/>
          <w:color w:val="000000" w:themeColor="text1"/>
          <w:sz w:val="32"/>
          <w:szCs w:val="32"/>
          <w14:textFill>
            <w14:solidFill>
              <w14:schemeClr w14:val="tx1"/>
            </w14:solidFill>
          </w14:textFill>
        </w:rPr>
        <w:t>，满足人民对美好生活的期盼。</w:t>
      </w:r>
    </w:p>
    <w:p>
      <w:pPr>
        <w:spacing w:line="540" w:lineRule="exact"/>
        <w:ind w:firstLine="640" w:firstLineChars="200"/>
        <w:rPr>
          <w:rFonts w:ascii="仿宋" w:hAnsi="仿宋" w:eastAsia="仿宋" w:cs="Times New Roman"/>
          <w:color w:val="000000" w:themeColor="text1"/>
          <w:sz w:val="32"/>
          <w:szCs w:val="32"/>
          <w:shd w:val="clear" w:color="auto" w:fill="FFFFFF"/>
          <w14:textFill>
            <w14:solidFill>
              <w14:schemeClr w14:val="tx1"/>
            </w14:solidFill>
          </w14:textFill>
        </w:rPr>
      </w:pPr>
    </w:p>
    <w:p>
      <w:pPr>
        <w:widowControl/>
        <w:jc w:val="left"/>
        <w:rPr>
          <w:rFonts w:ascii="黑体" w:hAnsi="宋体" w:eastAsia="黑体" w:cs="Times New Roman"/>
          <w:b/>
          <w:bCs/>
          <w:color w:val="000000" w:themeColor="text1"/>
          <w:kern w:val="44"/>
          <w:sz w:val="44"/>
          <w:szCs w:val="44"/>
          <w:shd w:val="clear" w:color="auto" w:fill="FFFFFF"/>
          <w14:textFill>
            <w14:solidFill>
              <w14:schemeClr w14:val="tx1"/>
            </w14:solidFill>
          </w14:textFill>
        </w:rPr>
      </w:pPr>
      <w:r>
        <w:rPr>
          <w:rFonts w:ascii="黑体" w:hAnsi="宋体" w:eastAsia="黑体" w:cs="Times New Roman"/>
          <w:color w:val="000000" w:themeColor="text1"/>
          <w:shd w:val="clear" w:color="auto" w:fill="FFFFFF"/>
          <w14:textFill>
            <w14:solidFill>
              <w14:schemeClr w14:val="tx1"/>
            </w14:solidFill>
          </w14:textFill>
        </w:rPr>
        <w:br w:type="page"/>
      </w: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bookmarkStart w:id="34" w:name="_Toc125907425"/>
      <w:r>
        <w:rPr>
          <w:rFonts w:ascii="黑体" w:hAnsi="宋体" w:eastAsia="黑体" w:cs="Times New Roman"/>
          <w:color w:val="000000" w:themeColor="text1"/>
          <w:shd w:val="clear" w:color="auto" w:fill="FFFFFF"/>
          <w14:textFill>
            <w14:solidFill>
              <w14:schemeClr w14:val="tx1"/>
            </w14:solidFill>
          </w14:textFill>
        </w:rPr>
        <w:t>第</w:t>
      </w:r>
      <w:r>
        <w:rPr>
          <w:rFonts w:hint="eastAsia" w:ascii="黑体" w:hAnsi="宋体" w:eastAsia="黑体" w:cs="Times New Roman"/>
          <w:color w:val="000000" w:themeColor="text1"/>
          <w:shd w:val="clear" w:color="auto" w:fill="FFFFFF"/>
          <w14:textFill>
            <w14:solidFill>
              <w14:schemeClr w14:val="tx1"/>
            </w14:solidFill>
          </w14:textFill>
        </w:rPr>
        <w:t>三</w:t>
      </w:r>
      <w:r>
        <w:rPr>
          <w:rFonts w:ascii="黑体" w:hAnsi="宋体" w:eastAsia="黑体" w:cs="Times New Roman"/>
          <w:color w:val="000000" w:themeColor="text1"/>
          <w:shd w:val="clear" w:color="auto" w:fill="FFFFFF"/>
          <w14:textFill>
            <w14:solidFill>
              <w14:schemeClr w14:val="tx1"/>
            </w14:solidFill>
          </w14:textFill>
        </w:rPr>
        <w:t xml:space="preserve">章  </w:t>
      </w:r>
      <w:r>
        <w:rPr>
          <w:rFonts w:hint="eastAsia" w:ascii="黑体" w:hAnsi="宋体" w:eastAsia="黑体" w:cs="Times New Roman"/>
          <w:color w:val="000000" w:themeColor="text1"/>
          <w:shd w:val="clear" w:color="auto" w:fill="FFFFFF"/>
          <w14:textFill>
            <w14:solidFill>
              <w14:schemeClr w14:val="tx1"/>
            </w14:solidFill>
          </w14:textFill>
        </w:rPr>
        <w:t>生态保护修复格局</w:t>
      </w:r>
      <w:bookmarkEnd w:id="34"/>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35" w:name="_Toc125907426"/>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一、自然地理和生态现状</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shd w:val="clear" w:color="auto" w:fill="FFFFFF"/>
          <w14:textFill>
            <w14:solidFill>
              <w14:schemeClr w14:val="tx1"/>
            </w14:solidFill>
          </w14:textFill>
        </w:rPr>
      </w:pPr>
      <w:r>
        <w:rPr>
          <w:rFonts w:ascii="Times New Roman" w:hAnsi="Times New Roman" w:eastAsia="仿宋" w:cs="Times New Roman"/>
          <w:color w:val="000000" w:themeColor="text1"/>
          <w:sz w:val="32"/>
          <w:szCs w:val="32"/>
          <w:shd w:val="clear" w:color="auto" w:fill="FFFFFF"/>
          <w14:textFill>
            <w14:solidFill>
              <w14:schemeClr w14:val="tx1"/>
            </w14:solidFill>
          </w14:textFill>
        </w:rPr>
        <w:t>吐鲁番市地处天山南麓，吐鲁番盆地中部，位于北纬41</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12</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43</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40</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，东经87</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16</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91</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55</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之间，辖高昌区、鄯善县、托克逊县，东临哈密市，西、南与巴音郭楞蒙古自治州的和静县、和硕县、尉犁县、若羌县毗连，北隔天山与乌鲁木齐市及昌吉回族自治州的奇台、吉木萨尔、木垒县相接。全市南北宽约240公里，东西长约300公里，距新疆维吾尔自治区首府乌鲁木齐市183公里。吐鲁番市辖区土地总面积69713平方公里，占新疆土地总面积的4.2</w:t>
      </w:r>
      <w:r>
        <w:rPr>
          <w:rFonts w:hint="eastAsia" w:ascii="Times New Roman" w:hAnsi="Times New Roman" w:eastAsia="仿宋" w:cs="Times New Roman"/>
          <w:color w:val="000000" w:themeColor="text1"/>
          <w:sz w:val="32"/>
          <w:szCs w:val="32"/>
          <w:shd w:val="clear" w:color="auto" w:fill="FFFFFF"/>
          <w14:textFill>
            <w14:solidFill>
              <w14:schemeClr w14:val="tx1"/>
            </w14:solidFill>
          </w14:textFill>
        </w:rPr>
        <w:t>0</w:t>
      </w:r>
      <w:r>
        <w:rPr>
          <w:rFonts w:ascii="Times New Roman" w:hAnsi="Times New Roman" w:eastAsia="仿宋" w:cs="Times New Roman"/>
          <w:color w:val="000000" w:themeColor="text1"/>
          <w:sz w:val="32"/>
          <w:szCs w:val="32"/>
          <w:shd w:val="clear" w:color="auto" w:fill="FFFFFF"/>
          <w14:textFill>
            <w14:solidFill>
              <w14:schemeClr w14:val="tx1"/>
            </w14:solidFill>
          </w14:textFill>
        </w:rPr>
        <w:t>%。吐鲁番市是古丝绸之路的交通要道，自治区先后出台</w:t>
      </w:r>
      <w:r>
        <w:rPr>
          <w:rFonts w:ascii="Times New Roman" w:hAnsi="Times New Roman" w:eastAsia="仿宋" w:cs="Times New Roman"/>
          <w:color w:val="000000" w:themeColor="text1"/>
          <w:sz w:val="32"/>
          <w:szCs w:val="32"/>
          <w:u w:val="none"/>
          <w:shd w:val="clear" w:color="auto" w:fill="FFFFFF"/>
          <w14:textFill>
            <w14:solidFill>
              <w14:schemeClr w14:val="tx1"/>
            </w14:solidFill>
          </w14:textFill>
        </w:rPr>
        <w:t>《推进新疆丝绸之路经济带核心区建设的实施意见》和《推进新疆丝绸之路经济带核心区建设行动计划（2014-2020年）》</w:t>
      </w:r>
      <w:r>
        <w:rPr>
          <w:rFonts w:ascii="Times New Roman" w:hAnsi="Times New Roman" w:eastAsia="仿宋" w:cs="Times New Roman"/>
          <w:color w:val="000000" w:themeColor="text1"/>
          <w:sz w:val="32"/>
          <w:szCs w:val="32"/>
          <w:shd w:val="clear" w:color="auto" w:fill="FFFFFF"/>
          <w14:textFill>
            <w14:solidFill>
              <w14:schemeClr w14:val="tx1"/>
            </w14:solidFill>
          </w14:textFill>
        </w:rPr>
        <w:t>，把吐鲁番市作为“</w:t>
      </w:r>
      <w:bookmarkStart w:id="109" w:name="_GoBack"/>
      <w:bookmarkEnd w:id="109"/>
      <w:r>
        <w:rPr>
          <w:rFonts w:ascii="Times New Roman" w:hAnsi="Times New Roman" w:eastAsia="仿宋" w:cs="Times New Roman"/>
          <w:color w:val="000000" w:themeColor="text1"/>
          <w:sz w:val="32"/>
          <w:szCs w:val="32"/>
          <w:shd w:val="clear" w:color="auto" w:fill="FFFFFF"/>
          <w14:textFill>
            <w14:solidFill>
              <w14:schemeClr w14:val="tx1"/>
            </w14:solidFill>
          </w14:textFill>
        </w:rPr>
        <w:t>一带一路”格局中的战略性节点，是新丝绸之路和亚欧大陆桥的重要交通枢纽，着力打造新疆丝绸之路经济带核心区，具有独特的地缘和人文优势。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shd w:val="clear" w:color="auto" w:fill="FFFFFF"/>
          <w14:textFill>
            <w14:solidFill>
              <w14:schemeClr w14:val="tx1"/>
            </w14:solidFill>
          </w14:textFill>
        </w:rPr>
      </w:pPr>
      <w:r>
        <w:rPr>
          <w:rFonts w:ascii="Times New Roman" w:hAnsi="Times New Roman" w:eastAsia="仿宋" w:cs="Times New Roman"/>
          <w:color w:val="000000" w:themeColor="text1"/>
          <w:sz w:val="32"/>
          <w:szCs w:val="32"/>
          <w:shd w:val="clear" w:color="auto" w:fill="FFFFFF"/>
          <w14:textFill>
            <w14:solidFill>
              <w14:schemeClr w14:val="tx1"/>
            </w14:solidFill>
          </w14:textFill>
        </w:rPr>
        <w:t>吐鲁番市现状生态空间67620平方公里，占全域面积的97%，生态要素主要包括山体、林地、草地、水域、湿地、自然保留地。农业空间主要位于绿洲内，呈片状分布于吐鲁番盆地边缘山前冲洪积扇和冲积平原，土地利用类型以耕地、园地为主。农业空间主体是绿洲农田生态系统，植被以人工栽培植被为主，拥有包括葡萄、哈密瓜等特色农产品资源</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shd w:val="clear" w:color="auto" w:fill="FFFFFF"/>
          <w14:textFill>
            <w14:solidFill>
              <w14:schemeClr w14:val="tx1"/>
            </w14:solidFill>
          </w14:textFill>
        </w:rPr>
        <w:t>基本涉及有永久基本农田、一般农田等农业生产用地以及村庄等农村生活用地及建设用地，配备有较为完善的灌溉系统和农田防护林体系。城镇空间主要位于绿洲内，具体包括吐鲁番中心城区、鄯善县城、托克逊县城、乡镇等城镇集中建设区。区域人口聚集度高，密度大，多民族聚居形成了独具特色的城镇文化景观。城镇空间人口聚集度高、产业集中，交通用地、工业用地、工矿地、城市绿地发展水平较高。</w:t>
      </w:r>
    </w:p>
    <w:bookmarkEnd w:id="22"/>
    <w:bookmarkEnd w:id="23"/>
    <w:bookmarkEnd w:id="24"/>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36" w:name="_Toc125907427"/>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二、在国家和自治区生态修复格局中的定位</w:t>
      </w:r>
      <w:bookmarkEnd w:id="36"/>
    </w:p>
    <w:p>
      <w:pPr>
        <w:pageBreakBefore w:val="0"/>
        <w:widowControl w:val="0"/>
        <w:kinsoku/>
        <w:wordWrap/>
        <w:overflowPunct/>
        <w:topLinePunct w:val="0"/>
        <w:autoSpaceDE/>
        <w:autoSpaceDN/>
        <w:bidi w:val="0"/>
        <w:spacing w:line="560" w:lineRule="exact"/>
        <w:ind w:firstLine="561"/>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u w:val="none"/>
          <w14:textFill>
            <w14:solidFill>
              <w14:schemeClr w14:val="tx1"/>
            </w14:solidFill>
          </w14:textFill>
        </w:rPr>
        <w:t>《全国重要生态系统保护和修复重大工程总体规划</w:t>
      </w:r>
      <w:r>
        <w:rPr>
          <w:rFonts w:ascii="Times New Roman" w:hAnsi="Times New Roman" w:eastAsia="仿宋" w:cs="Times New Roman"/>
          <w:color w:val="000000" w:themeColor="text1"/>
          <w:sz w:val="32"/>
          <w:szCs w:val="32"/>
          <w:u w:val="none"/>
          <w14:textFill>
            <w14:solidFill>
              <w14:schemeClr w14:val="tx1"/>
            </w14:solidFill>
          </w14:textFill>
        </w:rPr>
        <w:t>（2021-2035年）》</w:t>
      </w:r>
      <w:r>
        <w:rPr>
          <w:rFonts w:hint="eastAsia" w:ascii="仿宋" w:hAnsi="仿宋" w:eastAsia="仿宋" w:cs="Times New Roman"/>
          <w:color w:val="000000" w:themeColor="text1"/>
          <w:sz w:val="32"/>
          <w:szCs w:val="32"/>
          <w14:textFill>
            <w14:solidFill>
              <w14:schemeClr w14:val="tx1"/>
            </w14:solidFill>
          </w14:textFill>
        </w:rPr>
        <w:t>以国家生态安全战略格局为基础，将重要生态系统保护和修复重大工程规划布局在青藏高原生态屏障区、黄河重点生态区（含黄土高原生态屏障）、长江重点生态区</w:t>
      </w:r>
      <w:r>
        <w:rPr>
          <w:rFonts w:hint="eastAsia" w:ascii="仿宋" w:hAnsi="仿宋" w:eastAsia="仿宋" w:cs="Times New Roman"/>
          <w:color w:val="FF0000"/>
          <w:sz w:val="32"/>
          <w:szCs w:val="32"/>
          <w:lang w:eastAsia="zh-CN"/>
        </w:rPr>
        <w:t>（</w:t>
      </w:r>
      <w:r>
        <w:rPr>
          <w:rFonts w:hint="eastAsia" w:ascii="仿宋" w:hAnsi="仿宋" w:eastAsia="仿宋" w:cs="Times New Roman"/>
          <w:color w:val="000000" w:themeColor="text1"/>
          <w:sz w:val="32"/>
          <w:szCs w:val="32"/>
          <w14:textFill>
            <w14:solidFill>
              <w14:schemeClr w14:val="tx1"/>
            </w14:solidFill>
          </w14:textFill>
        </w:rPr>
        <w:t>含川滇生态屏障）、东北森林带、北方防沙带、南方丘陵山地带和海岸带等重点区域。</w:t>
      </w:r>
      <w:r>
        <w:rPr>
          <w:rFonts w:ascii="仿宋" w:hAnsi="仿宋" w:eastAsia="仿宋" w:cs="Times New Roman"/>
          <w:color w:val="000000" w:themeColor="text1"/>
          <w:sz w:val="32"/>
          <w:szCs w:val="32"/>
          <w14:textFill>
            <w14:solidFill>
              <w14:schemeClr w14:val="tx1"/>
            </w14:solidFill>
          </w14:textFill>
        </w:rPr>
        <w:t>吐鲁番市在</w:t>
      </w:r>
      <w:r>
        <w:rPr>
          <w:rFonts w:hint="eastAsia" w:ascii="仿宋" w:hAnsi="仿宋" w:eastAsia="仿宋" w:cs="Times New Roman"/>
          <w:color w:val="000000" w:themeColor="text1"/>
          <w:sz w:val="32"/>
          <w:szCs w:val="32"/>
          <w14:textFill>
            <w14:solidFill>
              <w14:schemeClr w14:val="tx1"/>
            </w14:solidFill>
          </w14:textFill>
        </w:rPr>
        <w:t>国家“双重”规划</w:t>
      </w:r>
      <w:r>
        <w:rPr>
          <w:rFonts w:ascii="仿宋" w:hAnsi="仿宋" w:eastAsia="仿宋" w:cs="Times New Roman"/>
          <w:color w:val="000000" w:themeColor="text1"/>
          <w:sz w:val="32"/>
          <w:szCs w:val="32"/>
          <w14:textFill>
            <w14:solidFill>
              <w14:schemeClr w14:val="tx1"/>
            </w14:solidFill>
          </w14:textFill>
        </w:rPr>
        <w:t>中</w:t>
      </w:r>
      <w:r>
        <w:rPr>
          <w:rFonts w:hint="eastAsia" w:ascii="仿宋" w:hAnsi="仿宋" w:eastAsia="仿宋" w:cs="Times New Roman"/>
          <w:color w:val="000000" w:themeColor="text1"/>
          <w:sz w:val="32"/>
          <w:szCs w:val="32"/>
          <w14:textFill>
            <w14:solidFill>
              <w14:schemeClr w14:val="tx1"/>
            </w14:solidFill>
          </w14:textFill>
        </w:rPr>
        <w:t>，位于国家“三区四带”重要生态功能区之一北方防沙带中的天山和阿尔泰山地森林草原国家重点生态功能区内，是我国防沙治沙的关键性地带，也是我国生态保护和修复的难点区域，对于保障北方地区生态安全，改善全国生态环境具有重要意义。</w:t>
      </w:r>
    </w:p>
    <w:p>
      <w:pPr>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新疆“双重”规划在国家生态安全战略格局的基础上，结合新疆生态特征和资源禀赋，紧扣新疆“三屏两环多廊道”生态安全格局，划分形成阿尔泰山地森林草原生态系统、天山草原森林生态系统、阿尔金山荒漠草原生态系统、环准噶尔盆地荒漠绿洲生态系统、环塔里木盆地荒漠绿洲生态系统、帕米尔-昆仑山山地荒漠草原生态系统6个重要生态系统，涵盖支撑国家生态安全屏障的天山阿尔泰山森林草原生态功能区、塔里木河荒漠（沙）化防治生态功能区、阿尔金草原荒漠（沙）化防治生态功能区等国家重点生态功能区和新疆重要生态功能区、人类活动集中的绿洲区域及重要的自然保护地。</w:t>
      </w:r>
      <w:r>
        <w:rPr>
          <w:rFonts w:ascii="仿宋" w:hAnsi="仿宋" w:eastAsia="仿宋" w:cs="Times New Roman"/>
          <w:color w:val="000000" w:themeColor="text1"/>
          <w:sz w:val="32"/>
          <w:szCs w:val="32"/>
          <w14:textFill>
            <w14:solidFill>
              <w14:schemeClr w14:val="tx1"/>
            </w14:solidFill>
          </w14:textFill>
        </w:rPr>
        <w:t>吐鲁番市在</w:t>
      </w:r>
      <w:r>
        <w:rPr>
          <w:rFonts w:ascii="仿宋" w:hAnsi="仿宋" w:eastAsia="仿宋" w:cs="Times New Roman"/>
          <w:color w:val="000000" w:themeColor="text1"/>
          <w:sz w:val="32"/>
          <w:szCs w:val="32"/>
          <w:u w:val="none"/>
          <w14:textFill>
            <w14:solidFill>
              <w14:schemeClr w14:val="tx1"/>
            </w14:solidFill>
          </w14:textFill>
        </w:rPr>
        <w:t>《</w:t>
      </w:r>
      <w:r>
        <w:rPr>
          <w:rFonts w:hint="eastAsia" w:ascii="仿宋" w:hAnsi="仿宋" w:eastAsia="仿宋" w:cs="Times New Roman"/>
          <w:color w:val="000000" w:themeColor="text1"/>
          <w:sz w:val="32"/>
          <w:szCs w:val="32"/>
          <w:u w:val="none"/>
          <w14:textFill>
            <w14:solidFill>
              <w14:schemeClr w14:val="tx1"/>
            </w14:solidFill>
          </w14:textFill>
        </w:rPr>
        <w:t>新疆</w:t>
      </w:r>
      <w:r>
        <w:rPr>
          <w:rFonts w:ascii="仿宋" w:hAnsi="仿宋" w:eastAsia="仿宋" w:cs="Times New Roman"/>
          <w:color w:val="000000" w:themeColor="text1"/>
          <w:sz w:val="32"/>
          <w:szCs w:val="32"/>
          <w:u w:val="none"/>
          <w14:textFill>
            <w14:solidFill>
              <w14:schemeClr w14:val="tx1"/>
            </w14:solidFill>
          </w14:textFill>
        </w:rPr>
        <w:t>重要生态系统保护和修复重大工程总体规划（2021-2035年）</w:t>
      </w:r>
      <w:r>
        <w:rPr>
          <w:rFonts w:hint="eastAsia" w:ascii="仿宋" w:hAnsi="仿宋" w:eastAsia="仿宋" w:cs="Times New Roman"/>
          <w:color w:val="000000" w:themeColor="text1"/>
          <w:sz w:val="32"/>
          <w:szCs w:val="32"/>
          <w:u w:val="none"/>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中</w:t>
      </w:r>
      <w:r>
        <w:rPr>
          <w:rFonts w:hint="eastAsia" w:ascii="仿宋" w:hAnsi="仿宋" w:eastAsia="仿宋" w:cs="Times New Roman"/>
          <w:color w:val="000000" w:themeColor="text1"/>
          <w:sz w:val="32"/>
          <w:szCs w:val="32"/>
          <w14:textFill>
            <w14:solidFill>
              <w14:schemeClr w14:val="tx1"/>
            </w14:solidFill>
          </w14:textFill>
        </w:rPr>
        <w:t>，位于天山生态功能区中的东天山重要生态功能单元。</w:t>
      </w:r>
      <w:r>
        <w:rPr>
          <w:rFonts w:hint="eastAsia" w:ascii="仿宋" w:hAnsi="仿宋" w:eastAsia="仿宋" w:cs="Times New Roman"/>
          <w:color w:val="000000" w:themeColor="text1"/>
          <w:sz w:val="32"/>
          <w:szCs w:val="32"/>
          <w:u w:val="none"/>
          <w14:textFill>
            <w14:solidFill>
              <w14:schemeClr w14:val="tx1"/>
            </w14:solidFill>
          </w14:textFill>
        </w:rPr>
        <w:t>《新疆维吾尔自治区国土空间生态修复“十四五”规划》</w:t>
      </w:r>
      <w:r>
        <w:rPr>
          <w:rFonts w:hint="eastAsia" w:ascii="仿宋" w:hAnsi="仿宋" w:eastAsia="仿宋" w:cs="Times New Roman"/>
          <w:color w:val="000000" w:themeColor="text1"/>
          <w:sz w:val="32"/>
          <w:szCs w:val="32"/>
          <w14:textFill>
            <w14:solidFill>
              <w14:schemeClr w14:val="tx1"/>
            </w14:solidFill>
          </w14:textFill>
        </w:rPr>
        <w:t>将新疆国土空间</w:t>
      </w:r>
      <w:r>
        <w:rPr>
          <w:rFonts w:ascii="仿宋" w:hAnsi="仿宋" w:eastAsia="仿宋" w:cs="Times New Roman"/>
          <w:color w:val="000000" w:themeColor="text1"/>
          <w:sz w:val="32"/>
          <w:szCs w:val="32"/>
          <w14:textFill>
            <w14:solidFill>
              <w14:schemeClr w14:val="tx1"/>
            </w14:solidFill>
          </w14:textFill>
        </w:rPr>
        <w:t>分为阿尔泰山</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准噶尔盆地北缘、准噶尔盆地西缘、天山北坡、伊犁河谷、吐</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哈盆地、塔里木盆地东北缘、塔里木盆地北缘、塔里木盆地西南缘、塔里木盆地南缘、阿尔金山</w:t>
      </w:r>
      <w:r>
        <w:rPr>
          <w:rFonts w:hint="eastAsia" w:ascii="仿宋" w:hAnsi="仿宋" w:eastAsia="仿宋" w:cs="Times New Roman"/>
          <w:color w:val="000000" w:themeColor="text1"/>
          <w:sz w:val="32"/>
          <w:szCs w:val="32"/>
          <w14:textFill>
            <w14:solidFill>
              <w14:schemeClr w14:val="tx1"/>
            </w14:solidFill>
          </w14:textFill>
        </w:rPr>
        <w:t>等</w:t>
      </w:r>
      <w:r>
        <w:rPr>
          <w:rFonts w:ascii="仿宋" w:hAnsi="仿宋" w:eastAsia="仿宋" w:cs="Times New Roman"/>
          <w:color w:val="000000" w:themeColor="text1"/>
          <w:sz w:val="32"/>
          <w:szCs w:val="32"/>
          <w14:textFill>
            <w14:solidFill>
              <w14:schemeClr w14:val="tx1"/>
            </w14:solidFill>
          </w14:textFill>
        </w:rPr>
        <w:t>10个生态修复</w:t>
      </w:r>
      <w:r>
        <w:rPr>
          <w:rFonts w:hint="eastAsia" w:ascii="仿宋" w:hAnsi="仿宋" w:eastAsia="仿宋" w:cs="Times New Roman"/>
          <w:color w:val="000000" w:themeColor="text1"/>
          <w:sz w:val="32"/>
          <w:szCs w:val="32"/>
          <w14:textFill>
            <w14:solidFill>
              <w14:schemeClr w14:val="tx1"/>
            </w14:solidFill>
          </w14:textFill>
        </w:rPr>
        <w:t>分区。吐鲁番市位于该规划中的吐-哈盆地生态修复分区，该区</w:t>
      </w:r>
      <w:r>
        <w:rPr>
          <w:rFonts w:ascii="仿宋" w:hAnsi="仿宋" w:eastAsia="仿宋" w:cs="Times New Roman"/>
          <w:color w:val="000000" w:themeColor="text1"/>
          <w:sz w:val="32"/>
          <w:szCs w:val="32"/>
          <w14:textFill>
            <w14:solidFill>
              <w14:schemeClr w14:val="tx1"/>
            </w14:solidFill>
          </w14:textFill>
        </w:rPr>
        <w:t>生态安全屏障质量对国家能源安全</w:t>
      </w:r>
      <w:r>
        <w:rPr>
          <w:rFonts w:hint="eastAsia" w:ascii="仿宋" w:hAnsi="仿宋" w:eastAsia="仿宋" w:cs="Times New Roman"/>
          <w:color w:val="000000" w:themeColor="text1"/>
          <w:sz w:val="32"/>
          <w:szCs w:val="32"/>
          <w14:textFill>
            <w14:solidFill>
              <w14:schemeClr w14:val="tx1"/>
            </w14:solidFill>
          </w14:textFill>
        </w:rPr>
        <w:t>和</w:t>
      </w:r>
      <w:r>
        <w:rPr>
          <w:rFonts w:ascii="仿宋" w:hAnsi="仿宋" w:eastAsia="仿宋" w:cs="Times New Roman"/>
          <w:color w:val="000000" w:themeColor="text1"/>
          <w:sz w:val="32"/>
          <w:szCs w:val="32"/>
          <w14:textFill>
            <w14:solidFill>
              <w14:schemeClr w14:val="tx1"/>
            </w14:solidFill>
          </w14:textFill>
        </w:rPr>
        <w:t>极端干旱区生物多样性保护具有重要意义。</w:t>
      </w:r>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37" w:name="_Toc125907428"/>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三、吐鲁番市国土空间生态修复总体格局</w:t>
      </w:r>
      <w:bookmarkEnd w:id="37"/>
    </w:p>
    <w:p>
      <w:pPr>
        <w:pageBreakBefore w:val="0"/>
        <w:widowControl w:val="0"/>
        <w:kinsoku/>
        <w:wordWrap/>
        <w:overflowPunct/>
        <w:topLinePunct w:val="0"/>
        <w:autoSpaceDE/>
        <w:autoSpaceDN/>
        <w:bidi w:val="0"/>
        <w:adjustRightInd w:val="0"/>
        <w:snapToGrid w:val="0"/>
        <w:spacing w:line="560" w:lineRule="exact"/>
        <w:ind w:firstLine="561"/>
        <w:textAlignment w:val="auto"/>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国土空间</w:t>
      </w:r>
      <w:r>
        <w:rPr>
          <w:rFonts w:hint="eastAsia" w:ascii="仿宋" w:hAnsi="仿宋" w:eastAsia="仿宋" w:cs="Times New Roman"/>
          <w:color w:val="000000" w:themeColor="text1"/>
          <w:sz w:val="32"/>
          <w:szCs w:val="32"/>
          <w14:textFill>
            <w14:solidFill>
              <w14:schemeClr w14:val="tx1"/>
            </w14:solidFill>
          </w14:textFill>
        </w:rPr>
        <w:t>总体格局表现为，</w:t>
      </w:r>
      <w:bookmarkStart w:id="38" w:name="_Hlk97110251"/>
      <w:r>
        <w:rPr>
          <w:rFonts w:hint="eastAsia" w:ascii="仿宋" w:hAnsi="仿宋" w:eastAsia="仿宋" w:cs="Times New Roman"/>
          <w:color w:val="000000" w:themeColor="text1"/>
          <w:sz w:val="32"/>
          <w:szCs w:val="32"/>
          <w14:textFill>
            <w14:solidFill>
              <w14:schemeClr w14:val="tx1"/>
            </w14:solidFill>
          </w14:textFill>
        </w:rPr>
        <w:t>北部</w:t>
      </w:r>
      <w:r>
        <w:rPr>
          <w:rFonts w:ascii="仿宋" w:hAnsi="仿宋" w:eastAsia="仿宋" w:cs="Times New Roman"/>
          <w:color w:val="000000" w:themeColor="text1"/>
          <w:sz w:val="32"/>
          <w:szCs w:val="32"/>
          <w14:textFill>
            <w14:solidFill>
              <w14:schemeClr w14:val="tx1"/>
            </w14:solidFill>
          </w14:textFill>
        </w:rPr>
        <w:t>山区构筑生态安全屏障，中部绿洲是人类活动的主要聚集区，</w:t>
      </w:r>
      <w:r>
        <w:rPr>
          <w:rFonts w:hint="eastAsia" w:ascii="仿宋" w:hAnsi="仿宋" w:eastAsia="仿宋" w:cs="Times New Roman"/>
          <w:color w:val="000000" w:themeColor="text1"/>
          <w:sz w:val="32"/>
          <w:szCs w:val="32"/>
          <w14:textFill>
            <w14:solidFill>
              <w14:schemeClr w14:val="tx1"/>
            </w14:solidFill>
          </w14:textFill>
        </w:rPr>
        <w:t>南部</w:t>
      </w:r>
      <w:r>
        <w:rPr>
          <w:rFonts w:ascii="仿宋" w:hAnsi="仿宋" w:eastAsia="仿宋" w:cs="Times New Roman"/>
          <w:color w:val="000000" w:themeColor="text1"/>
          <w:sz w:val="32"/>
          <w:szCs w:val="32"/>
          <w14:textFill>
            <w14:solidFill>
              <w14:schemeClr w14:val="tx1"/>
            </w14:solidFill>
          </w14:textFill>
        </w:rPr>
        <w:t>绿洲外围荒漠的稳定性是维持绿洲生态安全的关键</w:t>
      </w:r>
      <w:r>
        <w:rPr>
          <w:rFonts w:hint="eastAsia" w:ascii="仿宋" w:hAnsi="仿宋" w:eastAsia="仿宋" w:cs="Times New Roman"/>
          <w:color w:val="000000" w:themeColor="text1"/>
          <w:sz w:val="32"/>
          <w:szCs w:val="32"/>
          <w14:textFill>
            <w14:solidFill>
              <w14:schemeClr w14:val="tx1"/>
            </w14:solidFill>
          </w14:textFill>
        </w:rPr>
        <w:t>区域</w:t>
      </w:r>
      <w:r>
        <w:rPr>
          <w:rFonts w:ascii="仿宋" w:hAnsi="仿宋" w:eastAsia="仿宋" w:cs="Times New Roman"/>
          <w:color w:val="000000" w:themeColor="text1"/>
          <w:sz w:val="32"/>
          <w:szCs w:val="32"/>
          <w14:textFill>
            <w14:solidFill>
              <w14:schemeClr w14:val="tx1"/>
            </w14:solidFill>
          </w14:textFill>
        </w:rPr>
        <w:t>。独特的自然地理格局和生态系统本底特征决定了</w:t>
      </w: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国土空间生态修复的总体思路为</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以水为主线，统筹山地-绿洲关系、绿洲-荒漠关系，改善山地生态系统水源涵养功能，</w:t>
      </w:r>
      <w:r>
        <w:rPr>
          <w:rFonts w:hint="eastAsia" w:ascii="仿宋" w:hAnsi="仿宋" w:eastAsia="仿宋" w:cs="Times New Roman"/>
          <w:color w:val="000000" w:themeColor="text1"/>
          <w:sz w:val="32"/>
          <w:szCs w:val="32"/>
          <w14:textFill>
            <w14:solidFill>
              <w14:schemeClr w14:val="tx1"/>
            </w14:solidFill>
          </w14:textFill>
        </w:rPr>
        <w:t>保护修复山区森林草原生态系统稳定性，</w:t>
      </w:r>
      <w:r>
        <w:rPr>
          <w:rFonts w:ascii="仿宋" w:hAnsi="仿宋" w:eastAsia="仿宋" w:cs="Times New Roman"/>
          <w:color w:val="000000" w:themeColor="text1"/>
          <w:sz w:val="32"/>
          <w:szCs w:val="32"/>
          <w14:textFill>
            <w14:solidFill>
              <w14:schemeClr w14:val="tx1"/>
            </w14:solidFill>
          </w14:textFill>
        </w:rPr>
        <w:t>提升绿洲区水</w:t>
      </w:r>
      <w:r>
        <w:rPr>
          <w:rFonts w:hint="eastAsia" w:ascii="仿宋" w:hAnsi="仿宋" w:eastAsia="仿宋" w:cs="Times New Roman"/>
          <w:color w:val="000000" w:themeColor="text1"/>
          <w:sz w:val="32"/>
          <w:szCs w:val="32"/>
          <w14:textFill>
            <w14:solidFill>
              <w14:schemeClr w14:val="tx1"/>
            </w14:solidFill>
          </w14:textFill>
        </w:rPr>
        <w:t>土</w:t>
      </w:r>
      <w:r>
        <w:rPr>
          <w:rFonts w:ascii="仿宋" w:hAnsi="仿宋" w:eastAsia="仿宋" w:cs="Times New Roman"/>
          <w:color w:val="000000" w:themeColor="text1"/>
          <w:sz w:val="32"/>
          <w:szCs w:val="32"/>
          <w14:textFill>
            <w14:solidFill>
              <w14:schemeClr w14:val="tx1"/>
            </w14:solidFill>
          </w14:textFill>
        </w:rPr>
        <w:t>资源</w:t>
      </w:r>
      <w:r>
        <w:rPr>
          <w:rFonts w:hint="eastAsia" w:ascii="仿宋" w:hAnsi="仿宋" w:eastAsia="仿宋" w:cs="Times New Roman"/>
          <w:color w:val="000000" w:themeColor="text1"/>
          <w:sz w:val="32"/>
          <w:szCs w:val="32"/>
          <w14:textFill>
            <w14:solidFill>
              <w14:schemeClr w14:val="tx1"/>
            </w14:solidFill>
          </w14:textFill>
        </w:rPr>
        <w:t>高效</w:t>
      </w:r>
      <w:r>
        <w:rPr>
          <w:rFonts w:ascii="仿宋" w:hAnsi="仿宋" w:eastAsia="仿宋" w:cs="Times New Roman"/>
          <w:color w:val="000000" w:themeColor="text1"/>
          <w:sz w:val="32"/>
          <w:szCs w:val="32"/>
          <w14:textFill>
            <w14:solidFill>
              <w14:schemeClr w14:val="tx1"/>
            </w14:solidFill>
          </w14:textFill>
        </w:rPr>
        <w:t>利用水平，</w:t>
      </w:r>
      <w:r>
        <w:rPr>
          <w:rFonts w:hint="eastAsia" w:ascii="仿宋" w:hAnsi="仿宋" w:eastAsia="仿宋" w:cs="Times New Roman"/>
          <w:color w:val="000000" w:themeColor="text1"/>
          <w:sz w:val="32"/>
          <w:szCs w:val="32"/>
          <w14:textFill>
            <w14:solidFill>
              <w14:schemeClr w14:val="tx1"/>
            </w14:solidFill>
          </w14:textFill>
        </w:rPr>
        <w:t>提升绿洲区生态系统服务功能和生态产品价值，</w:t>
      </w:r>
      <w:r>
        <w:rPr>
          <w:rFonts w:ascii="仿宋" w:hAnsi="仿宋" w:eastAsia="仿宋" w:cs="Times New Roman"/>
          <w:color w:val="000000" w:themeColor="text1"/>
          <w:sz w:val="32"/>
          <w:szCs w:val="32"/>
          <w14:textFill>
            <w14:solidFill>
              <w14:schemeClr w14:val="tx1"/>
            </w14:solidFill>
          </w14:textFill>
        </w:rPr>
        <w:t>增强绿洲外围荒漠生态系统</w:t>
      </w:r>
      <w:r>
        <w:rPr>
          <w:rFonts w:hint="eastAsia" w:ascii="仿宋" w:hAnsi="仿宋" w:eastAsia="仿宋" w:cs="Times New Roman"/>
          <w:color w:val="000000" w:themeColor="text1"/>
          <w:sz w:val="32"/>
          <w:szCs w:val="32"/>
          <w14:textFill>
            <w14:solidFill>
              <w14:schemeClr w14:val="tx1"/>
            </w14:solidFill>
          </w14:textFill>
        </w:rPr>
        <w:t>稳定性</w:t>
      </w:r>
      <w:r>
        <w:rPr>
          <w:rFonts w:ascii="仿宋" w:hAnsi="仿宋" w:eastAsia="仿宋" w:cs="Times New Roman"/>
          <w:color w:val="000000" w:themeColor="text1"/>
          <w:sz w:val="32"/>
          <w:szCs w:val="32"/>
          <w14:textFill>
            <w14:solidFill>
              <w14:schemeClr w14:val="tx1"/>
            </w14:solidFill>
          </w14:textFill>
        </w:rPr>
        <w:t>。</w:t>
      </w:r>
    </w:p>
    <w:bookmarkEnd w:id="38"/>
    <w:p>
      <w:pPr>
        <w:pageBreakBefore w:val="0"/>
        <w:widowControl w:val="0"/>
        <w:kinsoku/>
        <w:wordWrap/>
        <w:overflowPunct/>
        <w:topLinePunct w:val="0"/>
        <w:autoSpaceDE/>
        <w:autoSpaceDN/>
        <w:bidi w:val="0"/>
        <w:spacing w:line="560" w:lineRule="exact"/>
        <w:ind w:firstLine="567"/>
        <w:textAlignment w:val="auto"/>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根据吐鲁番市所在自治区生态修复分区的地理位置和生态系统格局，</w:t>
      </w:r>
      <w:r>
        <w:rPr>
          <w:rFonts w:ascii="仿宋" w:hAnsi="仿宋" w:eastAsia="仿宋" w:cs="Times New Roman"/>
          <w:color w:val="000000" w:themeColor="text1"/>
          <w:sz w:val="32"/>
          <w:szCs w:val="32"/>
          <w14:textFill>
            <w14:solidFill>
              <w14:schemeClr w14:val="tx1"/>
            </w14:solidFill>
          </w14:textFill>
        </w:rPr>
        <w:t>基于山地-绿洲-荒漠的内在生态关联，</w:t>
      </w:r>
      <w:bookmarkStart w:id="39" w:name="_Hlk97110278"/>
      <w:r>
        <w:rPr>
          <w:rFonts w:ascii="仿宋" w:hAnsi="仿宋" w:eastAsia="仿宋" w:cs="Times New Roman"/>
          <w:color w:val="000000" w:themeColor="text1"/>
          <w:sz w:val="32"/>
          <w:szCs w:val="32"/>
          <w14:textFill>
            <w14:solidFill>
              <w14:schemeClr w14:val="tx1"/>
            </w14:solidFill>
          </w14:textFill>
        </w:rPr>
        <w:t>以</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抚育山区，优化绿洲，稳定荒漠</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为主线，以增强生态系统</w:t>
      </w:r>
      <w:r>
        <w:rPr>
          <w:rFonts w:hint="eastAsia" w:ascii="仿宋" w:hAnsi="仿宋" w:eastAsia="仿宋" w:cs="Times New Roman"/>
          <w:color w:val="000000" w:themeColor="text1"/>
          <w:sz w:val="32"/>
          <w:szCs w:val="32"/>
          <w14:textFill>
            <w14:solidFill>
              <w14:schemeClr w14:val="tx1"/>
            </w14:solidFill>
          </w14:textFill>
        </w:rPr>
        <w:t>质量和稳定性</w:t>
      </w:r>
      <w:r>
        <w:rPr>
          <w:rFonts w:ascii="仿宋" w:hAnsi="仿宋" w:eastAsia="仿宋" w:cs="Times New Roman"/>
          <w:color w:val="000000" w:themeColor="text1"/>
          <w:sz w:val="32"/>
          <w:szCs w:val="32"/>
          <w14:textFill>
            <w14:solidFill>
              <w14:schemeClr w14:val="tx1"/>
            </w14:solidFill>
          </w14:textFill>
        </w:rPr>
        <w:t>为目标，着眼于</w:t>
      </w:r>
      <w:r>
        <w:rPr>
          <w:rFonts w:hint="eastAsia" w:ascii="仿宋" w:hAnsi="仿宋" w:eastAsia="仿宋" w:cs="Times New Roman"/>
          <w:color w:val="000000" w:themeColor="text1"/>
          <w:sz w:val="32"/>
          <w:szCs w:val="32"/>
          <w14:textFill>
            <w14:solidFill>
              <w14:schemeClr w14:val="tx1"/>
            </w14:solidFill>
          </w14:textFill>
        </w:rPr>
        <w:t>全市</w:t>
      </w:r>
      <w:r>
        <w:rPr>
          <w:rFonts w:ascii="仿宋" w:hAnsi="仿宋" w:eastAsia="仿宋" w:cs="Times New Roman"/>
          <w:color w:val="000000" w:themeColor="text1"/>
          <w:sz w:val="32"/>
          <w:szCs w:val="32"/>
          <w14:textFill>
            <w14:solidFill>
              <w14:schemeClr w14:val="tx1"/>
            </w14:solidFill>
          </w14:textFill>
        </w:rPr>
        <w:t>国土空间整体保护、系统修复、综合治理的总体目标，以重要生态区域、流域生态问题和生态风险为导向，保护和提升森林、草原、河流、湖泊、湿地等生态系统功能，</w:t>
      </w:r>
      <w:bookmarkEnd w:id="39"/>
      <w:r>
        <w:rPr>
          <w:rFonts w:hint="eastAsia" w:ascii="仿宋" w:hAnsi="仿宋" w:eastAsia="仿宋" w:cs="Times New Roman"/>
          <w:color w:val="000000" w:themeColor="text1"/>
          <w:sz w:val="32"/>
          <w:szCs w:val="32"/>
          <w14:textFill>
            <w14:solidFill>
              <w14:schemeClr w14:val="tx1"/>
            </w14:solidFill>
          </w14:textFill>
        </w:rPr>
        <w:t>将吐鲁番市国土空间生态修复的总体格局划分为四大片区、五个分区。四大片区主要指北部的天山森林草原生态保护区、中部的人工绿洲与艾比湖湿地生态保护区、绿洲外围防风固沙缓冲生态保护区、以及南部的荒漠基底生态保护区。五个分区依次为：天山南坡东段土壤侵蚀敏感与水源保护生态修复分区、</w:t>
      </w:r>
      <w:r>
        <w:rPr>
          <w:rFonts w:ascii="仿宋" w:hAnsi="仿宋" w:eastAsia="仿宋" w:cs="Times New Roman"/>
          <w:color w:val="000000" w:themeColor="text1"/>
          <w:sz w:val="32"/>
          <w:szCs w:val="32"/>
          <w14:textFill>
            <w14:solidFill>
              <w14:schemeClr w14:val="tx1"/>
            </w14:solidFill>
          </w14:textFill>
        </w:rPr>
        <w:t>绿洲特色农业旅游与艾丁湖湿地保护生态修复区</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绿洲外围防风固沙生态修复区</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觉罗塔格-库鲁克塔格山荒漠植被保护生态修复区</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嘎顺-南湖戈壁荒漠风蚀敏感生态修复区</w:t>
      </w:r>
      <w:r>
        <w:rPr>
          <w:rFonts w:hint="eastAsia" w:ascii="仿宋" w:hAnsi="仿宋" w:eastAsia="仿宋" w:cs="Times New Roman"/>
          <w:color w:val="000000" w:themeColor="text1"/>
          <w:sz w:val="32"/>
          <w:szCs w:val="32"/>
          <w14:textFill>
            <w14:solidFill>
              <w14:schemeClr w14:val="tx1"/>
            </w14:solidFill>
          </w14:textFill>
        </w:rPr>
        <w:t>。</w:t>
      </w:r>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40" w:name="_Toc125907429"/>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四、生态修复分区</w:t>
      </w:r>
      <w:bookmarkEnd w:id="40"/>
    </w:p>
    <w:p>
      <w:pPr>
        <w:pStyle w:val="3"/>
        <w:pageBreakBefore w:val="0"/>
        <w:widowControl w:val="0"/>
        <w:kinsoku/>
        <w:wordWrap/>
        <w:overflowPunct/>
        <w:topLinePunct w:val="0"/>
        <w:autoSpaceDE/>
        <w:autoSpaceDN/>
        <w:bidi w:val="0"/>
        <w:spacing w:before="120" w:beforeLines="50" w:after="120" w:afterLines="50" w:line="560" w:lineRule="exact"/>
        <w:ind w:firstLine="565" w:firstLineChars="176"/>
        <w:jc w:val="left"/>
        <w:textAlignment w:val="auto"/>
        <w:rPr>
          <w:rFonts w:ascii="仿宋" w:hAnsi="仿宋" w:eastAsia="仿宋" w:cs="Times New Roman"/>
          <w:color w:val="000000" w:themeColor="text1"/>
          <w:shd w:val="clear" w:color="auto" w:fill="FFFFFF"/>
          <w14:textFill>
            <w14:solidFill>
              <w14:schemeClr w14:val="tx1"/>
            </w14:solidFill>
          </w14:textFill>
        </w:rPr>
      </w:pPr>
      <w:bookmarkStart w:id="41" w:name="_Toc125907430"/>
      <w:bookmarkStart w:id="42" w:name="_Toc88262316"/>
      <w:bookmarkStart w:id="43" w:name="_Toc119582398"/>
      <w:r>
        <w:rPr>
          <w:rFonts w:hint="eastAsia" w:ascii="仿宋" w:hAnsi="仿宋" w:eastAsia="仿宋" w:cs="Times New Roman"/>
          <w:color w:val="000000" w:themeColor="text1"/>
          <w:shd w:val="clear" w:color="auto" w:fill="FFFFFF"/>
          <w14:textFill>
            <w14:solidFill>
              <w14:schemeClr w14:val="tx1"/>
            </w14:solidFill>
          </w14:textFill>
        </w:rPr>
        <w:t>（一）天山南坡东段土壤侵蚀敏感与水源保护生态修复分区</w:t>
      </w:r>
      <w:bookmarkEnd w:id="41"/>
      <w:bookmarkEnd w:id="42"/>
      <w:bookmarkEnd w:id="43"/>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分区概况。</w:t>
      </w:r>
      <w:r>
        <w:rPr>
          <w:rFonts w:hint="eastAsia" w:ascii="仿宋" w:hAnsi="仿宋" w:eastAsia="仿宋"/>
          <w:color w:val="000000" w:themeColor="text1"/>
          <w:sz w:val="32"/>
          <w:szCs w:val="32"/>
          <w14:textFill>
            <w14:solidFill>
              <w14:schemeClr w14:val="tx1"/>
            </w14:solidFill>
          </w14:textFill>
        </w:rPr>
        <w:t>位于</w:t>
      </w:r>
      <w:r>
        <w:rPr>
          <w:rFonts w:ascii="仿宋" w:hAnsi="仿宋" w:eastAsia="仿宋"/>
          <w:color w:val="000000" w:themeColor="text1"/>
          <w:sz w:val="32"/>
          <w:szCs w:val="32"/>
          <w14:textFill>
            <w14:solidFill>
              <w14:schemeClr w14:val="tx1"/>
            </w14:solidFill>
          </w14:textFill>
        </w:rPr>
        <w:t>天山草原森林生态保护区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主要包括市域兰新铁路以北区域，</w:t>
      </w:r>
      <w:r>
        <w:rPr>
          <w:rFonts w:hint="eastAsia" w:ascii="仿宋" w:hAnsi="仿宋" w:eastAsia="仿宋"/>
          <w:color w:val="000000" w:themeColor="text1"/>
          <w:sz w:val="32"/>
          <w:szCs w:val="32"/>
          <w14:textFill>
            <w14:solidFill>
              <w14:schemeClr w14:val="tx1"/>
            </w14:solidFill>
          </w14:textFill>
        </w:rPr>
        <w:t>是众多河流的源头，是平原绿洲的生命线，</w:t>
      </w:r>
      <w:r>
        <w:rPr>
          <w:rFonts w:ascii="仿宋" w:hAnsi="仿宋" w:eastAsia="仿宋"/>
          <w:color w:val="000000" w:themeColor="text1"/>
          <w:sz w:val="32"/>
          <w:szCs w:val="32"/>
          <w14:textFill>
            <w14:solidFill>
              <w14:schemeClr w14:val="tx1"/>
            </w14:solidFill>
          </w14:textFill>
        </w:rPr>
        <w:t>是吐鲁番市重要的</w:t>
      </w:r>
      <w:r>
        <w:rPr>
          <w:rFonts w:hint="eastAsia" w:ascii="仿宋" w:hAnsi="仿宋" w:eastAsia="仿宋"/>
          <w:color w:val="000000" w:themeColor="text1"/>
          <w:sz w:val="32"/>
          <w:szCs w:val="32"/>
          <w14:textFill>
            <w14:solidFill>
              <w14:schemeClr w14:val="tx1"/>
            </w14:solidFill>
          </w14:textFill>
        </w:rPr>
        <w:t>水源涵养区和</w:t>
      </w:r>
      <w:r>
        <w:rPr>
          <w:rFonts w:ascii="仿宋" w:hAnsi="仿宋" w:eastAsia="仿宋"/>
          <w:color w:val="000000" w:themeColor="text1"/>
          <w:sz w:val="32"/>
          <w:szCs w:val="32"/>
          <w14:textFill>
            <w14:solidFill>
              <w14:schemeClr w14:val="tx1"/>
            </w14:solidFill>
          </w14:textFill>
        </w:rPr>
        <w:t>水资源形成区</w:t>
      </w:r>
      <w:r>
        <w:rPr>
          <w:rFonts w:hint="eastAsia" w:ascii="仿宋" w:hAnsi="仿宋" w:eastAsia="仿宋"/>
          <w:color w:val="000000" w:themeColor="text1"/>
          <w:sz w:val="32"/>
          <w:szCs w:val="32"/>
          <w14:textFill>
            <w14:solidFill>
              <w14:schemeClr w14:val="tx1"/>
            </w14:solidFill>
          </w14:textFill>
        </w:rPr>
        <w:t>，对维系吐鲁番市三类空间均衡发展具有极其重要的作用。含</w:t>
      </w:r>
      <w:r>
        <w:rPr>
          <w:rFonts w:ascii="仿宋" w:hAnsi="仿宋" w:eastAsia="仿宋"/>
          <w:color w:val="000000" w:themeColor="text1"/>
          <w:sz w:val="32"/>
          <w:szCs w:val="32"/>
          <w14:textFill>
            <w14:solidFill>
              <w14:schemeClr w14:val="tx1"/>
            </w14:solidFill>
          </w14:textFill>
        </w:rPr>
        <w:t>北部天山水源涵养与生物多样性维护生态保护红线区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为</w:t>
      </w:r>
      <w:r>
        <w:rPr>
          <w:rFonts w:hint="eastAsia" w:ascii="仿宋" w:hAnsi="仿宋" w:eastAsia="仿宋"/>
          <w:color w:val="000000" w:themeColor="text1"/>
          <w:sz w:val="32"/>
          <w:szCs w:val="32"/>
          <w14:textFill>
            <w14:solidFill>
              <w14:schemeClr w14:val="tx1"/>
            </w14:solidFill>
          </w14:textFill>
        </w:rPr>
        <w:t>吐鲁番市</w:t>
      </w:r>
      <w:r>
        <w:rPr>
          <w:rFonts w:ascii="仿宋" w:hAnsi="仿宋" w:eastAsia="仿宋"/>
          <w:color w:val="000000" w:themeColor="text1"/>
          <w:sz w:val="32"/>
          <w:szCs w:val="32"/>
          <w14:textFill>
            <w14:solidFill>
              <w14:schemeClr w14:val="tx1"/>
            </w14:solidFill>
          </w14:textFill>
        </w:rPr>
        <w:t>重点</w:t>
      </w:r>
      <w:r>
        <w:rPr>
          <w:rFonts w:hint="eastAsia" w:ascii="仿宋" w:hAnsi="仿宋" w:eastAsia="仿宋"/>
          <w:color w:val="000000" w:themeColor="text1"/>
          <w:sz w:val="32"/>
          <w:szCs w:val="32"/>
          <w14:textFill>
            <w14:solidFill>
              <w14:schemeClr w14:val="tx1"/>
            </w14:solidFill>
          </w14:textFill>
        </w:rPr>
        <w:t>生态</w:t>
      </w:r>
      <w:r>
        <w:rPr>
          <w:rFonts w:ascii="仿宋" w:hAnsi="仿宋" w:eastAsia="仿宋"/>
          <w:color w:val="000000" w:themeColor="text1"/>
          <w:sz w:val="32"/>
          <w:szCs w:val="32"/>
          <w14:textFill>
            <w14:solidFill>
              <w14:schemeClr w14:val="tx1"/>
            </w14:solidFill>
          </w14:textFill>
        </w:rPr>
        <w:t>保护对象。</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自然地理条件。</w:t>
      </w:r>
      <w:r>
        <w:rPr>
          <w:rFonts w:hint="eastAsia" w:ascii="仿宋" w:hAnsi="仿宋" w:eastAsia="仿宋"/>
          <w:color w:val="000000" w:themeColor="text1"/>
          <w:sz w:val="32"/>
          <w:szCs w:val="32"/>
          <w14:textFill>
            <w14:solidFill>
              <w14:schemeClr w14:val="tx1"/>
            </w14:solidFill>
          </w14:textFill>
        </w:rPr>
        <w:t>区内生态系统类型主要有针叶林和高山草甸草原，在保护生物多样性方面发挥着重要作用。天然林为</w:t>
      </w:r>
      <w:r>
        <w:rPr>
          <w:rFonts w:ascii="仿宋" w:hAnsi="仿宋" w:eastAsia="仿宋"/>
          <w:color w:val="000000" w:themeColor="text1"/>
          <w:sz w:val="32"/>
          <w:szCs w:val="32"/>
          <w14:textFill>
            <w14:solidFill>
              <w14:schemeClr w14:val="tx1"/>
            </w14:solidFill>
          </w14:textFill>
        </w:rPr>
        <w:t>针叶林、河谷林</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主要分布在天山山区阴坡和半阴坡地带及河谷两岸，树种在山区主要为片状分布的云杉、落叶松及苦杨、胡杨等林木</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在河谷主要为带状分布的山柳、白榆、红柳等林木。该区年平均降水量</w:t>
      </w:r>
      <w:r>
        <w:rPr>
          <w:rFonts w:ascii="Times New Roman" w:hAnsi="Times New Roman" w:eastAsia="仿宋" w:cs="Times New Roman"/>
          <w:color w:val="000000" w:themeColor="text1"/>
          <w:sz w:val="32"/>
          <w:szCs w:val="32"/>
          <w14:textFill>
            <w14:solidFill>
              <w14:schemeClr w14:val="tx1"/>
            </w14:solidFill>
          </w14:textFill>
        </w:rPr>
        <w:t>200-400</w:t>
      </w:r>
      <w:r>
        <w:rPr>
          <w:rFonts w:ascii="仿宋" w:hAnsi="仿宋" w:eastAsia="仿宋" w:cs="Times New Roman"/>
          <w:color w:val="000000" w:themeColor="text1"/>
          <w:sz w:val="32"/>
          <w:szCs w:val="32"/>
          <w14:textFill>
            <w14:solidFill>
              <w14:schemeClr w14:val="tx1"/>
            </w14:solidFill>
          </w14:textFill>
        </w:rPr>
        <w:t>毫米，森林植被完全靠自然降水提供生长用水</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主要保护野生动植物包括，</w:t>
      </w:r>
      <w:r>
        <w:rPr>
          <w:rFonts w:ascii="仿宋" w:hAnsi="仿宋" w:eastAsia="仿宋"/>
          <w:color w:val="000000" w:themeColor="text1"/>
          <w:sz w:val="32"/>
          <w:szCs w:val="32"/>
          <w14:textFill>
            <w14:solidFill>
              <w14:schemeClr w14:val="tx1"/>
            </w14:solidFill>
          </w14:textFill>
        </w:rPr>
        <w:t>马鹿、棕熊、黑鹳、白肩雕、大天鹅、小天鹅、新疆北鲵、玉带海雕、秃鹫、白鹈鹕、小苇鳽、斑尾林鸽、雪岭云杉、直茎红景天、伊犁杨、柱花红</w:t>
      </w:r>
      <w:r>
        <w:rPr>
          <w:rFonts w:ascii="仿宋" w:hAnsi="仿宋" w:eastAsia="仿宋" w:cs="Times New Roman"/>
          <w:color w:val="000000" w:themeColor="text1"/>
          <w:sz w:val="32"/>
          <w:szCs w:val="32"/>
          <w14:textFill>
            <w14:solidFill>
              <w14:schemeClr w14:val="tx1"/>
            </w14:solidFill>
          </w14:textFill>
        </w:rPr>
        <w:t>景天、珊瑚兰、半日花、瓣鳞花、宽叶红门兰、北极果、帕米红景天、新疆紫草</w:t>
      </w:r>
      <w:r>
        <w:rPr>
          <w:rFonts w:hint="eastAsia" w:ascii="仿宋" w:hAnsi="仿宋" w:eastAsia="仿宋"/>
          <w:color w:val="000000" w:themeColor="text1"/>
          <w:sz w:val="32"/>
          <w:szCs w:val="32"/>
          <w14:textFill>
            <w14:solidFill>
              <w14:schemeClr w14:val="tx1"/>
            </w14:solidFill>
          </w14:textFill>
        </w:rPr>
        <w:t>等。同时，该区水土流失和沙漠化敏感性较高。</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主要生态问题。</w:t>
      </w:r>
      <w:r>
        <w:rPr>
          <w:rFonts w:hint="eastAsia" w:ascii="仿宋" w:hAnsi="仿宋" w:eastAsia="仿宋"/>
          <w:color w:val="000000" w:themeColor="text1"/>
          <w:sz w:val="32"/>
          <w:szCs w:val="32"/>
          <w14:textFill>
            <w14:solidFill>
              <w14:schemeClr w14:val="tx1"/>
            </w14:solidFill>
          </w14:textFill>
        </w:rPr>
        <w:t>局部山地天然林和河谷林破坏较严重，水源涵养功能下降。</w:t>
      </w:r>
      <w:r>
        <w:rPr>
          <w:rFonts w:ascii="仿宋" w:hAnsi="仿宋" w:eastAsia="仿宋"/>
          <w:color w:val="000000" w:themeColor="text1"/>
          <w:sz w:val="32"/>
          <w:szCs w:val="32"/>
          <w14:textFill>
            <w14:solidFill>
              <w14:schemeClr w14:val="tx1"/>
            </w14:solidFill>
          </w14:textFill>
        </w:rPr>
        <w:t>山地原生型森林林分结构不合理、退化较严重，传统的生产方式与林草保护高质量发展的要求不相适应。</w:t>
      </w:r>
      <w:r>
        <w:rPr>
          <w:rFonts w:hint="eastAsia" w:ascii="仿宋" w:hAnsi="仿宋" w:eastAsia="仿宋"/>
          <w:color w:val="000000" w:themeColor="text1"/>
          <w:sz w:val="32"/>
          <w:szCs w:val="32"/>
          <w14:textFill>
            <w14:solidFill>
              <w14:schemeClr w14:val="tx1"/>
            </w14:solidFill>
          </w14:textFill>
        </w:rPr>
        <w:t>草地植被呈现不同程度退化，局部水土流失和地灾风险加大</w:t>
      </w:r>
      <w:r>
        <w:rPr>
          <w:rFonts w:ascii="仿宋" w:hAnsi="仿宋" w:eastAsia="仿宋"/>
          <w:color w:val="000000" w:themeColor="text1"/>
          <w:sz w:val="32"/>
          <w:szCs w:val="32"/>
          <w14:textFill>
            <w14:solidFill>
              <w14:schemeClr w14:val="tx1"/>
            </w14:solidFill>
          </w14:textFill>
        </w:rPr>
        <w:t>，生态功能降低。该区为土壤侵蚀敏感区，风蚀和干旱剥蚀强烈</w:t>
      </w:r>
      <w:r>
        <w:rPr>
          <w:rFonts w:hint="eastAsia" w:ascii="仿宋" w:hAnsi="仿宋" w:eastAsia="仿宋"/>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修复方向。</w:t>
      </w:r>
      <w:r>
        <w:rPr>
          <w:rFonts w:ascii="仿宋" w:hAnsi="仿宋" w:eastAsia="仿宋"/>
          <w:color w:val="000000" w:themeColor="text1"/>
          <w:sz w:val="32"/>
          <w:szCs w:val="32"/>
          <w14:textFill>
            <w14:solidFill>
              <w14:schemeClr w14:val="tx1"/>
            </w14:solidFill>
          </w14:textFill>
        </w:rPr>
        <w:t>该区</w:t>
      </w:r>
      <w:r>
        <w:rPr>
          <w:rFonts w:hint="eastAsia" w:ascii="仿宋" w:hAnsi="仿宋" w:eastAsia="仿宋"/>
          <w:color w:val="000000" w:themeColor="text1"/>
          <w:sz w:val="32"/>
          <w:szCs w:val="32"/>
          <w14:textFill>
            <w14:solidFill>
              <w14:schemeClr w14:val="tx1"/>
            </w14:solidFill>
          </w14:textFill>
        </w:rPr>
        <w:t>生态保护修复</w:t>
      </w:r>
      <w:r>
        <w:rPr>
          <w:rFonts w:ascii="仿宋" w:hAnsi="仿宋" w:eastAsia="仿宋"/>
          <w:color w:val="000000" w:themeColor="text1"/>
          <w:sz w:val="32"/>
          <w:szCs w:val="32"/>
          <w14:textFill>
            <w14:solidFill>
              <w14:schemeClr w14:val="tx1"/>
            </w14:solidFill>
          </w14:textFill>
        </w:rPr>
        <w:t>布局重点是以保护</w:t>
      </w:r>
      <w:r>
        <w:rPr>
          <w:rFonts w:hint="eastAsia" w:ascii="仿宋" w:hAnsi="仿宋" w:eastAsia="仿宋"/>
          <w:color w:val="000000" w:themeColor="text1"/>
          <w:sz w:val="32"/>
          <w:szCs w:val="32"/>
          <w14:textFill>
            <w14:solidFill>
              <w14:schemeClr w14:val="tx1"/>
            </w14:solidFill>
          </w14:textFill>
        </w:rPr>
        <w:t>保育、自然恢复为主</w:t>
      </w:r>
      <w:r>
        <w:rPr>
          <w:rFonts w:ascii="仿宋" w:hAnsi="仿宋" w:eastAsia="仿宋"/>
          <w:color w:val="000000" w:themeColor="text1"/>
          <w:sz w:val="32"/>
          <w:szCs w:val="32"/>
          <w14:textFill>
            <w14:solidFill>
              <w14:schemeClr w14:val="tx1"/>
            </w14:solidFill>
          </w14:textFill>
        </w:rPr>
        <w:t>，依托国家级重点公益林管护项目和森林抚育项目，</w:t>
      </w:r>
      <w:r>
        <w:rPr>
          <w:rFonts w:hint="eastAsia" w:ascii="仿宋" w:hAnsi="仿宋" w:eastAsia="仿宋"/>
          <w:color w:val="000000" w:themeColor="text1"/>
          <w:sz w:val="32"/>
          <w:szCs w:val="32"/>
          <w14:textFill>
            <w14:solidFill>
              <w14:schemeClr w14:val="tx1"/>
            </w14:solidFill>
          </w14:textFill>
        </w:rPr>
        <w:t>强化天然林保护保育，</w:t>
      </w:r>
      <w:r>
        <w:rPr>
          <w:rFonts w:ascii="仿宋" w:hAnsi="仿宋" w:eastAsia="仿宋"/>
          <w:color w:val="000000" w:themeColor="text1"/>
          <w:sz w:val="32"/>
          <w:szCs w:val="32"/>
          <w14:textFill>
            <w14:solidFill>
              <w14:schemeClr w14:val="tx1"/>
            </w14:solidFill>
          </w14:textFill>
        </w:rPr>
        <w:t>加大天然林保护修复力度，采取轮封、轮牧方式，减少人为干扰活动，促进天然林更新。推进森林质量精准提升，强化森林抚育、退化林分修复，综合开展生态修复</w:t>
      </w:r>
      <w:r>
        <w:rPr>
          <w:rFonts w:hint="eastAsia" w:ascii="仿宋" w:hAnsi="仿宋" w:eastAsia="仿宋"/>
          <w:color w:val="000000" w:themeColor="text1"/>
          <w:sz w:val="32"/>
          <w:szCs w:val="32"/>
          <w14:textFill>
            <w14:solidFill>
              <w14:schemeClr w14:val="tx1"/>
            </w14:solidFill>
          </w14:textFill>
        </w:rPr>
        <w:t>。以草定畜，划区轮牧，实现草畜平衡，</w:t>
      </w:r>
      <w:r>
        <w:rPr>
          <w:rFonts w:ascii="仿宋" w:hAnsi="仿宋" w:eastAsia="仿宋"/>
          <w:color w:val="000000" w:themeColor="text1"/>
          <w:sz w:val="32"/>
          <w:szCs w:val="32"/>
          <w14:textFill>
            <w14:solidFill>
              <w14:schemeClr w14:val="tx1"/>
            </w14:solidFill>
          </w14:textFill>
        </w:rPr>
        <w:t>充分利用自然降雪、降雨和生态系统的自我修复能力以及采取适当的抚育措施，</w:t>
      </w:r>
      <w:r>
        <w:rPr>
          <w:rFonts w:hint="eastAsia" w:ascii="仿宋" w:hAnsi="仿宋" w:eastAsia="仿宋"/>
          <w:color w:val="000000" w:themeColor="text1"/>
          <w:sz w:val="32"/>
          <w:szCs w:val="32"/>
          <w14:textFill>
            <w14:solidFill>
              <w14:schemeClr w14:val="tx1"/>
            </w14:solidFill>
          </w14:textFill>
        </w:rPr>
        <w:t>结合生态修复工程开展草地退化修复，有效遏制局部退化，</w:t>
      </w:r>
      <w:r>
        <w:rPr>
          <w:rFonts w:ascii="仿宋" w:hAnsi="仿宋" w:eastAsia="仿宋"/>
          <w:color w:val="000000" w:themeColor="text1"/>
          <w:sz w:val="32"/>
          <w:szCs w:val="32"/>
          <w14:textFill>
            <w14:solidFill>
              <w14:schemeClr w14:val="tx1"/>
            </w14:solidFill>
          </w14:textFill>
        </w:rPr>
        <w:t>恢复植被，增加林草植被覆盖率</w:t>
      </w:r>
      <w:r>
        <w:rPr>
          <w:rFonts w:hint="eastAsia" w:ascii="仿宋" w:hAnsi="仿宋" w:eastAsia="仿宋"/>
          <w:color w:val="000000" w:themeColor="text1"/>
          <w:sz w:val="32"/>
          <w:szCs w:val="32"/>
          <w14:textFill>
            <w14:solidFill>
              <w14:schemeClr w14:val="tx1"/>
            </w14:solidFill>
          </w14:textFill>
        </w:rPr>
        <w:t>。严格水利设施管理，</w:t>
      </w:r>
      <w:r>
        <w:rPr>
          <w:rFonts w:ascii="仿宋" w:hAnsi="仿宋" w:eastAsia="仿宋"/>
          <w:color w:val="000000" w:themeColor="text1"/>
          <w:sz w:val="32"/>
          <w:szCs w:val="32"/>
          <w14:textFill>
            <w14:solidFill>
              <w14:schemeClr w14:val="tx1"/>
            </w14:solidFill>
          </w14:textFill>
        </w:rPr>
        <w:t>加强小流域综合治理，控制人为因素对土壤的侵蚀，恢复退化植被。开展矿山和尾矿库生态修复</w:t>
      </w:r>
      <w:r>
        <w:rPr>
          <w:rFonts w:hint="eastAsia" w:ascii="仿宋" w:hAnsi="仿宋" w:eastAsia="仿宋"/>
          <w:color w:val="000000" w:themeColor="text1"/>
          <w:sz w:val="32"/>
          <w:szCs w:val="32"/>
          <w14:textFill>
            <w14:solidFill>
              <w14:schemeClr w14:val="tx1"/>
            </w14:solidFill>
          </w14:textFill>
        </w:rPr>
        <w:t>，加大矿产资源开发监管力度。</w:t>
      </w:r>
      <w:r>
        <w:rPr>
          <w:rFonts w:hint="eastAsia" w:ascii="仿宋" w:hAnsi="仿宋" w:eastAsia="仿宋"/>
          <w:color w:val="000000" w:themeColor="text1"/>
          <w:sz w:val="32"/>
          <w:szCs w:val="30"/>
          <w14:textFill>
            <w14:solidFill>
              <w14:schemeClr w14:val="tx1"/>
            </w14:solidFill>
          </w14:textFill>
        </w:rPr>
        <w:t>适度开展生态旅游，</w:t>
      </w:r>
      <w:r>
        <w:rPr>
          <w:rFonts w:hint="eastAsia" w:ascii="仿宋" w:hAnsi="仿宋" w:eastAsia="仿宋"/>
          <w:color w:val="000000" w:themeColor="text1"/>
          <w:sz w:val="32"/>
          <w:szCs w:val="32"/>
          <w14:textFill>
            <w14:solidFill>
              <w14:schemeClr w14:val="tx1"/>
            </w14:solidFill>
          </w14:textFill>
        </w:rPr>
        <w:t>发展生态特色产业，提供生态特色产品。</w:t>
      </w:r>
    </w:p>
    <w:p>
      <w:pPr>
        <w:pStyle w:val="3"/>
        <w:pageBreakBefore w:val="0"/>
        <w:widowControl w:val="0"/>
        <w:kinsoku/>
        <w:wordWrap/>
        <w:overflowPunct/>
        <w:topLinePunct w:val="0"/>
        <w:autoSpaceDE/>
        <w:autoSpaceDN/>
        <w:bidi w:val="0"/>
        <w:spacing w:before="120" w:beforeLines="50" w:after="120" w:afterLines="50" w:line="560" w:lineRule="exact"/>
        <w:ind w:firstLine="565" w:firstLineChars="176"/>
        <w:jc w:val="left"/>
        <w:textAlignment w:val="auto"/>
        <w:rPr>
          <w:rFonts w:ascii="仿宋" w:hAnsi="仿宋" w:eastAsia="仿宋" w:cs="Times New Roman"/>
          <w:color w:val="000000" w:themeColor="text1"/>
          <w:shd w:val="clear" w:color="auto" w:fill="FFFFFF"/>
          <w14:textFill>
            <w14:solidFill>
              <w14:schemeClr w14:val="tx1"/>
            </w14:solidFill>
          </w14:textFill>
        </w:rPr>
      </w:pPr>
      <w:bookmarkStart w:id="44" w:name="_Toc88262317"/>
      <w:bookmarkStart w:id="45" w:name="_Toc125907431"/>
      <w:bookmarkStart w:id="46" w:name="_Toc119582399"/>
      <w:r>
        <w:rPr>
          <w:rFonts w:hint="eastAsia" w:ascii="仿宋" w:hAnsi="仿宋" w:eastAsia="仿宋" w:cs="Times New Roman"/>
          <w:color w:val="000000" w:themeColor="text1"/>
          <w:shd w:val="clear" w:color="auto" w:fill="FFFFFF"/>
          <w14:textFill>
            <w14:solidFill>
              <w14:schemeClr w14:val="tx1"/>
            </w14:solidFill>
          </w14:textFill>
        </w:rPr>
        <w:t>（二）</w:t>
      </w:r>
      <w:r>
        <w:rPr>
          <w:rFonts w:ascii="仿宋" w:hAnsi="仿宋" w:eastAsia="仿宋" w:cs="Times New Roman"/>
          <w:color w:val="000000" w:themeColor="text1"/>
          <w:shd w:val="clear" w:color="auto" w:fill="FFFFFF"/>
          <w14:textFill>
            <w14:solidFill>
              <w14:schemeClr w14:val="tx1"/>
            </w14:solidFill>
          </w14:textFill>
        </w:rPr>
        <w:t>绿洲特色农业、旅游与艾丁湖湿地保护生态修复区</w:t>
      </w:r>
      <w:bookmarkEnd w:id="44"/>
      <w:bookmarkEnd w:id="45"/>
      <w:bookmarkEnd w:id="46"/>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分区概况。</w:t>
      </w:r>
      <w:r>
        <w:rPr>
          <w:rFonts w:ascii="仿宋" w:hAnsi="仿宋" w:eastAsia="仿宋"/>
          <w:color w:val="000000" w:themeColor="text1"/>
          <w:sz w:val="32"/>
          <w:szCs w:val="32"/>
          <w14:textFill>
            <w14:solidFill>
              <w14:schemeClr w14:val="tx1"/>
            </w14:solidFill>
          </w14:textFill>
        </w:rPr>
        <w:t>该区涵盖全市一区</w:t>
      </w:r>
      <w:r>
        <w:rPr>
          <w:rFonts w:hint="eastAsia" w:ascii="仿宋" w:hAnsi="仿宋" w:eastAsia="仿宋"/>
          <w:color w:val="000000" w:themeColor="text1"/>
          <w:sz w:val="32"/>
          <w:szCs w:val="32"/>
          <w14:textFill>
            <w14:solidFill>
              <w14:schemeClr w14:val="tx1"/>
            </w14:solidFill>
          </w14:textFill>
        </w:rPr>
        <w:t>两</w:t>
      </w:r>
      <w:r>
        <w:rPr>
          <w:rFonts w:ascii="仿宋" w:hAnsi="仿宋" w:eastAsia="仿宋"/>
          <w:color w:val="000000" w:themeColor="text1"/>
          <w:sz w:val="32"/>
          <w:szCs w:val="32"/>
          <w14:textFill>
            <w14:solidFill>
              <w14:schemeClr w14:val="tx1"/>
            </w14:solidFill>
          </w14:textFill>
        </w:rPr>
        <w:t>县平原绿洲</w:t>
      </w:r>
      <w:r>
        <w:rPr>
          <w:rFonts w:hint="eastAsia" w:ascii="仿宋" w:hAnsi="仿宋" w:eastAsia="仿宋"/>
          <w:color w:val="000000" w:themeColor="text1"/>
          <w:sz w:val="32"/>
          <w:szCs w:val="32"/>
          <w14:textFill>
            <w14:solidFill>
              <w14:schemeClr w14:val="tx1"/>
            </w14:solidFill>
          </w14:textFill>
        </w:rPr>
        <w:t>及艾丁湖湿地国家公园。</w:t>
      </w:r>
      <w:r>
        <w:rPr>
          <w:rFonts w:ascii="仿宋" w:hAnsi="仿宋" w:eastAsia="仿宋"/>
          <w:color w:val="000000" w:themeColor="text1"/>
          <w:sz w:val="32"/>
          <w:szCs w:val="32"/>
          <w14:textFill>
            <w14:solidFill>
              <w14:schemeClr w14:val="tx1"/>
            </w14:solidFill>
          </w14:textFill>
        </w:rPr>
        <w:t>农业历史悠久，园艺业相当发达，历史文物古迹众多，是著名的绿洲农业和旅游发达区。</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自然地理条件。</w:t>
      </w:r>
      <w:r>
        <w:rPr>
          <w:rFonts w:ascii="仿宋" w:hAnsi="仿宋" w:eastAsia="仿宋" w:cs="Times New Roman"/>
          <w:color w:val="000000" w:themeColor="text1"/>
          <w:sz w:val="32"/>
          <w:szCs w:val="32"/>
          <w14:textFill>
            <w14:solidFill>
              <w14:schemeClr w14:val="tx1"/>
            </w14:solidFill>
          </w14:textFill>
        </w:rPr>
        <w:t>盆地最低点艾丁湖湖面</w:t>
      </w:r>
      <w:r>
        <w:rPr>
          <w:rFonts w:hint="eastAsia" w:ascii="仿宋" w:hAnsi="仿宋" w:eastAsia="仿宋" w:cs="Times New Roman"/>
          <w:color w:val="000000" w:themeColor="text1"/>
          <w:sz w:val="32"/>
          <w:szCs w:val="32"/>
          <w14:textFill>
            <w14:solidFill>
              <w14:schemeClr w14:val="tx1"/>
            </w14:solidFill>
          </w14:textFill>
        </w:rPr>
        <w:t>低于海平面</w:t>
      </w:r>
      <w:r>
        <w:rPr>
          <w:rFonts w:ascii="Times New Roman" w:hAnsi="Times New Roman" w:eastAsia="仿宋" w:cs="Times New Roman"/>
          <w:color w:val="000000" w:themeColor="text1"/>
          <w:sz w:val="32"/>
          <w:szCs w:val="32"/>
          <w14:textFill>
            <w14:solidFill>
              <w14:schemeClr w14:val="tx1"/>
            </w14:solidFill>
          </w14:textFill>
        </w:rPr>
        <w:t>154.31米。该区域属典型的暖温带干旱荒漠气候，光热充裕，降水极少，吐鲁番盆地约16</w:t>
      </w:r>
      <w:r>
        <w:rPr>
          <w:rFonts w:hint="eastAsia" w:ascii="Times New Roman" w:hAnsi="Times New Roman" w:eastAsia="仿宋" w:cs="Times New Roman"/>
          <w:color w:val="000000" w:themeColor="text1"/>
          <w:sz w:val="32"/>
          <w:szCs w:val="32"/>
          <w14:textFill>
            <w14:solidFill>
              <w14:schemeClr w14:val="tx1"/>
            </w14:solidFill>
          </w14:textFill>
        </w:rPr>
        <w:t>毫米</w:t>
      </w:r>
      <w:r>
        <w:rPr>
          <w:rFonts w:ascii="Times New Roman" w:hAnsi="Times New Roman" w:eastAsia="仿宋" w:cs="Times New Roman"/>
          <w:color w:val="000000" w:themeColor="text1"/>
          <w:sz w:val="32"/>
          <w:szCs w:val="32"/>
          <w14:textFill>
            <w14:solidFill>
              <w14:schemeClr w14:val="tx1"/>
            </w14:solidFill>
          </w14:textFill>
        </w:rPr>
        <w:t>，潜在蒸发量高达3000</w:t>
      </w:r>
      <w:r>
        <w:rPr>
          <w:rFonts w:hint="eastAsia" w:ascii="Times New Roman" w:hAnsi="Times New Roman" w:eastAsia="仿宋" w:cs="Times New Roman"/>
          <w:color w:val="000000" w:themeColor="text1"/>
          <w:sz w:val="32"/>
          <w:szCs w:val="32"/>
          <w14:textFill>
            <w14:solidFill>
              <w14:schemeClr w14:val="tx1"/>
            </w14:solidFill>
          </w14:textFill>
        </w:rPr>
        <w:t>毫米</w:t>
      </w:r>
      <w:r>
        <w:rPr>
          <w:rFonts w:ascii="Times New Roman" w:hAnsi="Times New Roman" w:eastAsia="仿宋" w:cs="Times New Roman"/>
          <w:color w:val="000000" w:themeColor="text1"/>
          <w:sz w:val="32"/>
          <w:szCs w:val="32"/>
          <w14:textFill>
            <w14:solidFill>
              <w14:schemeClr w14:val="tx1"/>
            </w14:solidFill>
          </w14:textFill>
        </w:rPr>
        <w:t>。区域内水系发育极弱，河流稀疏、流程短、径流量小。地带性植被为荒漠，主要由旱生、超旱生灌木、小半灌木群系构成。有两处风景名胜区：一处国家</w:t>
      </w:r>
      <w:r>
        <w:rPr>
          <w:rFonts w:hint="eastAsia" w:ascii="Times New Roman" w:hAnsi="Times New Roman" w:eastAsia="仿宋" w:cs="Times New Roman"/>
          <w:color w:val="000000" w:themeColor="text1"/>
          <w:sz w:val="32"/>
          <w:szCs w:val="32"/>
          <w14:textFill>
            <w14:solidFill>
              <w14:schemeClr w14:val="tx1"/>
            </w14:solidFill>
          </w14:textFill>
        </w:rPr>
        <w:t>级</w:t>
      </w:r>
      <w:r>
        <w:rPr>
          <w:rFonts w:ascii="Times New Roman" w:hAnsi="Times New Roman" w:eastAsia="仿宋" w:cs="Times New Roman"/>
          <w:color w:val="000000" w:themeColor="text1"/>
          <w:sz w:val="32"/>
          <w:szCs w:val="32"/>
          <w14:textFill>
            <w14:solidFill>
              <w14:schemeClr w14:val="tx1"/>
            </w14:solidFill>
          </w14:textFill>
        </w:rPr>
        <w:t>风景名胜区—库木塔格沙漠国家风景名胜区，面积1880</w:t>
      </w:r>
      <w:r>
        <w:rPr>
          <w:rFonts w:ascii="仿宋" w:hAnsi="仿宋" w:eastAsia="仿宋" w:cs="Times New Roman"/>
          <w:color w:val="000000" w:themeColor="text1"/>
          <w:sz w:val="32"/>
          <w:szCs w:val="32"/>
          <w14:textFill>
            <w14:solidFill>
              <w14:schemeClr w14:val="tx1"/>
            </w14:solidFill>
          </w14:textFill>
        </w:rPr>
        <w:t>平方公里，位于鄯善县</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一处自治区级风景名胜区</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火焰山-葡萄沟-坎儿井风景名胜区，面积约</w:t>
      </w:r>
      <w:r>
        <w:rPr>
          <w:rFonts w:ascii="Times New Roman" w:hAnsi="Times New Roman" w:eastAsia="仿宋" w:cs="Times New Roman"/>
          <w:color w:val="000000" w:themeColor="text1"/>
          <w:sz w:val="32"/>
          <w:szCs w:val="32"/>
          <w14:textFill>
            <w14:solidFill>
              <w14:schemeClr w14:val="tx1"/>
            </w14:solidFill>
          </w14:textFill>
        </w:rPr>
        <w:t>1400平方公里，位于吐鲁番市</w:t>
      </w:r>
      <w:r>
        <w:rPr>
          <w:rFonts w:hint="eastAsia" w:ascii="Times New Roman" w:hAnsi="Times New Roman" w:eastAsia="仿宋" w:cs="Times New Roman"/>
          <w:color w:val="000000" w:themeColor="text1"/>
          <w:sz w:val="32"/>
          <w:szCs w:val="32"/>
          <w14:textFill>
            <w14:solidFill>
              <w14:schemeClr w14:val="tx1"/>
            </w14:solidFill>
          </w14:textFill>
        </w:rPr>
        <w:t>高昌区</w:t>
      </w:r>
      <w:r>
        <w:rPr>
          <w:rFonts w:ascii="Times New Roman" w:hAnsi="Times New Roman" w:eastAsia="仿宋" w:cs="Times New Roman"/>
          <w:color w:val="000000" w:themeColor="text1"/>
          <w:sz w:val="32"/>
          <w:szCs w:val="32"/>
          <w14:textFill>
            <w14:solidFill>
              <w14:schemeClr w14:val="tx1"/>
            </w14:solidFill>
          </w14:textFill>
        </w:rPr>
        <w:t>。有一处国家地质公园—吐鲁番火焰山国家地质公园，面积290</w:t>
      </w:r>
      <w:r>
        <w:rPr>
          <w:rFonts w:ascii="仿宋" w:hAnsi="仿宋" w:eastAsia="仿宋" w:cs="Times New Roman"/>
          <w:color w:val="000000" w:themeColor="text1"/>
          <w:sz w:val="32"/>
          <w:szCs w:val="32"/>
          <w14:textFill>
            <w14:solidFill>
              <w14:schemeClr w14:val="tx1"/>
            </w14:solidFill>
          </w14:textFill>
        </w:rPr>
        <w:t>平方公里，位于吐鲁番市</w:t>
      </w:r>
      <w:r>
        <w:rPr>
          <w:rFonts w:hint="eastAsia" w:ascii="仿宋" w:hAnsi="仿宋" w:eastAsia="仿宋" w:cs="Times New Roman"/>
          <w:color w:val="000000" w:themeColor="text1"/>
          <w:sz w:val="32"/>
          <w:szCs w:val="32"/>
          <w14:textFill>
            <w14:solidFill>
              <w14:schemeClr w14:val="tx1"/>
            </w14:solidFill>
          </w14:textFill>
        </w:rPr>
        <w:t>高昌区</w:t>
      </w:r>
      <w:r>
        <w:rPr>
          <w:rFonts w:ascii="仿宋" w:hAnsi="仿宋" w:eastAsia="仿宋" w:cs="Times New Roman"/>
          <w:color w:val="000000" w:themeColor="text1"/>
          <w:sz w:val="32"/>
          <w:szCs w:val="32"/>
          <w14:textFill>
            <w14:solidFill>
              <w14:schemeClr w14:val="tx1"/>
            </w14:solidFill>
          </w14:textFill>
        </w:rPr>
        <w:t>，范围位于火焰山-葡萄沟-坎儿井风景名胜区范围内。有一处国家级湿地公园</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吐鲁番艾丁湖国家湿地公园，面积</w:t>
      </w:r>
      <w:r>
        <w:rPr>
          <w:rFonts w:ascii="Times New Roman" w:hAnsi="Times New Roman" w:eastAsia="仿宋" w:cs="Times New Roman"/>
          <w:color w:val="000000" w:themeColor="text1"/>
          <w:sz w:val="32"/>
          <w:szCs w:val="32"/>
          <w14:textFill>
            <w14:solidFill>
              <w14:schemeClr w14:val="tx1"/>
            </w14:solidFill>
          </w14:textFill>
        </w:rPr>
        <w:t>289.86平方公里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位于</w:t>
      </w:r>
      <w:r>
        <w:rPr>
          <w:rFonts w:ascii="Times New Roman" w:hAnsi="Times New Roman"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高昌区</w:t>
      </w:r>
      <w:r>
        <w:rPr>
          <w:rFonts w:ascii="Times New Roman" w:hAnsi="Times New Roman" w:eastAsia="仿宋" w:cs="Times New Roman"/>
          <w:color w:val="000000" w:themeColor="text1"/>
          <w:sz w:val="32"/>
          <w:szCs w:val="32"/>
          <w14:textFill>
            <w14:solidFill>
              <w14:schemeClr w14:val="tx1"/>
            </w14:solidFill>
          </w14:textFill>
        </w:rPr>
        <w:t>。有一处吐鲁番市国家沙漠公园，位于吐鲁番盆地东南部，恰特卡勒乡、亚尔乡和艾丁湖乡交汇处，有荒漠珍稀濒危特有植物近100种。</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主要生态问题。</w:t>
      </w:r>
      <w:r>
        <w:rPr>
          <w:rFonts w:hint="eastAsia" w:ascii="仿宋" w:hAnsi="仿宋" w:eastAsia="仿宋"/>
          <w:color w:val="000000" w:themeColor="text1"/>
          <w:sz w:val="32"/>
          <w:szCs w:val="32"/>
          <w14:textFill>
            <w14:solidFill>
              <w14:schemeClr w14:val="tx1"/>
            </w14:solidFill>
          </w14:textFill>
        </w:rPr>
        <w:t>水资源匮乏，水资源开发利用强度大，地下水超采面积广，</w:t>
      </w:r>
      <w:r>
        <w:rPr>
          <w:rFonts w:ascii="仿宋" w:hAnsi="仿宋" w:eastAsia="仿宋"/>
          <w:color w:val="000000" w:themeColor="text1"/>
          <w:sz w:val="32"/>
          <w:szCs w:val="32"/>
          <w14:textFill>
            <w14:solidFill>
              <w14:schemeClr w14:val="tx1"/>
            </w14:solidFill>
          </w14:textFill>
        </w:rPr>
        <w:t>农业快速发展引起的水土资源矛盾突出</w:t>
      </w:r>
      <w:r>
        <w:rPr>
          <w:rFonts w:hint="eastAsia" w:ascii="仿宋" w:hAnsi="仿宋" w:eastAsia="仿宋"/>
          <w:color w:val="000000" w:themeColor="text1"/>
          <w:sz w:val="32"/>
          <w:szCs w:val="32"/>
          <w14:textFill>
            <w14:solidFill>
              <w14:schemeClr w14:val="tx1"/>
            </w14:solidFill>
          </w14:textFill>
        </w:rPr>
        <w:t>，土地沙化、盐渍化压力大。</w:t>
      </w:r>
      <w:r>
        <w:rPr>
          <w:rFonts w:ascii="仿宋" w:hAnsi="仿宋" w:eastAsia="仿宋"/>
          <w:color w:val="000000" w:themeColor="text1"/>
          <w:sz w:val="32"/>
          <w:szCs w:val="32"/>
          <w14:textFill>
            <w14:solidFill>
              <w14:schemeClr w14:val="tx1"/>
            </w14:solidFill>
          </w14:textFill>
        </w:rPr>
        <w:t>湿地生态系统较为薄弱，基础设施不够完善</w:t>
      </w:r>
      <w:r>
        <w:rPr>
          <w:rFonts w:hint="eastAsia" w:ascii="仿宋" w:hAnsi="仿宋" w:eastAsia="仿宋"/>
          <w:color w:val="000000" w:themeColor="text1"/>
          <w:sz w:val="32"/>
          <w:szCs w:val="32"/>
          <w14:textFill>
            <w14:solidFill>
              <w14:schemeClr w14:val="tx1"/>
            </w14:solidFill>
          </w14:textFill>
        </w:rPr>
        <w:t>，湿地水生态和生物多样性维持功能下降，湿地生态系统功能不稳定，局部退化严重，保护修复力度有待进一步加强。</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修复方向。</w:t>
      </w:r>
      <w:r>
        <w:rPr>
          <w:rFonts w:ascii="仿宋" w:hAnsi="仿宋" w:eastAsia="仿宋"/>
          <w:color w:val="000000" w:themeColor="text1"/>
          <w:sz w:val="32"/>
          <w:szCs w:val="32"/>
          <w14:textFill>
            <w14:solidFill>
              <w14:schemeClr w14:val="tx1"/>
            </w14:solidFill>
          </w14:textFill>
        </w:rPr>
        <w:t>主要包括防护林建设</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经济林、退耕地造林，森林抚育与更新造林</w:t>
      </w:r>
      <w:r>
        <w:rPr>
          <w:rFonts w:hint="eastAsia" w:ascii="仿宋" w:hAnsi="仿宋" w:eastAsia="仿宋"/>
          <w:color w:val="000000" w:themeColor="text1"/>
          <w:sz w:val="32"/>
          <w:szCs w:val="32"/>
          <w14:textFill>
            <w14:solidFill>
              <w14:schemeClr w14:val="tx1"/>
            </w14:solidFill>
          </w14:textFill>
        </w:rPr>
        <w:t>，湿地保护修复</w:t>
      </w:r>
      <w:r>
        <w:rPr>
          <w:rFonts w:ascii="仿宋" w:hAnsi="仿宋" w:eastAsia="仿宋"/>
          <w:color w:val="000000" w:themeColor="text1"/>
          <w:sz w:val="32"/>
          <w:szCs w:val="32"/>
          <w14:textFill>
            <w14:solidFill>
              <w14:schemeClr w14:val="tx1"/>
            </w14:solidFill>
          </w14:textFill>
        </w:rPr>
        <w:t>等。防护林建设主要布局在绿洲内部的农田周围</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农民居住地周围、抗震安居房区域</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国道、省道、县道、乡村道路及其绿洲外围的戈壁和固定或流动沙丘。经济林建设依托重点防护林工程、中央财政造林补贴和巩固退耕还林工程成果项目完成，主要布局在全市各乡镇及吐鲁番市葡萄酒庄产业园区、托克逊县库米什镇。实施地表水和地下水调控开发和节水灌溉，解决缺水瓶颈问题；利用冬闲水植树造林，发展防护林体系，以减少风沙和干热风的危害；加强旅游景点的保护管理，保护文物古迹，防止环境污染与破坏；推广利用太阳能</w:t>
      </w:r>
      <w:r>
        <w:rPr>
          <w:rFonts w:hint="eastAsia" w:ascii="仿宋" w:hAnsi="仿宋" w:eastAsia="仿宋"/>
          <w:color w:val="000000" w:themeColor="text1"/>
          <w:sz w:val="32"/>
          <w:szCs w:val="32"/>
          <w14:textFill>
            <w14:solidFill>
              <w14:schemeClr w14:val="tx1"/>
            </w14:solidFill>
          </w14:textFill>
        </w:rPr>
        <w:t>和风能，减少矿物能源消耗和破坏荒漠植被，防止生态环境恶化。</w:t>
      </w:r>
      <w:r>
        <w:rPr>
          <w:rFonts w:ascii="仿宋" w:hAnsi="仿宋" w:eastAsia="仿宋"/>
          <w:color w:val="000000" w:themeColor="text1"/>
          <w:sz w:val="32"/>
          <w:szCs w:val="32"/>
          <w14:textFill>
            <w14:solidFill>
              <w14:schemeClr w14:val="tx1"/>
            </w14:solidFill>
          </w14:textFill>
        </w:rPr>
        <w:t>以艾丁湖流域为重点，加快湿地保护和恢复工程，依托湿地公园建设，开展湿地保护工程</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采用以自然恢复为主，人工辅助促进自然恢复及工程措施为辅的技术，研究构建生态功能完善的湿地生态系统。</w:t>
      </w:r>
      <w:r>
        <w:rPr>
          <w:rFonts w:hint="eastAsia" w:ascii="仿宋" w:hAnsi="仿宋" w:eastAsia="仿宋"/>
          <w:color w:val="000000" w:themeColor="text1"/>
          <w:sz w:val="32"/>
          <w:szCs w:val="32"/>
          <w14:textFill>
            <w14:solidFill>
              <w14:schemeClr w14:val="tx1"/>
            </w14:solidFill>
          </w14:textFill>
        </w:rPr>
        <w:t>加快特色林果产业发展，打造生态产品价值。</w:t>
      </w:r>
    </w:p>
    <w:p>
      <w:pPr>
        <w:pStyle w:val="3"/>
        <w:pageBreakBefore w:val="0"/>
        <w:widowControl w:val="0"/>
        <w:kinsoku/>
        <w:wordWrap/>
        <w:overflowPunct/>
        <w:topLinePunct w:val="0"/>
        <w:autoSpaceDE/>
        <w:autoSpaceDN/>
        <w:bidi w:val="0"/>
        <w:spacing w:before="120" w:beforeLines="50" w:after="120" w:afterLines="50" w:line="560" w:lineRule="exact"/>
        <w:ind w:firstLine="565" w:firstLineChars="176"/>
        <w:jc w:val="left"/>
        <w:textAlignment w:val="auto"/>
        <w:rPr>
          <w:rFonts w:ascii="仿宋" w:hAnsi="仿宋" w:eastAsia="仿宋" w:cs="Times New Roman"/>
          <w:color w:val="000000" w:themeColor="text1"/>
          <w:shd w:val="clear" w:color="auto" w:fill="FFFFFF"/>
          <w14:textFill>
            <w14:solidFill>
              <w14:schemeClr w14:val="tx1"/>
            </w14:solidFill>
          </w14:textFill>
        </w:rPr>
      </w:pPr>
      <w:bookmarkStart w:id="47" w:name="_Toc119582400"/>
      <w:bookmarkStart w:id="48" w:name="_Toc88262318"/>
      <w:bookmarkStart w:id="49" w:name="_Toc125907432"/>
      <w:r>
        <w:rPr>
          <w:rFonts w:hint="eastAsia" w:ascii="仿宋" w:hAnsi="仿宋" w:eastAsia="仿宋" w:cs="Times New Roman"/>
          <w:color w:val="000000" w:themeColor="text1"/>
          <w:shd w:val="clear" w:color="auto" w:fill="FFFFFF"/>
          <w14:textFill>
            <w14:solidFill>
              <w14:schemeClr w14:val="tx1"/>
            </w14:solidFill>
          </w14:textFill>
        </w:rPr>
        <w:t>（三）</w:t>
      </w:r>
      <w:r>
        <w:rPr>
          <w:rFonts w:ascii="仿宋" w:hAnsi="仿宋" w:eastAsia="仿宋" w:cs="Times New Roman"/>
          <w:color w:val="000000" w:themeColor="text1"/>
          <w:shd w:val="clear" w:color="auto" w:fill="FFFFFF"/>
          <w14:textFill>
            <w14:solidFill>
              <w14:schemeClr w14:val="tx1"/>
            </w14:solidFill>
          </w14:textFill>
        </w:rPr>
        <w:t>绿洲外围防风固沙生态修复区</w:t>
      </w:r>
      <w:bookmarkEnd w:id="47"/>
      <w:bookmarkEnd w:id="48"/>
      <w:bookmarkEnd w:id="49"/>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分区概况。</w:t>
      </w:r>
      <w:r>
        <w:rPr>
          <w:rFonts w:ascii="仿宋" w:hAnsi="仿宋" w:eastAsia="仿宋"/>
          <w:color w:val="000000" w:themeColor="text1"/>
          <w:sz w:val="32"/>
          <w:szCs w:val="32"/>
          <w14:textFill>
            <w14:solidFill>
              <w14:schemeClr w14:val="tx1"/>
            </w14:solidFill>
          </w14:textFill>
        </w:rPr>
        <w:t>绿洲防风固沙缓冲区包括吐鲁番</w:t>
      </w:r>
      <w:r>
        <w:rPr>
          <w:rFonts w:hint="eastAsia" w:ascii="仿宋" w:hAnsi="仿宋" w:eastAsia="仿宋"/>
          <w:color w:val="000000" w:themeColor="text1"/>
          <w:sz w:val="32"/>
          <w:szCs w:val="32"/>
          <w14:textFill>
            <w14:solidFill>
              <w14:schemeClr w14:val="tx1"/>
            </w14:solidFill>
          </w14:textFill>
        </w:rPr>
        <w:t>市</w:t>
      </w:r>
      <w:r>
        <w:rPr>
          <w:rFonts w:ascii="仿宋" w:hAnsi="仿宋" w:eastAsia="仿宋"/>
          <w:color w:val="000000" w:themeColor="text1"/>
          <w:sz w:val="32"/>
          <w:szCs w:val="32"/>
          <w14:textFill>
            <w14:solidFill>
              <w14:schemeClr w14:val="tx1"/>
            </w14:solidFill>
          </w14:textFill>
        </w:rPr>
        <w:t>绿洲外围与南部荒漠区和草原森林生态保护区缓冲地带，构筑防风固沙的天然屏障。</w:t>
      </w:r>
      <w:r>
        <w:rPr>
          <w:rFonts w:hint="eastAsia" w:ascii="仿宋" w:hAnsi="仿宋" w:eastAsia="仿宋"/>
          <w:color w:val="000000" w:themeColor="text1"/>
          <w:sz w:val="32"/>
          <w:szCs w:val="32"/>
          <w14:textFill>
            <w14:solidFill>
              <w14:schemeClr w14:val="tx1"/>
            </w14:solidFill>
          </w14:textFill>
        </w:rPr>
        <w:t>包括</w:t>
      </w:r>
      <w:r>
        <w:rPr>
          <w:rFonts w:ascii="仿宋" w:hAnsi="仿宋" w:eastAsia="仿宋"/>
          <w:color w:val="000000" w:themeColor="text1"/>
          <w:sz w:val="32"/>
          <w:szCs w:val="32"/>
          <w14:textFill>
            <w14:solidFill>
              <w14:schemeClr w14:val="tx1"/>
            </w14:solidFill>
          </w14:textFill>
        </w:rPr>
        <w:t>吐哈盆地防风固沙生态保护红线区</w:t>
      </w:r>
      <w:r>
        <w:rPr>
          <w:rFonts w:hint="eastAsia" w:ascii="仿宋" w:hAnsi="仿宋" w:eastAsia="仿宋"/>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自然地理条件。</w:t>
      </w:r>
      <w:r>
        <w:rPr>
          <w:rFonts w:ascii="仿宋" w:hAnsi="仿宋" w:eastAsia="仿宋"/>
          <w:color w:val="000000" w:themeColor="text1"/>
          <w:sz w:val="32"/>
          <w:szCs w:val="32"/>
          <w14:textFill>
            <w14:solidFill>
              <w14:schemeClr w14:val="tx1"/>
            </w14:solidFill>
          </w14:textFill>
        </w:rPr>
        <w:t>该区主要包括绿洲外围及绿洲内部较大沙区荒漠灌木林地、沙生灌丛地，主要树种有片状分布的柽柳、沙拐枣、梭梭、麻黄等灌木</w:t>
      </w:r>
      <w:r>
        <w:rPr>
          <w:rFonts w:hint="eastAsia" w:ascii="仿宋" w:hAnsi="仿宋" w:eastAsia="仿宋"/>
          <w:color w:val="000000" w:themeColor="text1"/>
          <w:sz w:val="32"/>
          <w:szCs w:val="32"/>
          <w14:textFill>
            <w14:solidFill>
              <w14:schemeClr w14:val="tx1"/>
            </w14:solidFill>
          </w14:textFill>
        </w:rPr>
        <w:t>。主要代表性保护野生动植物包括</w:t>
      </w:r>
      <w:r>
        <w:rPr>
          <w:rFonts w:ascii="仿宋" w:hAnsi="仿宋" w:eastAsia="仿宋"/>
          <w:color w:val="000000" w:themeColor="text1"/>
          <w:sz w:val="32"/>
          <w:szCs w:val="32"/>
          <w14:textFill>
            <w14:solidFill>
              <w14:schemeClr w14:val="tx1"/>
            </w14:solidFill>
          </w14:textFill>
        </w:rPr>
        <w:t>赛加羚羊、鹅喉羚、鹗、裸果木</w:t>
      </w:r>
      <w:r>
        <w:rPr>
          <w:rFonts w:hint="eastAsia" w:ascii="仿宋" w:hAnsi="仿宋" w:eastAsia="仿宋"/>
          <w:color w:val="000000" w:themeColor="text1"/>
          <w:sz w:val="32"/>
          <w:szCs w:val="32"/>
          <w14:textFill>
            <w14:solidFill>
              <w14:schemeClr w14:val="tx1"/>
            </w14:solidFill>
          </w14:textFill>
        </w:rPr>
        <w:t>等。有一处</w:t>
      </w:r>
      <w:r>
        <w:rPr>
          <w:rFonts w:ascii="仿宋" w:hAnsi="仿宋" w:eastAsia="仿宋"/>
          <w:color w:val="000000" w:themeColor="text1"/>
          <w:sz w:val="32"/>
          <w:szCs w:val="32"/>
          <w14:textFill>
            <w14:solidFill>
              <w14:schemeClr w14:val="tx1"/>
            </w14:solidFill>
          </w14:textFill>
        </w:rPr>
        <w:t>鄯善国家沙漠公园</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位于鄯善县城南部库木塔格沙漠中，</w:t>
      </w:r>
      <w:r>
        <w:rPr>
          <w:rFonts w:ascii="仿宋" w:hAnsi="仿宋" w:eastAsia="仿宋" w:cs="Times New Roman"/>
          <w:color w:val="000000" w:themeColor="text1"/>
          <w:sz w:val="32"/>
          <w:szCs w:val="32"/>
          <w14:textFill>
            <w14:solidFill>
              <w14:schemeClr w14:val="tx1"/>
            </w14:solidFill>
          </w14:textFill>
        </w:rPr>
        <w:t>规划总面积</w:t>
      </w:r>
      <w:r>
        <w:rPr>
          <w:rFonts w:ascii="Times New Roman" w:hAnsi="Times New Roman" w:eastAsia="仿宋" w:cs="Times New Roman"/>
          <w:color w:val="000000" w:themeColor="text1"/>
          <w:sz w:val="32"/>
          <w:szCs w:val="32"/>
          <w14:textFill>
            <w14:solidFill>
              <w14:schemeClr w14:val="tx1"/>
            </w14:solidFill>
          </w14:textFill>
        </w:rPr>
        <w:t>200平方公里。有两处沙漠化土地封禁保护区，面积共3.7</w:t>
      </w:r>
      <w:r>
        <w:rPr>
          <w:rFonts w:hint="default" w:ascii="Times New Roman" w:hAnsi="Times New Roman" w:eastAsia="仿宋" w:cs="Times New Roman"/>
          <w:color w:val="000000" w:themeColor="text1"/>
          <w:sz w:val="32"/>
          <w:szCs w:val="32"/>
          <w:lang w:val="en"/>
          <w14:textFill>
            <w14:solidFill>
              <w14:schemeClr w14:val="tx1"/>
            </w14:solidFill>
          </w14:textFill>
        </w:rPr>
        <w:t>0</w:t>
      </w:r>
      <w:r>
        <w:rPr>
          <w:rFonts w:ascii="Times New Roman" w:hAnsi="Times New Roman" w:eastAsia="仿宋" w:cs="Times New Roman"/>
          <w:color w:val="000000" w:themeColor="text1"/>
          <w:sz w:val="32"/>
          <w:szCs w:val="32"/>
          <w14:textFill>
            <w14:solidFill>
              <w14:schemeClr w14:val="tx1"/>
            </w14:solidFill>
          </w14:textFill>
        </w:rPr>
        <w:t>平方公里。鄯善县东湖沙化土地封禁保护区位于辟展乡小东湖库木塔格沙漠边缘，固沙沙障0.957平方公里，刺丝围栏8.6</w:t>
      </w:r>
      <w:r>
        <w:rPr>
          <w:rFonts w:hint="eastAsia" w:ascii="Times New Roman" w:hAnsi="Times New Roman" w:eastAsia="仿宋" w:cs="Times New Roman"/>
          <w:color w:val="000000" w:themeColor="text1"/>
          <w:sz w:val="32"/>
          <w:szCs w:val="32"/>
          <w14:textFill>
            <w14:solidFill>
              <w14:schemeClr w14:val="tx1"/>
            </w14:solidFill>
          </w14:textFill>
        </w:rPr>
        <w:t>0公里</w:t>
      </w:r>
      <w:r>
        <w:rPr>
          <w:rFonts w:ascii="Times New Roman" w:hAnsi="Times New Roman" w:eastAsia="仿宋" w:cs="Times New Roman"/>
          <w:color w:val="000000" w:themeColor="text1"/>
          <w:sz w:val="32"/>
          <w:szCs w:val="32"/>
          <w14:textFill>
            <w14:solidFill>
              <w14:schemeClr w14:val="tx1"/>
            </w14:solidFill>
          </w14:textFill>
        </w:rPr>
        <w:t>。鄯善县库木塔格山南沙化土地封禁保护区位于库木塔格沙漠边缘，途径辟展乡、鲁克沁镇，沿石油公路至迪坎村绿洲外围，固沙沙障2.7443平方公里，刺丝围栏27.07</w:t>
      </w:r>
      <w:r>
        <w:rPr>
          <w:rFonts w:hint="eastAsia" w:ascii="Times New Roman" w:hAnsi="Times New Roman" w:eastAsia="仿宋" w:cs="Times New Roman"/>
          <w:color w:val="000000" w:themeColor="text1"/>
          <w:sz w:val="32"/>
          <w:szCs w:val="32"/>
          <w14:textFill>
            <w14:solidFill>
              <w14:schemeClr w14:val="tx1"/>
            </w14:solidFill>
          </w14:textFill>
        </w:rPr>
        <w:t>公里</w:t>
      </w:r>
      <w:r>
        <w:rPr>
          <w:rFonts w:ascii="Times New Roman" w:hAnsi="Times New Roman" w:eastAsia="仿宋"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主要生态问题。</w:t>
      </w:r>
      <w:r>
        <w:rPr>
          <w:rFonts w:hint="eastAsia" w:ascii="仿宋" w:hAnsi="仿宋" w:eastAsia="仿宋" w:cs="Times New Roman"/>
          <w:color w:val="000000" w:themeColor="text1"/>
          <w:sz w:val="32"/>
          <w:szCs w:val="32"/>
          <w14:textFill>
            <w14:solidFill>
              <w14:schemeClr w14:val="tx1"/>
            </w14:solidFill>
          </w14:textFill>
        </w:rPr>
        <w:t>由于水、土和生物资源不合理开发利用带来的生态系统功能退化，主要表现为，</w:t>
      </w:r>
      <w:r>
        <w:rPr>
          <w:rFonts w:hint="eastAsia" w:ascii="仿宋" w:hAnsi="仿宋" w:eastAsia="仿宋"/>
          <w:color w:val="000000" w:themeColor="text1"/>
          <w:sz w:val="32"/>
          <w:szCs w:val="32"/>
          <w14:textFill>
            <w14:solidFill>
              <w14:schemeClr w14:val="tx1"/>
            </w14:solidFill>
          </w14:textFill>
        </w:rPr>
        <w:t>降水稀少，植被覆盖度低，在风力作用下土壤风蚀严重。绿洲-沙漠过渡带植被</w:t>
      </w:r>
      <w:r>
        <w:rPr>
          <w:rFonts w:ascii="仿宋" w:hAnsi="仿宋" w:eastAsia="仿宋"/>
          <w:color w:val="000000" w:themeColor="text1"/>
          <w:sz w:val="32"/>
          <w:szCs w:val="32"/>
          <w14:textFill>
            <w14:solidFill>
              <w14:schemeClr w14:val="tx1"/>
            </w14:solidFill>
          </w14:textFill>
        </w:rPr>
        <w:t>退化严重，土地沙化</w:t>
      </w:r>
      <w:r>
        <w:rPr>
          <w:rFonts w:hint="eastAsia" w:ascii="仿宋" w:hAnsi="仿宋" w:eastAsia="仿宋"/>
          <w:color w:val="000000" w:themeColor="text1"/>
          <w:sz w:val="32"/>
          <w:szCs w:val="32"/>
          <w14:textFill>
            <w14:solidFill>
              <w14:schemeClr w14:val="tx1"/>
            </w14:solidFill>
          </w14:textFill>
        </w:rPr>
        <w:t>风险</w:t>
      </w:r>
      <w:r>
        <w:rPr>
          <w:rFonts w:ascii="仿宋" w:hAnsi="仿宋" w:eastAsia="仿宋"/>
          <w:color w:val="000000" w:themeColor="text1"/>
          <w:sz w:val="32"/>
          <w:szCs w:val="32"/>
          <w14:textFill>
            <w14:solidFill>
              <w14:schemeClr w14:val="tx1"/>
            </w14:solidFill>
          </w14:textFill>
        </w:rPr>
        <w:t>加剧</w:t>
      </w:r>
      <w:r>
        <w:rPr>
          <w:rFonts w:hint="eastAsia" w:ascii="仿宋" w:hAnsi="仿宋" w:eastAsia="仿宋"/>
          <w:color w:val="000000" w:themeColor="text1"/>
          <w:sz w:val="32"/>
          <w:szCs w:val="32"/>
          <w14:textFill>
            <w14:solidFill>
              <w14:schemeClr w14:val="tx1"/>
            </w14:solidFill>
          </w14:textFill>
        </w:rPr>
        <w:t>。草场不同程度退化，自然恢复能力弱，土地沙化压力大。</w:t>
      </w:r>
      <w:r>
        <w:rPr>
          <w:rFonts w:ascii="仿宋" w:hAnsi="仿宋" w:eastAsia="仿宋" w:cs="Times New Roman"/>
          <w:color w:val="000000" w:themeColor="text1"/>
          <w:sz w:val="32"/>
          <w:szCs w:val="32"/>
          <w14:textFill>
            <w14:solidFill>
              <w14:schemeClr w14:val="tx1"/>
            </w14:solidFill>
          </w14:textFill>
        </w:rPr>
        <w:t>地下水开发利用强度大</w:t>
      </w:r>
      <w:r>
        <w:rPr>
          <w:rFonts w:hint="eastAsia" w:ascii="仿宋" w:hAnsi="仿宋" w:eastAsia="仿宋" w:cs="Times New Roman"/>
          <w:color w:val="000000" w:themeColor="text1"/>
          <w:sz w:val="32"/>
          <w:szCs w:val="32"/>
          <w14:textFill>
            <w14:solidFill>
              <w14:schemeClr w14:val="tx1"/>
            </w14:solidFill>
          </w14:textFill>
        </w:rPr>
        <w:t>，地下水局部超采严重。</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修复方向。</w:t>
      </w:r>
      <w:r>
        <w:rPr>
          <w:rFonts w:ascii="仿宋" w:hAnsi="仿宋" w:eastAsia="仿宋"/>
          <w:color w:val="000000" w:themeColor="text1"/>
          <w:sz w:val="32"/>
          <w:szCs w:val="32"/>
          <w14:textFill>
            <w14:solidFill>
              <w14:schemeClr w14:val="tx1"/>
            </w14:solidFill>
          </w14:textFill>
        </w:rPr>
        <w:t>该区规划布局重点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一是以封育为主，主要依托国家级重点公益林、重点防护林工程封育项目实施，通过对绿洲外围天然荒漠灌木林地、沙生灌丛地采取封育管护，对绿洲外围和重点风沙治理区域通过加强管护，落实管护责任等封育手段，保护、恢复植</w:t>
      </w:r>
      <w:r>
        <w:rPr>
          <w:rFonts w:hint="eastAsia" w:ascii="仿宋" w:hAnsi="仿宋" w:eastAsia="仿宋"/>
          <w:color w:val="000000" w:themeColor="text1"/>
          <w:sz w:val="32"/>
          <w:szCs w:val="32"/>
          <w14:textFill>
            <w14:solidFill>
              <w14:schemeClr w14:val="tx1"/>
            </w14:solidFill>
          </w14:textFill>
        </w:rPr>
        <w:t>被</w:t>
      </w:r>
      <w:r>
        <w:rPr>
          <w:rFonts w:ascii="仿宋" w:hAnsi="仿宋" w:eastAsia="仿宋"/>
          <w:color w:val="000000" w:themeColor="text1"/>
          <w:sz w:val="32"/>
          <w:szCs w:val="32"/>
          <w14:textFill>
            <w14:solidFill>
              <w14:schemeClr w14:val="tx1"/>
            </w14:solidFill>
          </w14:textFill>
        </w:rPr>
        <w:t>，增加植被覆盖度，改善绿洲外围生态环境。</w:t>
      </w:r>
      <w:r>
        <w:rPr>
          <w:rFonts w:hint="eastAsia" w:ascii="仿宋" w:hAnsi="仿宋" w:eastAsia="仿宋"/>
          <w:color w:val="000000" w:themeColor="text1"/>
          <w:sz w:val="32"/>
          <w:szCs w:val="32"/>
          <w14:textFill>
            <w14:solidFill>
              <w14:schemeClr w14:val="tx1"/>
            </w14:solidFill>
          </w14:textFill>
        </w:rPr>
        <w:t>重点治理的区域分布在高昌区的艾丁湖镇、恰特喀勒乡、火焰山镇、三堡乡和亚尔镇，鄯善县的迪坎乡、达浪坎乡和吐峪沟乡，托克逊县的夏乡、郭勒布依乡、博斯坦镇和伊拉湖镇绿洲外围荒漠灌木林地、沙生灌丛地；</w:t>
      </w:r>
      <w:r>
        <w:rPr>
          <w:rFonts w:ascii="仿宋" w:hAnsi="仿宋" w:eastAsia="仿宋"/>
          <w:color w:val="000000" w:themeColor="text1"/>
          <w:sz w:val="32"/>
          <w:szCs w:val="32"/>
          <w14:textFill>
            <w14:solidFill>
              <w14:schemeClr w14:val="tx1"/>
            </w14:solidFill>
          </w14:textFill>
        </w:rPr>
        <w:t>二是以沙化土地治理为主，主要分布吐鲁番盆地艾丁湖周边高昌区和托克逊县风沙区，主要采取封禁保护和防沙治沙人工造林相结合的方式进行治理。高昌区主要分布在高昌区的艾丁湖</w:t>
      </w:r>
      <w:r>
        <w:rPr>
          <w:rFonts w:hint="eastAsia" w:ascii="仿宋" w:hAnsi="仿宋" w:eastAsia="仿宋"/>
          <w:color w:val="000000" w:themeColor="text1"/>
          <w:sz w:val="32"/>
          <w:szCs w:val="32"/>
          <w14:textFill>
            <w14:solidFill>
              <w14:schemeClr w14:val="tx1"/>
            </w14:solidFill>
          </w14:textFill>
        </w:rPr>
        <w:t>镇</w:t>
      </w:r>
      <w:r>
        <w:rPr>
          <w:rFonts w:ascii="仿宋" w:hAnsi="仿宋" w:eastAsia="仿宋"/>
          <w:color w:val="000000" w:themeColor="text1"/>
          <w:sz w:val="32"/>
          <w:szCs w:val="32"/>
          <w14:textFill>
            <w14:solidFill>
              <w14:schemeClr w14:val="tx1"/>
            </w14:solidFill>
          </w14:textFill>
        </w:rPr>
        <w:t>、恰特喀勒乡周边风沙地，托克逊县主要分布在托克逊县夏乡、郭勒布依乡、博斯坦</w:t>
      </w:r>
      <w:r>
        <w:rPr>
          <w:rFonts w:hint="eastAsia" w:ascii="仿宋" w:hAnsi="仿宋" w:eastAsia="仿宋"/>
          <w:color w:val="000000" w:themeColor="text1"/>
          <w:sz w:val="32"/>
          <w:szCs w:val="32"/>
          <w14:textFill>
            <w14:solidFill>
              <w14:schemeClr w14:val="tx1"/>
            </w14:solidFill>
          </w14:textFill>
        </w:rPr>
        <w:t>镇</w:t>
      </w:r>
      <w:r>
        <w:rPr>
          <w:rFonts w:ascii="仿宋" w:hAnsi="仿宋" w:eastAsia="仿宋"/>
          <w:color w:val="000000" w:themeColor="text1"/>
          <w:sz w:val="32"/>
          <w:szCs w:val="32"/>
          <w14:textFill>
            <w14:solidFill>
              <w14:schemeClr w14:val="tx1"/>
            </w14:solidFill>
          </w14:textFill>
        </w:rPr>
        <w:t>、伊拉湖</w:t>
      </w:r>
      <w:r>
        <w:rPr>
          <w:rFonts w:hint="eastAsia" w:ascii="仿宋" w:hAnsi="仿宋" w:eastAsia="仿宋"/>
          <w:color w:val="000000" w:themeColor="text1"/>
          <w:sz w:val="32"/>
          <w:szCs w:val="32"/>
          <w14:textFill>
            <w14:solidFill>
              <w14:schemeClr w14:val="tx1"/>
            </w14:solidFill>
          </w14:textFill>
        </w:rPr>
        <w:t>镇</w:t>
      </w:r>
      <w:r>
        <w:rPr>
          <w:rFonts w:ascii="仿宋" w:hAnsi="仿宋" w:eastAsia="仿宋"/>
          <w:color w:val="000000" w:themeColor="text1"/>
          <w:sz w:val="32"/>
          <w:szCs w:val="32"/>
          <w14:textFill>
            <w14:solidFill>
              <w14:schemeClr w14:val="tx1"/>
            </w14:solidFill>
          </w14:textFill>
        </w:rPr>
        <w:t>风线风沙区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三是库木塔格和艾丁湖国家沙漠公园建设，力争建成沙漠生态系统健康完整、自然景观优美、宣教展示设施完善、基础设施良好、文娱休闲条件优越、文化底蕴独特、具有吐鲁番文化代表性的、国内著名的国家沙漠公园，促进生态保护与开发并举。</w:t>
      </w:r>
      <w:r>
        <w:rPr>
          <w:rFonts w:hint="eastAsia" w:ascii="仿宋" w:hAnsi="仿宋" w:eastAsia="仿宋"/>
          <w:color w:val="000000" w:themeColor="text1"/>
          <w:sz w:val="32"/>
          <w:szCs w:val="32"/>
          <w14:textFill>
            <w14:solidFill>
              <w14:schemeClr w14:val="tx1"/>
            </w14:solidFill>
          </w14:textFill>
        </w:rPr>
        <w:t>合理调配水资源。控制人工绿洲规模。恢复和扩大过渡带区域范围。保障必要生态用水，保护和恢复自然生态系统。</w:t>
      </w:r>
    </w:p>
    <w:p>
      <w:pPr>
        <w:pStyle w:val="3"/>
        <w:pageBreakBefore w:val="0"/>
        <w:widowControl w:val="0"/>
        <w:kinsoku/>
        <w:wordWrap/>
        <w:overflowPunct/>
        <w:topLinePunct w:val="0"/>
        <w:autoSpaceDE/>
        <w:autoSpaceDN/>
        <w:bidi w:val="0"/>
        <w:spacing w:before="120" w:beforeLines="50" w:after="120" w:afterLines="50" w:line="560" w:lineRule="exact"/>
        <w:ind w:firstLine="565" w:firstLineChars="176"/>
        <w:jc w:val="left"/>
        <w:textAlignment w:val="auto"/>
        <w:rPr>
          <w:rFonts w:ascii="仿宋" w:hAnsi="仿宋" w:eastAsia="仿宋" w:cs="Times New Roman"/>
          <w:color w:val="000000" w:themeColor="text1"/>
          <w:shd w:val="clear" w:color="auto" w:fill="FFFFFF"/>
          <w14:textFill>
            <w14:solidFill>
              <w14:schemeClr w14:val="tx1"/>
            </w14:solidFill>
          </w14:textFill>
        </w:rPr>
      </w:pPr>
      <w:bookmarkStart w:id="50" w:name="_Toc88262319"/>
      <w:bookmarkStart w:id="51" w:name="_Toc119582401"/>
      <w:bookmarkStart w:id="52" w:name="_Toc125907433"/>
      <w:r>
        <w:rPr>
          <w:rFonts w:hint="eastAsia" w:ascii="仿宋" w:hAnsi="仿宋" w:eastAsia="仿宋" w:cs="Times New Roman"/>
          <w:color w:val="000000" w:themeColor="text1"/>
          <w:shd w:val="clear" w:color="auto" w:fill="FFFFFF"/>
          <w14:textFill>
            <w14:solidFill>
              <w14:schemeClr w14:val="tx1"/>
            </w14:solidFill>
          </w14:textFill>
        </w:rPr>
        <w:t>（四）</w:t>
      </w:r>
      <w:r>
        <w:rPr>
          <w:rFonts w:ascii="仿宋" w:hAnsi="仿宋" w:eastAsia="仿宋" w:cs="Times New Roman"/>
          <w:color w:val="000000" w:themeColor="text1"/>
          <w:shd w:val="clear" w:color="auto" w:fill="FFFFFF"/>
          <w14:textFill>
            <w14:solidFill>
              <w14:schemeClr w14:val="tx1"/>
            </w14:solidFill>
          </w14:textFill>
        </w:rPr>
        <w:t>觉罗塔格-库鲁克塔格山荒漠植被保护生态修复区</w:t>
      </w:r>
      <w:bookmarkEnd w:id="50"/>
      <w:bookmarkEnd w:id="51"/>
      <w:bookmarkEnd w:id="52"/>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分区概况。</w:t>
      </w:r>
      <w:r>
        <w:rPr>
          <w:rFonts w:hint="eastAsia" w:ascii="仿宋" w:hAnsi="仿宋" w:eastAsia="仿宋"/>
          <w:color w:val="000000" w:themeColor="text1"/>
          <w:sz w:val="32"/>
          <w:szCs w:val="32"/>
          <w14:textFill>
            <w14:solidFill>
              <w14:schemeClr w14:val="tx1"/>
            </w14:solidFill>
          </w14:textFill>
        </w:rPr>
        <w:t>位于</w:t>
      </w:r>
      <w:r>
        <w:rPr>
          <w:rFonts w:ascii="仿宋" w:hAnsi="仿宋" w:eastAsia="仿宋"/>
          <w:color w:val="000000" w:themeColor="text1"/>
          <w:sz w:val="32"/>
          <w:szCs w:val="32"/>
          <w14:textFill>
            <w14:solidFill>
              <w14:schemeClr w14:val="tx1"/>
            </w14:solidFill>
          </w14:textFill>
        </w:rPr>
        <w:t>南部生态功能区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是市域荒漠生态基底的主要构成部分。</w:t>
      </w:r>
      <w:r>
        <w:rPr>
          <w:rFonts w:hint="eastAsia" w:ascii="仿宋" w:hAnsi="仿宋" w:eastAsia="仿宋"/>
          <w:color w:val="000000" w:themeColor="text1"/>
          <w:sz w:val="32"/>
          <w:szCs w:val="32"/>
          <w14:textFill>
            <w14:solidFill>
              <w14:schemeClr w14:val="tx1"/>
            </w14:solidFill>
          </w14:textFill>
        </w:rPr>
        <w:t>包括</w:t>
      </w:r>
      <w:r>
        <w:rPr>
          <w:rFonts w:ascii="仿宋" w:hAnsi="仿宋" w:eastAsia="仿宋"/>
          <w:color w:val="000000" w:themeColor="text1"/>
          <w:sz w:val="32"/>
          <w:szCs w:val="32"/>
          <w14:textFill>
            <w14:solidFill>
              <w14:schemeClr w14:val="tx1"/>
            </w14:solidFill>
          </w14:textFill>
        </w:rPr>
        <w:t>库木塔格生物多样性维护、防风固沙生态保护红线区</w:t>
      </w:r>
      <w:r>
        <w:rPr>
          <w:rFonts w:hint="eastAsia" w:ascii="仿宋" w:hAnsi="仿宋" w:eastAsia="仿宋"/>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自然地理条件。</w:t>
      </w:r>
      <w:r>
        <w:rPr>
          <w:rFonts w:hint="eastAsia" w:ascii="仿宋" w:hAnsi="仿宋" w:eastAsia="仿宋"/>
          <w:color w:val="000000" w:themeColor="text1"/>
          <w:sz w:val="32"/>
          <w:szCs w:val="32"/>
          <w14:textFill>
            <w14:solidFill>
              <w14:schemeClr w14:val="tx1"/>
            </w14:solidFill>
          </w14:textFill>
        </w:rPr>
        <w:t>属典型的暖温带干旱荒漠气候，光热充裕，降水极少</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区域内水系发育极弱，河流稀疏、</w:t>
      </w:r>
      <w:r>
        <w:rPr>
          <w:rFonts w:ascii="仿宋" w:hAnsi="仿宋" w:eastAsia="仿宋"/>
          <w:color w:val="000000" w:themeColor="text1"/>
          <w:sz w:val="32"/>
          <w:szCs w:val="32"/>
          <w14:textFill>
            <w14:solidFill>
              <w14:schemeClr w14:val="tx1"/>
            </w14:solidFill>
          </w14:textFill>
        </w:rPr>
        <w:t>流程短</w:t>
      </w:r>
      <w:r>
        <w:rPr>
          <w:rFonts w:hint="eastAsia" w:ascii="仿宋" w:hAnsi="仿宋" w:eastAsia="仿宋"/>
          <w:color w:val="000000" w:themeColor="text1"/>
          <w:sz w:val="32"/>
          <w:szCs w:val="32"/>
          <w14:textFill>
            <w14:solidFill>
              <w14:schemeClr w14:val="tx1"/>
            </w14:solidFill>
          </w14:textFill>
        </w:rPr>
        <w:t>、径流</w:t>
      </w:r>
      <w:r>
        <w:rPr>
          <w:rFonts w:ascii="仿宋" w:hAnsi="仿宋" w:eastAsia="仿宋"/>
          <w:color w:val="000000" w:themeColor="text1"/>
          <w:sz w:val="32"/>
          <w:szCs w:val="32"/>
          <w14:textFill>
            <w14:solidFill>
              <w14:schemeClr w14:val="tx1"/>
            </w14:solidFill>
          </w14:textFill>
        </w:rPr>
        <w:t>量小。</w:t>
      </w:r>
      <w:r>
        <w:rPr>
          <w:rFonts w:hint="eastAsia" w:ascii="仿宋" w:hAnsi="仿宋" w:eastAsia="仿宋"/>
          <w:color w:val="000000" w:themeColor="text1"/>
          <w:sz w:val="32"/>
          <w:szCs w:val="32"/>
          <w14:textFill>
            <w14:solidFill>
              <w14:schemeClr w14:val="tx1"/>
            </w14:solidFill>
          </w14:textFill>
        </w:rPr>
        <w:t>地带性植被为荒漠，主要由旱生、超旱生灌木、小半灌木群系构成。主要保护野生动植物有</w:t>
      </w:r>
      <w:r>
        <w:rPr>
          <w:rFonts w:ascii="仿宋" w:hAnsi="仿宋" w:eastAsia="仿宋"/>
          <w:color w:val="000000" w:themeColor="text1"/>
          <w:sz w:val="32"/>
          <w:szCs w:val="32"/>
          <w14:textFill>
            <w14:solidFill>
              <w14:schemeClr w14:val="tx1"/>
            </w14:solidFill>
          </w14:textFill>
        </w:rPr>
        <w:t>双峰驼、岩羊、鹅喉羚、雪豹、猞猁、草原斑猫、藏雪鸡、秃鹫、梭梭、裸果木、精河沙拐枣</w:t>
      </w:r>
      <w:r>
        <w:rPr>
          <w:rFonts w:hint="eastAsia" w:ascii="仿宋" w:hAnsi="仿宋" w:eastAsia="仿宋"/>
          <w:color w:val="000000" w:themeColor="text1"/>
          <w:sz w:val="32"/>
          <w:szCs w:val="32"/>
          <w14:textFill>
            <w14:solidFill>
              <w14:schemeClr w14:val="tx1"/>
            </w14:solidFill>
          </w14:textFill>
        </w:rPr>
        <w:t>等。</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主要生态问题。</w:t>
      </w:r>
      <w:r>
        <w:rPr>
          <w:rFonts w:hint="eastAsia" w:ascii="仿宋" w:hAnsi="仿宋" w:eastAsia="仿宋"/>
          <w:color w:val="000000" w:themeColor="text1"/>
          <w:sz w:val="32"/>
          <w:szCs w:val="32"/>
          <w14:textFill>
            <w14:solidFill>
              <w14:schemeClr w14:val="tx1"/>
            </w14:solidFill>
          </w14:textFill>
        </w:rPr>
        <w:t>生态本底先天弱，生态系统结构简单、生产力低、功能不稳定。</w:t>
      </w:r>
      <w:r>
        <w:rPr>
          <w:rFonts w:ascii="仿宋" w:hAnsi="仿宋" w:eastAsia="仿宋"/>
          <w:color w:val="000000" w:themeColor="text1"/>
          <w:sz w:val="32"/>
          <w:szCs w:val="32"/>
          <w14:textFill>
            <w14:solidFill>
              <w14:schemeClr w14:val="tx1"/>
            </w14:solidFill>
          </w14:textFill>
        </w:rPr>
        <w:t>荒漠植被破坏、地貌破坏</w:t>
      </w:r>
      <w:r>
        <w:rPr>
          <w:rFonts w:hint="eastAsia" w:ascii="仿宋" w:hAnsi="仿宋" w:eastAsia="仿宋"/>
          <w:color w:val="000000" w:themeColor="text1"/>
          <w:sz w:val="32"/>
          <w:szCs w:val="32"/>
          <w14:textFill>
            <w14:solidFill>
              <w14:schemeClr w14:val="tx1"/>
            </w14:solidFill>
          </w14:textFill>
        </w:rPr>
        <w:t>，沙化土地比例高，风沙侵袭风险长期存在，生态屏障质量低、空间格局不完善，沙尘天气频发。</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主攻方向。</w:t>
      </w:r>
      <w:r>
        <w:rPr>
          <w:rFonts w:ascii="仿宋" w:hAnsi="仿宋" w:eastAsia="仿宋"/>
          <w:color w:val="000000" w:themeColor="text1"/>
          <w:sz w:val="32"/>
          <w:szCs w:val="32"/>
          <w14:textFill>
            <w14:solidFill>
              <w14:schemeClr w14:val="tx1"/>
            </w14:solidFill>
          </w14:textFill>
        </w:rPr>
        <w:t>该区主要生态服务功能为荒漠化控制、矿产资源开发。</w:t>
      </w:r>
      <w:r>
        <w:rPr>
          <w:rFonts w:hint="eastAsia" w:ascii="仿宋" w:hAnsi="仿宋" w:eastAsia="仿宋"/>
          <w:color w:val="000000" w:themeColor="text1"/>
          <w:sz w:val="32"/>
          <w:szCs w:val="32"/>
          <w14:textFill>
            <w14:solidFill>
              <w14:schemeClr w14:val="tx1"/>
            </w14:solidFill>
          </w14:textFill>
        </w:rPr>
        <w:t>进行开发建设活动时，必须采取措施保护植被，工程竣工后，必须对区域地形地貌和植被进行恢复，禁止植被破坏行为的产生。管制与保护目标是保护荒漠植被、地貌。主要生态修复与保护措施为加强采矿管理、维护自然生态环境，合理发展矿业。</w:t>
      </w:r>
      <w:bookmarkStart w:id="53" w:name="_Hlk88260621"/>
      <w:r>
        <w:rPr>
          <w:rFonts w:ascii="仿宋" w:hAnsi="仿宋" w:eastAsia="仿宋"/>
          <w:color w:val="000000" w:themeColor="text1"/>
          <w:sz w:val="32"/>
          <w:szCs w:val="32"/>
          <w14:textFill>
            <w14:solidFill>
              <w14:schemeClr w14:val="tx1"/>
            </w14:solidFill>
          </w14:textFill>
        </w:rPr>
        <w:t>南部荒漠地带的荒漠灌木林发挥遏制风沙危害，控制水土流失，保护绿洲生态环境的作用</w:t>
      </w:r>
      <w:r>
        <w:rPr>
          <w:rFonts w:hint="eastAsia" w:ascii="仿宋" w:hAnsi="仿宋" w:eastAsia="仿宋"/>
          <w:color w:val="000000" w:themeColor="text1"/>
          <w:sz w:val="32"/>
          <w:szCs w:val="32"/>
          <w14:textFill>
            <w14:solidFill>
              <w14:schemeClr w14:val="tx1"/>
            </w14:solidFill>
          </w14:textFill>
        </w:rPr>
        <w:t>。</w:t>
      </w:r>
    </w:p>
    <w:bookmarkEnd w:id="53"/>
    <w:p>
      <w:pPr>
        <w:pStyle w:val="3"/>
        <w:pageBreakBefore w:val="0"/>
        <w:widowControl w:val="0"/>
        <w:kinsoku/>
        <w:wordWrap/>
        <w:overflowPunct/>
        <w:topLinePunct w:val="0"/>
        <w:autoSpaceDE/>
        <w:autoSpaceDN/>
        <w:bidi w:val="0"/>
        <w:spacing w:before="120" w:beforeLines="50" w:after="120" w:afterLines="50" w:line="560" w:lineRule="exact"/>
        <w:ind w:firstLine="565" w:firstLineChars="176"/>
        <w:jc w:val="left"/>
        <w:textAlignment w:val="auto"/>
        <w:rPr>
          <w:rFonts w:ascii="仿宋" w:hAnsi="仿宋" w:eastAsia="仿宋" w:cs="Times New Roman"/>
          <w:color w:val="000000" w:themeColor="text1"/>
          <w:shd w:val="clear" w:color="auto" w:fill="FFFFFF"/>
          <w14:textFill>
            <w14:solidFill>
              <w14:schemeClr w14:val="tx1"/>
            </w14:solidFill>
          </w14:textFill>
        </w:rPr>
      </w:pPr>
      <w:bookmarkStart w:id="54" w:name="_Toc88262320"/>
      <w:bookmarkStart w:id="55" w:name="_Toc119582402"/>
      <w:bookmarkStart w:id="56" w:name="_Toc125907434"/>
      <w:r>
        <w:rPr>
          <w:rFonts w:hint="eastAsia" w:ascii="仿宋" w:hAnsi="仿宋" w:eastAsia="仿宋" w:cs="Times New Roman"/>
          <w:color w:val="000000" w:themeColor="text1"/>
          <w:shd w:val="clear" w:color="auto" w:fill="FFFFFF"/>
          <w14:textFill>
            <w14:solidFill>
              <w14:schemeClr w14:val="tx1"/>
            </w14:solidFill>
          </w14:textFill>
        </w:rPr>
        <w:t>（五）</w:t>
      </w:r>
      <w:r>
        <w:rPr>
          <w:rFonts w:ascii="仿宋" w:hAnsi="仿宋" w:eastAsia="仿宋" w:cs="Times New Roman"/>
          <w:color w:val="000000" w:themeColor="text1"/>
          <w:shd w:val="clear" w:color="auto" w:fill="FFFFFF"/>
          <w14:textFill>
            <w14:solidFill>
              <w14:schemeClr w14:val="tx1"/>
            </w14:solidFill>
          </w14:textFill>
        </w:rPr>
        <w:t>嘎顺-南湖戈壁荒漠风蚀敏感生态修复区</w:t>
      </w:r>
      <w:bookmarkEnd w:id="54"/>
      <w:bookmarkEnd w:id="55"/>
      <w:bookmarkEnd w:id="56"/>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分区概况。</w:t>
      </w:r>
      <w:r>
        <w:rPr>
          <w:rFonts w:hint="eastAsia" w:ascii="仿宋" w:hAnsi="仿宋" w:eastAsia="仿宋"/>
          <w:color w:val="000000" w:themeColor="text1"/>
          <w:sz w:val="32"/>
          <w:szCs w:val="32"/>
          <w14:textFill>
            <w14:solidFill>
              <w14:schemeClr w14:val="tx1"/>
            </w14:solidFill>
          </w14:textFill>
        </w:rPr>
        <w:t>位于</w:t>
      </w:r>
      <w:r>
        <w:rPr>
          <w:rFonts w:ascii="仿宋" w:hAnsi="仿宋" w:eastAsia="仿宋"/>
          <w:color w:val="000000" w:themeColor="text1"/>
          <w:sz w:val="32"/>
          <w:szCs w:val="32"/>
          <w14:textFill>
            <w14:solidFill>
              <w14:schemeClr w14:val="tx1"/>
            </w14:solidFill>
          </w14:textFill>
        </w:rPr>
        <w:t>南部生态功能区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是市域荒漠生态基底的主要构成部分。</w:t>
      </w:r>
    </w:p>
    <w:p>
      <w:pPr>
        <w:pageBreakBefore w:val="0"/>
        <w:widowControl w:val="0"/>
        <w:kinsoku/>
        <w:wordWrap/>
        <w:overflowPunct/>
        <w:topLinePunct w:val="0"/>
        <w:autoSpaceDE/>
        <w:autoSpaceDN/>
        <w:bidi w:val="0"/>
        <w:spacing w:line="560" w:lineRule="exact"/>
        <w:ind w:firstLine="56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自然地理条件。</w:t>
      </w:r>
      <w:r>
        <w:rPr>
          <w:rFonts w:hint="eastAsia" w:ascii="仿宋" w:hAnsi="仿宋" w:eastAsia="仿宋"/>
          <w:color w:val="000000" w:themeColor="text1"/>
          <w:sz w:val="32"/>
          <w:szCs w:val="32"/>
          <w14:textFill>
            <w14:solidFill>
              <w14:schemeClr w14:val="tx1"/>
            </w14:solidFill>
          </w14:textFill>
        </w:rPr>
        <w:t>属典型的暖温带干旱荒漠气候，光热充裕，降水极少</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区域内水系发育极弱，河流稀疏、</w:t>
      </w:r>
      <w:r>
        <w:rPr>
          <w:rFonts w:ascii="仿宋" w:hAnsi="仿宋" w:eastAsia="仿宋"/>
          <w:color w:val="000000" w:themeColor="text1"/>
          <w:sz w:val="32"/>
          <w:szCs w:val="32"/>
          <w14:textFill>
            <w14:solidFill>
              <w14:schemeClr w14:val="tx1"/>
            </w14:solidFill>
          </w14:textFill>
        </w:rPr>
        <w:t>流程短</w:t>
      </w:r>
      <w:r>
        <w:rPr>
          <w:rFonts w:hint="eastAsia" w:ascii="仿宋" w:hAnsi="仿宋" w:eastAsia="仿宋"/>
          <w:color w:val="000000" w:themeColor="text1"/>
          <w:sz w:val="32"/>
          <w:szCs w:val="32"/>
          <w14:textFill>
            <w14:solidFill>
              <w14:schemeClr w14:val="tx1"/>
            </w14:solidFill>
          </w14:textFill>
        </w:rPr>
        <w:t>、径流</w:t>
      </w:r>
      <w:r>
        <w:rPr>
          <w:rFonts w:ascii="仿宋" w:hAnsi="仿宋" w:eastAsia="仿宋"/>
          <w:color w:val="000000" w:themeColor="text1"/>
          <w:sz w:val="32"/>
          <w:szCs w:val="32"/>
          <w14:textFill>
            <w14:solidFill>
              <w14:schemeClr w14:val="tx1"/>
            </w14:solidFill>
          </w14:textFill>
        </w:rPr>
        <w:t>量小。</w:t>
      </w:r>
      <w:r>
        <w:rPr>
          <w:rFonts w:hint="eastAsia" w:ascii="仿宋" w:hAnsi="仿宋" w:eastAsia="仿宋"/>
          <w:color w:val="000000" w:themeColor="text1"/>
          <w:sz w:val="32"/>
          <w:szCs w:val="32"/>
          <w14:textFill>
            <w14:solidFill>
              <w14:schemeClr w14:val="tx1"/>
            </w14:solidFill>
          </w14:textFill>
        </w:rPr>
        <w:t>地带性植被为荒漠，主要由旱生、超旱生灌木、小半灌木群系构成。</w:t>
      </w:r>
      <w:r>
        <w:rPr>
          <w:rFonts w:ascii="仿宋" w:hAnsi="仿宋" w:eastAsia="仿宋" w:cs="Times New Roman"/>
          <w:color w:val="000000" w:themeColor="text1"/>
          <w:sz w:val="32"/>
          <w:szCs w:val="32"/>
          <w14:textFill>
            <w14:solidFill>
              <w14:schemeClr w14:val="tx1"/>
            </w14:solidFill>
          </w14:textFill>
        </w:rPr>
        <w:t>有一处罗布泊野骆驼国家级自然保护区。该自然保护区由吐鲁番市与若羌县、哈密市共有，总面积</w:t>
      </w:r>
      <w:r>
        <w:rPr>
          <w:rFonts w:ascii="Times New Roman" w:hAnsi="Times New Roman" w:eastAsia="仿宋" w:cs="Times New Roman"/>
          <w:color w:val="000000" w:themeColor="text1"/>
          <w:sz w:val="32"/>
          <w:szCs w:val="32"/>
          <w14:textFill>
            <w14:solidFill>
              <w14:schemeClr w14:val="tx1"/>
            </w14:solidFill>
          </w14:textFill>
        </w:rPr>
        <w:t>61200平方公里，其中部分自然保护区实验区位于吐鲁番市高昌区、鄯善县，</w:t>
      </w:r>
      <w:r>
        <w:rPr>
          <w:rFonts w:ascii="仿宋" w:hAnsi="仿宋" w:eastAsia="仿宋" w:cs="Times New Roman"/>
          <w:color w:val="000000" w:themeColor="text1"/>
          <w:sz w:val="32"/>
          <w:szCs w:val="32"/>
          <w14:textFill>
            <w14:solidFill>
              <w14:schemeClr w14:val="tx1"/>
            </w14:solidFill>
          </w14:textFill>
        </w:rPr>
        <w:t>总面积</w:t>
      </w:r>
      <w:r>
        <w:rPr>
          <w:rFonts w:ascii="Times New Roman" w:hAnsi="Times New Roman" w:eastAsia="仿宋" w:cs="Times New Roman"/>
          <w:color w:val="000000" w:themeColor="text1"/>
          <w:sz w:val="32"/>
          <w:szCs w:val="32"/>
          <w14:textFill>
            <w14:solidFill>
              <w14:schemeClr w14:val="tx1"/>
            </w14:solidFill>
          </w14:textFill>
        </w:rPr>
        <w:t>3200平方公里。</w:t>
      </w:r>
    </w:p>
    <w:p>
      <w:pPr>
        <w:pageBreakBefore w:val="0"/>
        <w:widowControl w:val="0"/>
        <w:kinsoku/>
        <w:wordWrap/>
        <w:overflowPunct/>
        <w:topLinePunct w:val="0"/>
        <w:autoSpaceDE/>
        <w:autoSpaceDN/>
        <w:bidi w:val="0"/>
        <w:spacing w:line="560" w:lineRule="exact"/>
        <w:ind w:firstLine="566"/>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主要生态问题。</w:t>
      </w:r>
      <w:r>
        <w:rPr>
          <w:rFonts w:hint="eastAsia" w:ascii="仿宋" w:hAnsi="仿宋" w:eastAsia="仿宋"/>
          <w:color w:val="000000" w:themeColor="text1"/>
          <w:sz w:val="32"/>
          <w:szCs w:val="32"/>
          <w14:textFill>
            <w14:solidFill>
              <w14:schemeClr w14:val="tx1"/>
            </w14:solidFill>
          </w14:textFill>
        </w:rPr>
        <w:t>生态本底先天弱，生态系统结构简单、生产力低、功能不稳定。</w:t>
      </w:r>
      <w:r>
        <w:rPr>
          <w:rFonts w:ascii="仿宋" w:hAnsi="仿宋" w:eastAsia="仿宋"/>
          <w:color w:val="000000" w:themeColor="text1"/>
          <w:sz w:val="32"/>
          <w:szCs w:val="32"/>
          <w14:textFill>
            <w14:solidFill>
              <w14:schemeClr w14:val="tx1"/>
            </w14:solidFill>
          </w14:textFill>
        </w:rPr>
        <w:t>荒漠植被破坏、地貌破坏</w:t>
      </w:r>
      <w:r>
        <w:rPr>
          <w:rFonts w:hint="eastAsia" w:ascii="仿宋" w:hAnsi="仿宋" w:eastAsia="仿宋"/>
          <w:color w:val="000000" w:themeColor="text1"/>
          <w:sz w:val="32"/>
          <w:szCs w:val="32"/>
          <w14:textFill>
            <w14:solidFill>
              <w14:schemeClr w14:val="tx1"/>
            </w14:solidFill>
          </w14:textFill>
        </w:rPr>
        <w:t>，沙化土地比例高，风沙侵袭风险长期存在，生态屏障质量低、空间格局不完善，沙尘天气频发。</w:t>
      </w:r>
    </w:p>
    <w:p>
      <w:pPr>
        <w:pageBreakBefore w:val="0"/>
        <w:widowControl w:val="0"/>
        <w:kinsoku/>
        <w:wordWrap/>
        <w:overflowPunct/>
        <w:topLinePunct w:val="0"/>
        <w:autoSpaceDE/>
        <w:autoSpaceDN/>
        <w:bidi w:val="0"/>
        <w:spacing w:line="560" w:lineRule="exact"/>
        <w:ind w:firstLine="560"/>
        <w:textAlignment w:val="auto"/>
        <w:rPr>
          <w:rFonts w:ascii="楷体_GB2312" w:hAnsi="楷体" w:eastAsia="楷体_GB2312" w:cs="Times New Roman"/>
          <w:b/>
          <w:bCs/>
          <w:color w:val="000000" w:themeColor="text1"/>
          <w:sz w:val="36"/>
          <w:szCs w:val="36"/>
          <w:shd w:val="clear" w:color="auto" w:fill="FFFFFF"/>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主攻方向。</w:t>
      </w:r>
      <w:r>
        <w:rPr>
          <w:rFonts w:ascii="仿宋" w:hAnsi="仿宋" w:eastAsia="仿宋"/>
          <w:color w:val="000000" w:themeColor="text1"/>
          <w:sz w:val="32"/>
          <w:szCs w:val="32"/>
          <w14:textFill>
            <w14:solidFill>
              <w14:schemeClr w14:val="tx1"/>
            </w14:solidFill>
          </w14:textFill>
        </w:rPr>
        <w:t>主要生态修复与保护措施为减少公路管道工程破坏地表植被、铁路公路沿线防风固沙、减少人类干扰范围、保护矿区生态。开发建设项目污染物必须达标排</w:t>
      </w:r>
      <w:r>
        <w:rPr>
          <w:rFonts w:hint="eastAsia" w:ascii="仿宋" w:hAnsi="仿宋" w:eastAsia="仿宋"/>
          <w:color w:val="000000" w:themeColor="text1"/>
          <w:sz w:val="32"/>
          <w:szCs w:val="32"/>
          <w14:textFill>
            <w14:solidFill>
              <w14:schemeClr w14:val="tx1"/>
            </w14:solidFill>
          </w14:textFill>
        </w:rPr>
        <w:t>放，杜绝集体和个体的非法采矿活动与外排工业废物对保护区的影响。合理开发矿产资源、保护荒漠自然景观，维护生态平衡。</w:t>
      </w:r>
      <w:r>
        <w:rPr>
          <w:rFonts w:ascii="仿宋" w:hAnsi="仿宋" w:eastAsia="仿宋"/>
          <w:color w:val="000000" w:themeColor="text1"/>
          <w:sz w:val="32"/>
          <w:szCs w:val="32"/>
          <w14:textFill>
            <w14:solidFill>
              <w14:schemeClr w14:val="tx1"/>
            </w14:solidFill>
          </w14:textFill>
        </w:rPr>
        <w:t>南部荒漠地带的荒漠灌木林发挥遏制风沙危害，控制水土流失，保护绿洲生态环境的作用</w:t>
      </w:r>
      <w:r>
        <w:rPr>
          <w:rFonts w:hint="eastAsia" w:ascii="仿宋" w:hAnsi="仿宋" w:eastAsia="仿宋"/>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spacing w:line="560" w:lineRule="exact"/>
        <w:ind w:firstLine="560"/>
        <w:textAlignment w:val="auto"/>
        <w:rPr>
          <w:rFonts w:ascii="楷体_GB2312" w:hAnsi="楷体" w:eastAsia="楷体_GB2312" w:cs="Times New Roman"/>
          <w:b/>
          <w:bCs/>
          <w:color w:val="000000" w:themeColor="text1"/>
          <w:sz w:val="36"/>
          <w:szCs w:val="36"/>
          <w:shd w:val="clear" w:color="auto" w:fill="FFFFFF"/>
          <w14:textFill>
            <w14:solidFill>
              <w14:schemeClr w14:val="tx1"/>
            </w14:solidFill>
          </w14:textFill>
        </w:rPr>
      </w:pPr>
    </w:p>
    <w:p>
      <w:pPr>
        <w:widowControl/>
        <w:jc w:val="left"/>
        <w:rPr>
          <w:rFonts w:ascii="黑体" w:hAnsi="宋体" w:eastAsia="黑体" w:cs="Times New Roman"/>
          <w:b/>
          <w:bCs/>
          <w:color w:val="000000" w:themeColor="text1"/>
          <w:kern w:val="44"/>
          <w:sz w:val="44"/>
          <w:szCs w:val="44"/>
          <w:shd w:val="clear" w:color="auto" w:fill="FFFFFF"/>
          <w14:textFill>
            <w14:solidFill>
              <w14:schemeClr w14:val="tx1"/>
            </w14:solidFill>
          </w14:textFill>
        </w:rPr>
      </w:pPr>
      <w:r>
        <w:rPr>
          <w:rFonts w:ascii="黑体" w:hAnsi="宋体" w:eastAsia="黑体" w:cs="Times New Roman"/>
          <w:color w:val="000000" w:themeColor="text1"/>
          <w:shd w:val="clear" w:color="auto" w:fill="FFFFFF"/>
          <w14:textFill>
            <w14:solidFill>
              <w14:schemeClr w14:val="tx1"/>
            </w14:solidFill>
          </w14:textFill>
        </w:rPr>
        <w:br w:type="page"/>
      </w: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bookmarkStart w:id="57" w:name="_Toc125907435"/>
      <w:r>
        <w:rPr>
          <w:rFonts w:ascii="黑体" w:hAnsi="宋体" w:eastAsia="黑体" w:cs="Times New Roman"/>
          <w:color w:val="000000" w:themeColor="text1"/>
          <w:shd w:val="clear" w:color="auto" w:fill="FFFFFF"/>
          <w14:textFill>
            <w14:solidFill>
              <w14:schemeClr w14:val="tx1"/>
            </w14:solidFill>
          </w14:textFill>
        </w:rPr>
        <w:t>第</w:t>
      </w:r>
      <w:r>
        <w:rPr>
          <w:rFonts w:hint="eastAsia" w:ascii="黑体" w:hAnsi="宋体" w:eastAsia="黑体" w:cs="Times New Roman"/>
          <w:color w:val="000000" w:themeColor="text1"/>
          <w:shd w:val="clear" w:color="auto" w:fill="FFFFFF"/>
          <w14:textFill>
            <w14:solidFill>
              <w14:schemeClr w14:val="tx1"/>
            </w14:solidFill>
          </w14:textFill>
        </w:rPr>
        <w:t>四</w:t>
      </w:r>
      <w:r>
        <w:rPr>
          <w:rFonts w:ascii="黑体" w:hAnsi="宋体" w:eastAsia="黑体" w:cs="Times New Roman"/>
          <w:color w:val="000000" w:themeColor="text1"/>
          <w:shd w:val="clear" w:color="auto" w:fill="FFFFFF"/>
          <w14:textFill>
            <w14:solidFill>
              <w14:schemeClr w14:val="tx1"/>
            </w14:solidFill>
          </w14:textFill>
        </w:rPr>
        <w:t xml:space="preserve">章  </w:t>
      </w:r>
      <w:r>
        <w:rPr>
          <w:rFonts w:hint="eastAsia" w:ascii="黑体" w:hAnsi="宋体" w:eastAsia="黑体" w:cs="Times New Roman"/>
          <w:color w:val="000000" w:themeColor="text1"/>
          <w:shd w:val="clear" w:color="auto" w:fill="FFFFFF"/>
          <w14:textFill>
            <w14:solidFill>
              <w14:schemeClr w14:val="tx1"/>
            </w14:solidFill>
          </w14:textFill>
        </w:rPr>
        <w:t>国土空间生态修复重点工程</w:t>
      </w:r>
      <w:bookmarkEnd w:id="57"/>
    </w:p>
    <w:p>
      <w:pPr>
        <w:pStyle w:val="3"/>
        <w:pageBreakBefore w:val="0"/>
        <w:widowControl w:val="0"/>
        <w:kinsoku/>
        <w:wordWrap/>
        <w:overflowPunct/>
        <w:topLinePunct w:val="0"/>
        <w:autoSpaceDE/>
        <w:autoSpaceDN/>
        <w:bidi w:val="0"/>
        <w:adjustRightInd/>
        <w:snapToGrid/>
        <w:spacing w:before="0" w:after="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58" w:name="_Toc125907436"/>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一、历史遗留废弃工矿土地生态修复重点工程</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按照自然资源部制定的</w:t>
      </w:r>
      <w:r>
        <w:rPr>
          <w:rFonts w:ascii="Times New Roman" w:hAnsi="Times New Roman" w:eastAsia="仿宋" w:cs="Times New Roman"/>
          <w:color w:val="000000" w:themeColor="text1"/>
          <w:sz w:val="32"/>
          <w:szCs w:val="32"/>
          <w:u w:val="none"/>
          <w14:textFill>
            <w14:solidFill>
              <w14:schemeClr w14:val="tx1"/>
            </w14:solidFill>
          </w14:textFill>
        </w:rPr>
        <w:t>《“十四五”历史遗留矿山生态修复行动计划》</w:t>
      </w:r>
      <w:r>
        <w:rPr>
          <w:rFonts w:ascii="Times New Roman" w:hAnsi="Times New Roman" w:eastAsia="仿宋" w:cs="Times New Roman"/>
          <w:color w:val="000000" w:themeColor="text1"/>
          <w:sz w:val="32"/>
          <w:szCs w:val="32"/>
          <w14:textFill>
            <w14:solidFill>
              <w14:schemeClr w14:val="tx1"/>
            </w14:solidFill>
          </w14:textFill>
        </w:rPr>
        <w:t>，“十四五”期间，自然资源部下达新疆维吾尔自治区历史遗留矿山生态修复面积100</w:t>
      </w:r>
      <w:r>
        <w:rPr>
          <w:rFonts w:hint="eastAsia" w:ascii="Times New Roman" w:hAnsi="Times New Roman" w:eastAsia="仿宋" w:cs="Times New Roman"/>
          <w:color w:val="000000" w:themeColor="text1"/>
          <w:sz w:val="32"/>
          <w:szCs w:val="32"/>
          <w14:textFill>
            <w14:solidFill>
              <w14:schemeClr w14:val="tx1"/>
            </w14:solidFill>
          </w14:textFill>
        </w:rPr>
        <w:t>平方公里</w:t>
      </w:r>
      <w:r>
        <w:rPr>
          <w:rFonts w:ascii="Times New Roman" w:hAnsi="Times New Roman" w:eastAsia="仿宋" w:cs="Times New Roman"/>
          <w:color w:val="000000" w:themeColor="text1"/>
          <w:sz w:val="32"/>
          <w:szCs w:val="32"/>
          <w14:textFill>
            <w14:solidFill>
              <w14:schemeClr w14:val="tx1"/>
            </w14:solidFill>
          </w14:textFill>
        </w:rPr>
        <w:t>，到2025年，有效解决重点区域、重要流域内历史遗留矿山生态破坏问题，使矿山周边人居环境明显改善，废弃土地综合利用水平明显提升，区域生态系统服务功能逐步恢复。</w:t>
      </w:r>
      <w:r>
        <w:rPr>
          <w:rFonts w:hint="eastAsia" w:ascii="Times New Roman" w:hAnsi="Times New Roman" w:eastAsia="仿宋" w:cs="Times New Roman"/>
          <w:color w:val="auto"/>
          <w:sz w:val="32"/>
          <w:szCs w:val="32"/>
          <w:lang w:eastAsia="zh-CN"/>
        </w:rPr>
        <w:t>自治区自然资源厅下达</w:t>
      </w:r>
      <w:r>
        <w:rPr>
          <w:rFonts w:ascii="Times New Roman" w:hAnsi="Times New Roman" w:eastAsia="仿宋" w:cs="Times New Roman"/>
          <w:color w:val="auto"/>
          <w:sz w:val="32"/>
          <w:szCs w:val="32"/>
        </w:rPr>
        <w:t>吐鲁番市“十四五”历史遗留矿山生态修复面积为10</w:t>
      </w:r>
      <w:r>
        <w:rPr>
          <w:rFonts w:hint="eastAsia" w:ascii="Times New Roman" w:hAnsi="Times New Roman" w:eastAsia="仿宋" w:cs="Times New Roman"/>
          <w:color w:val="auto"/>
          <w:sz w:val="32"/>
          <w:szCs w:val="32"/>
          <w:lang w:val="en-US" w:eastAsia="zh-CN"/>
        </w:rPr>
        <w:t>.</w:t>
      </w:r>
      <w:r>
        <w:rPr>
          <w:rFonts w:ascii="Times New Roman" w:hAnsi="Times New Roman" w:eastAsia="仿宋" w:cs="Times New Roman"/>
          <w:color w:val="auto"/>
          <w:sz w:val="32"/>
          <w:szCs w:val="32"/>
        </w:rPr>
        <w:t>99</w:t>
      </w:r>
      <w:r>
        <w:rPr>
          <w:rFonts w:hint="eastAsia" w:ascii="Times New Roman" w:hAnsi="Times New Roman" w:eastAsia="仿宋" w:cs="Times New Roman"/>
          <w:color w:val="auto"/>
          <w:sz w:val="32"/>
          <w:szCs w:val="32"/>
          <w:lang w:eastAsia="zh-CN"/>
        </w:rPr>
        <w:t>平方公里。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结合历史遗留矿山核查成果，吐鲁番市历史遗留废弃矿山共计27处</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治理主体是政府。历史遗留矿山分为近期“十四五”治理重点项目17个，远期2026-2035年重点治理项目10个。</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59" w:name="_Toc125907437"/>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二、山水林田湖草沙一体化生态保护修复重点工程</w:t>
      </w:r>
      <w:bookmarkEnd w:id="5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按照</w:t>
      </w:r>
      <w:r>
        <w:rPr>
          <w:rFonts w:ascii="仿宋" w:hAnsi="仿宋" w:eastAsia="仿宋" w:cs="Times New Roman"/>
          <w:color w:val="000000" w:themeColor="text1"/>
          <w:sz w:val="32"/>
          <w:szCs w:val="32"/>
          <w:u w:val="none"/>
          <w14:textFill>
            <w14:solidFill>
              <w14:schemeClr w14:val="tx1"/>
            </w14:solidFill>
          </w14:textFill>
        </w:rPr>
        <w:t>《新疆维吾尔自治区国土空间生态修复规划（2021-2035年）》</w:t>
      </w:r>
      <w:r>
        <w:rPr>
          <w:rFonts w:ascii="仿宋" w:hAnsi="仿宋" w:eastAsia="仿宋" w:cs="Times New Roman"/>
          <w:color w:val="000000" w:themeColor="text1"/>
          <w:sz w:val="32"/>
          <w:szCs w:val="32"/>
          <w14:textFill>
            <w14:solidFill>
              <w14:schemeClr w14:val="tx1"/>
            </w14:solidFill>
          </w14:textFill>
        </w:rPr>
        <w:t>中对吐鲁番市生态修复的重点工程布局，该区布设一项</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吐哈盆地生态修复重点工程</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其中含吐鲁番市），预期目标为：构建吐鲁番盆地生态屏障安全格局。主要任务举措为：围绕艾丁湖及湿地公园，大力开展水源涵养区封育保护，加强湿地保护与修复，恢复退化湿地生态功能和周边植被，增强水源涵养功能。加强天然林保护，加强中幼林抚育，提升山地森林生态系统生态功能。开展天然草原改良，全面推行草畜平衡、休牧轮牧，在生态脆弱区开展退耕还林还草和土地综合整治，逐步恢复自然草地生态系统功能。大力开展废弃工矿地生态修复，实施工矿地地质环境恢复治理，重塑地形地貌，重建生态植被，恢复矿区生态。严格执行水资源总量控制方案，优化配置水资源，合理安排保护坎儿井水源所需的水资源量，防止坎儿井水源枯竭，加强地下水监测管理，采取有效措施防止地下水位下降。充分利用工业聚集区中水资源，建设工业聚集区外围生态廊道及屏障。构建完善的防护林屏障，有效降低风沙危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落实</w:t>
      </w:r>
      <w:r>
        <w:rPr>
          <w:rFonts w:ascii="Times New Roman" w:hAnsi="Times New Roman" w:eastAsia="仿宋" w:cs="Times New Roman"/>
          <w:color w:val="000000" w:themeColor="text1"/>
          <w:sz w:val="32"/>
          <w:szCs w:val="32"/>
          <w14:textFill>
            <w14:solidFill>
              <w14:schemeClr w14:val="tx1"/>
            </w14:solidFill>
          </w14:textFill>
        </w:rPr>
        <w:t>该项重点工程在吐鲁番市的空间布局，依据吐鲁番市自然地理格局和生态本底现状，针对突出生态问题和生态风险，坚持山水林田湖草沙一体化保护和修复理念，按照整体保护、系统修复、综合治理的原则，注重自然地理单元的连续性和完整性，聚焦生态修复分区中的重点区域，部署</w:t>
      </w:r>
      <w:r>
        <w:rPr>
          <w:rFonts w:hint="eastAsia" w:ascii="Times New Roman" w:hAnsi="Times New Roman" w:eastAsia="仿宋" w:cs="Times New Roman"/>
          <w:color w:val="000000" w:themeColor="text1"/>
          <w:sz w:val="32"/>
          <w:szCs w:val="32"/>
          <w14:textFill>
            <w14:solidFill>
              <w14:schemeClr w14:val="tx1"/>
            </w14:solidFill>
          </w14:textFill>
        </w:rPr>
        <w:t>山水林田湖草沙一体化生态保护修复重点工程</w:t>
      </w:r>
      <w:r>
        <w:rPr>
          <w:rFonts w:ascii="Times New Roman" w:hAnsi="Times New Roman" w:eastAsia="仿宋"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工程目标：</w:t>
      </w:r>
      <w:r>
        <w:rPr>
          <w:rFonts w:hint="eastAsia" w:ascii="仿宋" w:hAnsi="仿宋" w:eastAsia="仿宋" w:cs="Times New Roman"/>
          <w:color w:val="000000" w:themeColor="text1"/>
          <w:sz w:val="32"/>
          <w:szCs w:val="32"/>
          <w14:textFill>
            <w14:solidFill>
              <w14:schemeClr w14:val="tx1"/>
            </w14:solidFill>
          </w14:textFill>
        </w:rPr>
        <w:t>以维护吐鲁番市生态安全屏障、推进自然生态系统原真性、完整性保护为目标，坚持自然恢复、人工辅助为主的方针，按照山水林田湖草沙统筹治理、系统修复要求，继续加大重要生态区域内外一体化治理，</w:t>
      </w:r>
      <w:r>
        <w:rPr>
          <w:rFonts w:ascii="仿宋" w:hAnsi="仿宋" w:eastAsia="仿宋" w:cs="Times New Roman"/>
          <w:color w:val="000000" w:themeColor="text1"/>
          <w:sz w:val="32"/>
          <w:szCs w:val="32"/>
          <w14:textFill>
            <w14:solidFill>
              <w14:schemeClr w14:val="tx1"/>
            </w14:solidFill>
          </w14:textFill>
        </w:rPr>
        <w:t>全面建成吐鲁番市健康水网，以水定地，量水而行，以河湖水系连通和水资源的高效利用支撑</w:t>
      </w:r>
      <w:r>
        <w:rPr>
          <w:rFonts w:hint="eastAsia" w:ascii="仿宋" w:hAnsi="仿宋" w:eastAsia="仿宋" w:cs="Times New Roman"/>
          <w:color w:val="000000" w:themeColor="text1"/>
          <w:sz w:val="32"/>
          <w:szCs w:val="32"/>
          <w14:textFill>
            <w14:solidFill>
              <w14:schemeClr w14:val="tx1"/>
            </w14:solidFill>
          </w14:textFill>
        </w:rPr>
        <w:t>山</w:t>
      </w:r>
      <w:r>
        <w:rPr>
          <w:rFonts w:ascii="仿宋" w:hAnsi="仿宋" w:eastAsia="仿宋" w:cs="Times New Roman"/>
          <w:color w:val="000000" w:themeColor="text1"/>
          <w:sz w:val="32"/>
          <w:szCs w:val="32"/>
          <w14:textFill>
            <w14:solidFill>
              <w14:schemeClr w14:val="tx1"/>
            </w14:solidFill>
          </w14:textFill>
        </w:rPr>
        <w:t>水林田湖草沙系统质量和稳定性，</w:t>
      </w:r>
      <w:r>
        <w:rPr>
          <w:rFonts w:hint="eastAsia" w:ascii="仿宋" w:hAnsi="仿宋" w:eastAsia="仿宋" w:cs="Times New Roman"/>
          <w:color w:val="000000" w:themeColor="text1"/>
          <w:sz w:val="32"/>
          <w:szCs w:val="32"/>
          <w14:textFill>
            <w14:solidFill>
              <w14:schemeClr w14:val="tx1"/>
            </w14:solidFill>
          </w14:textFill>
        </w:rPr>
        <w:t>形成山水林田湖草沙共生关系，</w:t>
      </w:r>
      <w:r>
        <w:rPr>
          <w:rFonts w:ascii="仿宋" w:hAnsi="仿宋" w:eastAsia="仿宋" w:cs="Times New Roman"/>
          <w:color w:val="000000" w:themeColor="text1"/>
          <w:sz w:val="32"/>
          <w:szCs w:val="32"/>
          <w14:textFill>
            <w14:solidFill>
              <w14:schemeClr w14:val="tx1"/>
            </w14:solidFill>
          </w14:textFill>
        </w:rPr>
        <w:t>保护和提升森林、草原、河流、湖泊、湿地等生态系统功能，提高优质生态产品供给能力</w:t>
      </w:r>
      <w:r>
        <w:rPr>
          <w:rFonts w:hint="eastAsia" w:ascii="仿宋" w:hAnsi="仿宋" w:eastAsia="仿宋" w:cs="Times New Roman"/>
          <w:color w:val="000000" w:themeColor="text1"/>
          <w:sz w:val="32"/>
          <w:szCs w:val="32"/>
          <w14:textFill>
            <w14:solidFill>
              <w14:schemeClr w14:val="tx1"/>
            </w14:solidFill>
          </w14:textFill>
        </w:rPr>
        <w:t>，稳步</w:t>
      </w:r>
      <w:r>
        <w:rPr>
          <w:rFonts w:ascii="仿宋" w:hAnsi="仿宋" w:eastAsia="仿宋" w:cs="Times New Roman"/>
          <w:color w:val="000000" w:themeColor="text1"/>
          <w:sz w:val="32"/>
          <w:szCs w:val="32"/>
          <w14:textFill>
            <w14:solidFill>
              <w14:schemeClr w14:val="tx1"/>
            </w14:solidFill>
          </w14:textFill>
        </w:rPr>
        <w:t>提升生态安全屏障质量，显著改善人居环境，初步实现生态系统良性循环，人与自然健康和谐。</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60" w:name="_Toc125907438"/>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三、各分区生态修复重点工程</w:t>
      </w:r>
      <w:bookmarkEnd w:id="6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依据吐鲁番市国土空间生态修复分区，部署</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7</w:t>
      </w:r>
      <w:r>
        <w:rPr>
          <w:rFonts w:ascii="Times New Roman" w:hAnsi="Times New Roman" w:eastAsia="仿宋" w:cs="Times New Roman"/>
          <w:color w:val="000000" w:themeColor="text1"/>
          <w:sz w:val="32"/>
          <w:szCs w:val="32"/>
          <w14:textFill>
            <w14:solidFill>
              <w14:schemeClr w14:val="tx1"/>
            </w14:solidFill>
          </w14:textFill>
        </w:rPr>
        <w:t>项重点工程，共计2</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0</w:t>
      </w:r>
      <w:r>
        <w:rPr>
          <w:rFonts w:ascii="Times New Roman" w:hAnsi="Times New Roman" w:eastAsia="仿宋" w:cs="Times New Roman"/>
          <w:color w:val="000000" w:themeColor="text1"/>
          <w:sz w:val="32"/>
          <w:szCs w:val="32"/>
          <w14:textFill>
            <w14:solidFill>
              <w14:schemeClr w14:val="tx1"/>
            </w14:solidFill>
          </w14:textFill>
        </w:rPr>
        <w:t>项重点项目。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工程目标：着眼于</w:t>
      </w:r>
      <w:r>
        <w:rPr>
          <w:rFonts w:hint="eastAsia" w:ascii="仿宋" w:hAnsi="仿宋" w:eastAsia="仿宋" w:cs="Times New Roman"/>
          <w:color w:val="000000" w:themeColor="text1"/>
          <w:sz w:val="32"/>
          <w:szCs w:val="32"/>
          <w14:textFill>
            <w14:solidFill>
              <w14:schemeClr w14:val="tx1"/>
            </w14:solidFill>
          </w14:textFill>
        </w:rPr>
        <w:t>全市</w:t>
      </w:r>
      <w:r>
        <w:rPr>
          <w:rFonts w:ascii="仿宋" w:hAnsi="仿宋" w:eastAsia="仿宋" w:cs="Times New Roman"/>
          <w:color w:val="000000" w:themeColor="text1"/>
          <w:sz w:val="32"/>
          <w:szCs w:val="32"/>
          <w14:textFill>
            <w14:solidFill>
              <w14:schemeClr w14:val="tx1"/>
            </w14:solidFill>
          </w14:textFill>
        </w:rPr>
        <w:t>国土空间整体保护、系统修复、综合治理的总体目标，针对</w:t>
      </w:r>
      <w:r>
        <w:rPr>
          <w:rFonts w:hint="eastAsia" w:ascii="仿宋" w:hAnsi="仿宋" w:eastAsia="仿宋" w:cs="Times New Roman"/>
          <w:color w:val="000000" w:themeColor="text1"/>
          <w:sz w:val="32"/>
          <w:szCs w:val="32"/>
          <w14:textFill>
            <w14:solidFill>
              <w14:schemeClr w14:val="tx1"/>
            </w14:solidFill>
          </w14:textFill>
        </w:rPr>
        <w:t>吐鲁番市国土空间生态修复分区及重点区域诊断的主要生态问题和提出的主攻方向，</w:t>
      </w:r>
      <w:r>
        <w:rPr>
          <w:rFonts w:ascii="仿宋" w:hAnsi="仿宋" w:eastAsia="仿宋" w:cs="Times New Roman"/>
          <w:color w:val="000000" w:themeColor="text1"/>
          <w:sz w:val="32"/>
          <w:szCs w:val="32"/>
          <w14:textFill>
            <w14:solidFill>
              <w14:schemeClr w14:val="tx1"/>
            </w14:solidFill>
          </w14:textFill>
        </w:rPr>
        <w:t>以水为主线，统筹山地-绿洲</w:t>
      </w:r>
      <w:r>
        <w:rPr>
          <w:rFonts w:hint="eastAsia" w:ascii="仿宋" w:hAnsi="仿宋" w:eastAsia="仿宋" w:cs="Times New Roman"/>
          <w:color w:val="000000" w:themeColor="text1"/>
          <w:sz w:val="32"/>
          <w:szCs w:val="32"/>
          <w14:textFill>
            <w14:solidFill>
              <w14:schemeClr w14:val="tx1"/>
            </w14:solidFill>
          </w14:textFill>
        </w:rPr>
        <w:t>-荒漠以及过渡带</w:t>
      </w:r>
      <w:r>
        <w:rPr>
          <w:rFonts w:ascii="仿宋" w:hAnsi="仿宋" w:eastAsia="仿宋" w:cs="Times New Roman"/>
          <w:color w:val="000000" w:themeColor="text1"/>
          <w:sz w:val="32"/>
          <w:szCs w:val="32"/>
          <w14:textFill>
            <w14:solidFill>
              <w14:schemeClr w14:val="tx1"/>
            </w14:solidFill>
          </w14:textFill>
        </w:rPr>
        <w:t>关系，改善山地生态系统水源涵养功能，</w:t>
      </w:r>
      <w:r>
        <w:rPr>
          <w:rFonts w:hint="eastAsia" w:ascii="仿宋" w:hAnsi="仿宋" w:eastAsia="仿宋" w:cs="Times New Roman"/>
          <w:color w:val="000000" w:themeColor="text1"/>
          <w:sz w:val="32"/>
          <w:szCs w:val="32"/>
          <w14:textFill>
            <w14:solidFill>
              <w14:schemeClr w14:val="tx1"/>
            </w14:solidFill>
          </w14:textFill>
        </w:rPr>
        <w:t>保护修复山区森林草原生态系统稳定性，</w:t>
      </w:r>
      <w:r>
        <w:rPr>
          <w:rFonts w:ascii="仿宋" w:hAnsi="仿宋" w:eastAsia="仿宋" w:cs="Times New Roman"/>
          <w:color w:val="000000" w:themeColor="text1"/>
          <w:sz w:val="32"/>
          <w:szCs w:val="32"/>
          <w14:textFill>
            <w14:solidFill>
              <w14:schemeClr w14:val="tx1"/>
            </w14:solidFill>
          </w14:textFill>
        </w:rPr>
        <w:t>构筑</w:t>
      </w:r>
      <w:r>
        <w:rPr>
          <w:rFonts w:hint="eastAsia" w:ascii="仿宋" w:hAnsi="仿宋" w:eastAsia="仿宋" w:cs="Times New Roman"/>
          <w:color w:val="000000" w:themeColor="text1"/>
          <w:sz w:val="32"/>
          <w:szCs w:val="32"/>
          <w14:textFill>
            <w14:solidFill>
              <w14:schemeClr w14:val="tx1"/>
            </w14:solidFill>
          </w14:textFill>
        </w:rPr>
        <w:t>北部</w:t>
      </w:r>
      <w:r>
        <w:rPr>
          <w:rFonts w:ascii="仿宋" w:hAnsi="仿宋" w:eastAsia="仿宋" w:cs="Times New Roman"/>
          <w:color w:val="000000" w:themeColor="text1"/>
          <w:sz w:val="32"/>
          <w:szCs w:val="32"/>
          <w14:textFill>
            <w14:solidFill>
              <w14:schemeClr w14:val="tx1"/>
            </w14:solidFill>
          </w14:textFill>
        </w:rPr>
        <w:t>山区生态安全屏障</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提升绿洲区水</w:t>
      </w:r>
      <w:r>
        <w:rPr>
          <w:rFonts w:hint="eastAsia" w:ascii="仿宋" w:hAnsi="仿宋" w:eastAsia="仿宋" w:cs="Times New Roman"/>
          <w:color w:val="000000" w:themeColor="text1"/>
          <w:sz w:val="32"/>
          <w:szCs w:val="32"/>
          <w14:textFill>
            <w14:solidFill>
              <w14:schemeClr w14:val="tx1"/>
            </w14:solidFill>
          </w14:textFill>
        </w:rPr>
        <w:t>土</w:t>
      </w:r>
      <w:r>
        <w:rPr>
          <w:rFonts w:ascii="仿宋" w:hAnsi="仿宋" w:eastAsia="仿宋" w:cs="Times New Roman"/>
          <w:color w:val="000000" w:themeColor="text1"/>
          <w:sz w:val="32"/>
          <w:szCs w:val="32"/>
          <w14:textFill>
            <w14:solidFill>
              <w14:schemeClr w14:val="tx1"/>
            </w14:solidFill>
          </w14:textFill>
        </w:rPr>
        <w:t>资源</w:t>
      </w:r>
      <w:r>
        <w:rPr>
          <w:rFonts w:hint="eastAsia" w:ascii="仿宋" w:hAnsi="仿宋" w:eastAsia="仿宋" w:cs="Times New Roman"/>
          <w:color w:val="000000" w:themeColor="text1"/>
          <w:sz w:val="32"/>
          <w:szCs w:val="32"/>
          <w14:textFill>
            <w14:solidFill>
              <w14:schemeClr w14:val="tx1"/>
            </w14:solidFill>
          </w14:textFill>
        </w:rPr>
        <w:t>高效</w:t>
      </w:r>
      <w:r>
        <w:rPr>
          <w:rFonts w:ascii="仿宋" w:hAnsi="仿宋" w:eastAsia="仿宋" w:cs="Times New Roman"/>
          <w:color w:val="000000" w:themeColor="text1"/>
          <w:sz w:val="32"/>
          <w:szCs w:val="32"/>
          <w14:textFill>
            <w14:solidFill>
              <w14:schemeClr w14:val="tx1"/>
            </w14:solidFill>
          </w14:textFill>
        </w:rPr>
        <w:t>利用水平，</w:t>
      </w:r>
      <w:r>
        <w:rPr>
          <w:rFonts w:hint="eastAsia" w:ascii="仿宋" w:hAnsi="仿宋" w:eastAsia="仿宋" w:cs="Times New Roman"/>
          <w:color w:val="000000" w:themeColor="text1"/>
          <w:sz w:val="32"/>
          <w:szCs w:val="32"/>
          <w14:textFill>
            <w14:solidFill>
              <w14:schemeClr w14:val="tx1"/>
            </w14:solidFill>
          </w14:textFill>
        </w:rPr>
        <w:t>增强绿洲区生态系统服务功能和生态产品价值；维护</w:t>
      </w:r>
      <w:r>
        <w:rPr>
          <w:rFonts w:ascii="仿宋" w:hAnsi="仿宋" w:eastAsia="仿宋" w:cs="Times New Roman"/>
          <w:color w:val="000000" w:themeColor="text1"/>
          <w:sz w:val="32"/>
          <w:szCs w:val="32"/>
          <w14:textFill>
            <w14:solidFill>
              <w14:schemeClr w14:val="tx1"/>
            </w14:solidFill>
          </w14:textFill>
        </w:rPr>
        <w:t>绿洲外围荒漠生态系统</w:t>
      </w:r>
      <w:r>
        <w:rPr>
          <w:rFonts w:hint="eastAsia" w:ascii="仿宋" w:hAnsi="仿宋" w:eastAsia="仿宋" w:cs="Times New Roman"/>
          <w:color w:val="000000" w:themeColor="text1"/>
          <w:sz w:val="32"/>
          <w:szCs w:val="32"/>
          <w14:textFill>
            <w14:solidFill>
              <w14:schemeClr w14:val="tx1"/>
            </w14:solidFill>
          </w14:textFill>
        </w:rPr>
        <w:t>稳定性</w:t>
      </w:r>
      <w:r>
        <w:rPr>
          <w:rFonts w:ascii="仿宋" w:hAnsi="仿宋" w:eastAsia="仿宋" w:cs="Times New Roman"/>
          <w:color w:val="000000" w:themeColor="text1"/>
          <w:sz w:val="32"/>
          <w:szCs w:val="32"/>
          <w14:textFill>
            <w14:solidFill>
              <w14:schemeClr w14:val="tx1"/>
            </w14:solidFill>
          </w14:textFill>
        </w:rPr>
        <w:t>。优化三生空间生态功能，布局生态修复重点工程</w:t>
      </w:r>
      <w:r>
        <w:rPr>
          <w:rFonts w:hint="eastAsia" w:ascii="仿宋" w:hAnsi="仿宋" w:eastAsia="仿宋" w:cs="Times New Roman"/>
          <w:color w:val="000000" w:themeColor="text1"/>
          <w:sz w:val="32"/>
          <w:szCs w:val="32"/>
          <w14:textFill>
            <w14:solidFill>
              <w14:schemeClr w14:val="tx1"/>
            </w14:solidFill>
          </w14:textFill>
        </w:rPr>
        <w:t>和重点项目</w:t>
      </w:r>
      <w:r>
        <w:rPr>
          <w:rFonts w:ascii="仿宋" w:hAnsi="仿宋" w:eastAsia="仿宋" w:cs="Times New Roman"/>
          <w:color w:val="000000" w:themeColor="text1"/>
          <w:sz w:val="32"/>
          <w:szCs w:val="32"/>
          <w14:textFill>
            <w14:solidFill>
              <w14:schemeClr w14:val="tx1"/>
            </w14:solidFill>
          </w14:textFill>
        </w:rPr>
        <w:t>，开展山水林田湖草沙一体化保护修复。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000000" w:themeColor="text1"/>
          <w:sz w:val="32"/>
          <w:szCs w:val="32"/>
          <w14:textFill>
            <w14:solidFill>
              <w14:schemeClr w14:val="tx1"/>
            </w14:solidFill>
          </w14:textFill>
        </w:rPr>
      </w:pPr>
      <w:bookmarkStart w:id="61" w:name="_Toc88262326"/>
      <w:bookmarkStart w:id="62" w:name="_Toc119582409"/>
      <w:r>
        <w:rPr>
          <w:rFonts w:hint="eastAsia" w:ascii="仿宋" w:hAnsi="仿宋" w:eastAsia="仿宋" w:cs="Times New Roman"/>
          <w:color w:val="000000" w:themeColor="text1"/>
          <w:sz w:val="32"/>
          <w:szCs w:val="32"/>
          <w14:textFill>
            <w14:solidFill>
              <w14:schemeClr w14:val="tx1"/>
            </w14:solidFill>
          </w14:textFill>
        </w:rPr>
        <w:t>天山南坡东段土壤侵蚀敏感与水源保护生态修复区</w:t>
      </w:r>
      <w:bookmarkEnd w:id="61"/>
      <w:bookmarkEnd w:id="62"/>
      <w:r>
        <w:rPr>
          <w:rFonts w:hint="eastAsia" w:ascii="仿宋" w:hAnsi="仿宋" w:eastAsia="仿宋" w:cs="Times New Roman"/>
          <w:color w:val="000000" w:themeColor="text1"/>
          <w:sz w:val="32"/>
          <w:szCs w:val="32"/>
          <w14:textFill>
            <w14:solidFill>
              <w14:schemeClr w14:val="tx1"/>
            </w14:solidFill>
          </w14:textFill>
        </w:rPr>
        <w:t>：该区部署</w:t>
      </w:r>
      <w:r>
        <w:rPr>
          <w:rFonts w:ascii="仿宋" w:hAnsi="仿宋" w:eastAsia="仿宋" w:cs="Times New Roman"/>
          <w:color w:val="000000" w:themeColor="text1"/>
          <w:sz w:val="32"/>
          <w:szCs w:val="32"/>
          <w14:textFill>
            <w14:solidFill>
              <w14:schemeClr w14:val="tx1"/>
            </w14:solidFill>
          </w14:textFill>
        </w:rPr>
        <w:t>1项重点工程，为天山南坡东段水源涵养与生物多样性保护生态修复重点工程，下设5项重点项目，</w:t>
      </w:r>
      <w:r>
        <w:rPr>
          <w:rFonts w:hint="eastAsia" w:ascii="仿宋" w:hAnsi="仿宋" w:eastAsia="仿宋" w:cs="Times New Roman"/>
          <w:color w:val="000000" w:themeColor="text1"/>
          <w:sz w:val="32"/>
          <w:szCs w:val="32"/>
          <w14:textFill>
            <w14:solidFill>
              <w14:schemeClr w14:val="tx1"/>
            </w14:solidFill>
          </w14:textFill>
        </w:rPr>
        <w:t>分别是国家级公益林管护工程重点项目、山区森林抚育重点项目、山区森林质量精准提升重点项目、草原封育保护重点项目、小流域水土流失综合治理重点项目</w:t>
      </w:r>
      <w:r>
        <w:rPr>
          <w:rFonts w:ascii="Times New Roman" w:hAnsi="Times New Roman" w:eastAsia="仿宋"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bookmarkStart w:id="63" w:name="_Toc88262327"/>
      <w:bookmarkStart w:id="64" w:name="_Toc119582410"/>
      <w:r>
        <w:rPr>
          <w:rFonts w:hint="eastAsia" w:ascii="仿宋" w:hAnsi="仿宋" w:eastAsia="仿宋" w:cs="Times New Roman"/>
          <w:color w:val="000000" w:themeColor="text1"/>
          <w:sz w:val="32"/>
          <w:szCs w:val="32"/>
          <w14:textFill>
            <w14:solidFill>
              <w14:schemeClr w14:val="tx1"/>
            </w14:solidFill>
          </w14:textFill>
        </w:rPr>
        <w:t>绿洲特色农业、旅游与艾丁湖湿地保护生态修复区</w:t>
      </w:r>
      <w:bookmarkEnd w:id="63"/>
      <w:bookmarkEnd w:id="64"/>
      <w:r>
        <w:rPr>
          <w:rFonts w:hint="eastAsia" w:ascii="仿宋" w:hAnsi="仿宋" w:eastAsia="仿宋" w:cs="Times New Roman"/>
          <w:color w:val="000000" w:themeColor="text1"/>
          <w:sz w:val="32"/>
          <w:szCs w:val="32"/>
          <w14:textFill>
            <w14:solidFill>
              <w14:schemeClr w14:val="tx1"/>
            </w14:solidFill>
          </w14:textFill>
        </w:rPr>
        <w:t>：该区部署3</w:t>
      </w:r>
      <w:r>
        <w:rPr>
          <w:rFonts w:ascii="仿宋" w:hAnsi="仿宋" w:eastAsia="仿宋" w:cs="Times New Roman"/>
          <w:color w:val="000000" w:themeColor="text1"/>
          <w:sz w:val="32"/>
          <w:szCs w:val="32"/>
          <w14:textFill>
            <w14:solidFill>
              <w14:schemeClr w14:val="tx1"/>
            </w14:solidFill>
          </w14:textFill>
        </w:rPr>
        <w:t>项重点工程</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下设1</w:t>
      </w:r>
      <w:r>
        <w:rPr>
          <w:rFonts w:hint="eastAsia" w:ascii="仿宋" w:hAnsi="仿宋" w:eastAsia="仿宋" w:cs="Times New Roman"/>
          <w:color w:val="000000" w:themeColor="text1"/>
          <w:sz w:val="32"/>
          <w:szCs w:val="32"/>
          <w14:textFill>
            <w14:solidFill>
              <w14:schemeClr w14:val="tx1"/>
            </w14:solidFill>
          </w14:textFill>
        </w:rPr>
        <w:t>2</w:t>
      </w:r>
      <w:r>
        <w:rPr>
          <w:rFonts w:ascii="仿宋" w:hAnsi="仿宋" w:eastAsia="仿宋" w:cs="Times New Roman"/>
          <w:color w:val="000000" w:themeColor="text1"/>
          <w:sz w:val="32"/>
          <w:szCs w:val="32"/>
          <w14:textFill>
            <w14:solidFill>
              <w14:schemeClr w14:val="tx1"/>
            </w14:solidFill>
          </w14:textFill>
        </w:rPr>
        <w:t>项重点项目，</w:t>
      </w:r>
      <w:r>
        <w:rPr>
          <w:rFonts w:hint="eastAsia" w:ascii="仿宋" w:hAnsi="仿宋" w:eastAsia="仿宋" w:cs="Times New Roman"/>
          <w:color w:val="000000" w:themeColor="text1"/>
          <w:sz w:val="32"/>
          <w:szCs w:val="32"/>
          <w14:textFill>
            <w14:solidFill>
              <w14:schemeClr w14:val="tx1"/>
            </w14:solidFill>
          </w14:textFill>
        </w:rPr>
        <w:t>其中</w:t>
      </w:r>
      <w:r>
        <w:rPr>
          <w:rFonts w:ascii="仿宋" w:hAnsi="仿宋" w:eastAsia="仿宋" w:cs="Times New Roman"/>
          <w:color w:val="000000" w:themeColor="text1"/>
          <w:sz w:val="32"/>
          <w:szCs w:val="32"/>
          <w14:textFill>
            <w14:solidFill>
              <w14:schemeClr w14:val="tx1"/>
            </w14:solidFill>
          </w14:textFill>
        </w:rPr>
        <w:t>平原绿洲林草生态保护修复重点工程</w:t>
      </w:r>
      <w:r>
        <w:rPr>
          <w:rFonts w:hint="eastAsia" w:ascii="仿宋" w:hAnsi="仿宋" w:eastAsia="仿宋" w:cs="Times New Roman"/>
          <w:color w:val="000000" w:themeColor="text1"/>
          <w:sz w:val="32"/>
          <w:szCs w:val="32"/>
          <w14:textFill>
            <w14:solidFill>
              <w14:schemeClr w14:val="tx1"/>
            </w14:solidFill>
          </w14:textFill>
        </w:rPr>
        <w:t>下设重点农田防护林工程项目、退化林修复重点项目、低质低效林改造重点项目、村庄绿化重点项目4项重点项目；</w:t>
      </w:r>
      <w:r>
        <w:rPr>
          <w:rFonts w:ascii="仿宋" w:hAnsi="仿宋" w:eastAsia="仿宋" w:cs="Times New Roman"/>
          <w:color w:val="000000" w:themeColor="text1"/>
          <w:sz w:val="32"/>
          <w:szCs w:val="32"/>
          <w14:textFill>
            <w14:solidFill>
              <w14:schemeClr w14:val="tx1"/>
            </w14:solidFill>
          </w14:textFill>
        </w:rPr>
        <w:t>绿洲农田生态系统修复重点工程</w:t>
      </w:r>
      <w:r>
        <w:rPr>
          <w:rFonts w:hint="eastAsia" w:ascii="仿宋" w:hAnsi="仿宋" w:eastAsia="仿宋" w:cs="Times New Roman"/>
          <w:color w:val="000000" w:themeColor="text1"/>
          <w:sz w:val="32"/>
          <w:szCs w:val="32"/>
          <w14:textFill>
            <w14:solidFill>
              <w14:schemeClr w14:val="tx1"/>
            </w14:solidFill>
          </w14:textFill>
        </w:rPr>
        <w:t>下设高昌区农田生态系统修复重点项目、鄯善县农田生态系统修复重点项目、托克逊县农田生态系统修复重点项目3项重点项目；</w:t>
      </w:r>
      <w:r>
        <w:rPr>
          <w:rFonts w:ascii="仿宋" w:hAnsi="仿宋" w:eastAsia="仿宋" w:cs="Times New Roman"/>
          <w:color w:val="000000" w:themeColor="text1"/>
          <w:sz w:val="32"/>
          <w:szCs w:val="32"/>
          <w14:textFill>
            <w14:solidFill>
              <w14:schemeClr w14:val="tx1"/>
            </w14:solidFill>
          </w14:textFill>
        </w:rPr>
        <w:t>重点河湖湿地保护修复重点工程</w:t>
      </w:r>
      <w:r>
        <w:rPr>
          <w:rFonts w:hint="eastAsia" w:ascii="仿宋" w:hAnsi="仿宋" w:eastAsia="仿宋" w:cs="Times New Roman"/>
          <w:color w:val="000000" w:themeColor="text1"/>
          <w:sz w:val="32"/>
          <w:szCs w:val="32"/>
          <w14:textFill>
            <w14:solidFill>
              <w14:schemeClr w14:val="tx1"/>
            </w14:solidFill>
          </w14:textFill>
        </w:rPr>
        <w:t>下设吐鲁番市高昌区艾丁湖湿地综合治理重点项目、白杨河（吐鲁番市）重要河流保护修复重点项目、托克逊县红山水库至艾丁湖周边骆驼刺保护区水系连通重点项目、坎儿井保护和冬闲水回灌坎儿井保护修复重点项目、河道综合整治重点项目5项重点项目</w:t>
      </w:r>
      <w:r>
        <w:rPr>
          <w:rFonts w:ascii="仿宋" w:hAnsi="仿宋" w:eastAsia="仿宋"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bookmarkStart w:id="65" w:name="_Toc88262328"/>
      <w:bookmarkStart w:id="66" w:name="_Toc119582411"/>
      <w:r>
        <w:rPr>
          <w:rFonts w:hint="eastAsia" w:ascii="仿宋" w:hAnsi="仿宋" w:eastAsia="仿宋" w:cs="Times New Roman"/>
          <w:color w:val="000000" w:themeColor="text1"/>
          <w:sz w:val="32"/>
          <w:szCs w:val="32"/>
          <w14:textFill>
            <w14:solidFill>
              <w14:schemeClr w14:val="tx1"/>
            </w14:solidFill>
          </w14:textFill>
        </w:rPr>
        <w:t>绿洲外围防风固沙生态修复区</w:t>
      </w:r>
      <w:bookmarkEnd w:id="65"/>
      <w:bookmarkEnd w:id="66"/>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该区部署1项重点工程，为绿洲外围防风固沙生态修复重点工程，下设3项重点项目，</w:t>
      </w:r>
      <w:r>
        <w:rPr>
          <w:rFonts w:hint="eastAsia" w:ascii="仿宋" w:hAnsi="仿宋" w:eastAsia="仿宋" w:cs="Times New Roman"/>
          <w:color w:val="000000" w:themeColor="text1"/>
          <w:sz w:val="32"/>
          <w:szCs w:val="32"/>
          <w14:textFill>
            <w14:solidFill>
              <w14:schemeClr w14:val="tx1"/>
            </w14:solidFill>
          </w14:textFill>
        </w:rPr>
        <w:t>分别是三北防护林工程重点项目、艾丁湖沙化土地治理工程重点项目、艾丁湖区域荒漠生态修复综合治理重点项目</w:t>
      </w:r>
      <w:r>
        <w:rPr>
          <w:rFonts w:ascii="仿宋" w:hAnsi="仿宋" w:eastAsia="仿宋"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bookmarkStart w:id="67" w:name="_Toc119582412"/>
      <w:bookmarkStart w:id="68" w:name="_Toc88262329"/>
      <w:r>
        <w:rPr>
          <w:rFonts w:hint="eastAsia" w:ascii="仿宋" w:hAnsi="仿宋" w:eastAsia="仿宋" w:cs="Times New Roman"/>
          <w:color w:val="000000" w:themeColor="text1"/>
          <w:sz w:val="32"/>
          <w:szCs w:val="32"/>
          <w14:textFill>
            <w14:solidFill>
              <w14:schemeClr w14:val="tx1"/>
            </w14:solidFill>
          </w14:textFill>
        </w:rPr>
        <w:t>觉罗塔格-库鲁克塔格山荒漠植被保护生态修复区</w:t>
      </w:r>
      <w:bookmarkEnd w:id="67"/>
      <w:bookmarkEnd w:id="68"/>
      <w:r>
        <w:rPr>
          <w:rFonts w:hint="eastAsia" w:ascii="仿宋" w:hAnsi="仿宋" w:eastAsia="仿宋" w:cs="Times New Roman"/>
          <w:color w:val="000000" w:themeColor="text1"/>
          <w:sz w:val="32"/>
          <w:szCs w:val="32"/>
          <w14:textFill>
            <w14:solidFill>
              <w14:schemeClr w14:val="tx1"/>
            </w14:solidFill>
          </w14:textFill>
        </w:rPr>
        <w:t>：该区部署</w:t>
      </w:r>
      <w:r>
        <w:rPr>
          <w:rFonts w:ascii="仿宋" w:hAnsi="仿宋" w:eastAsia="仿宋" w:cs="Times New Roman"/>
          <w:color w:val="000000" w:themeColor="text1"/>
          <w:sz w:val="32"/>
          <w:szCs w:val="32"/>
          <w14:textFill>
            <w14:solidFill>
              <w14:schemeClr w14:val="tx1"/>
            </w14:solidFill>
          </w14:textFill>
        </w:rPr>
        <w:t>1项重点工程，为觉罗塔格-库鲁克塔格山荒漠植被保护修复重点工程。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bookmarkStart w:id="69" w:name="_Toc119582413"/>
      <w:bookmarkStart w:id="70" w:name="_Toc88262330"/>
      <w:r>
        <w:rPr>
          <w:rFonts w:hint="eastAsia" w:ascii="仿宋" w:hAnsi="仿宋" w:eastAsia="仿宋" w:cs="Times New Roman"/>
          <w:color w:val="000000" w:themeColor="text1"/>
          <w:sz w:val="32"/>
          <w:szCs w:val="32"/>
          <w14:textFill>
            <w14:solidFill>
              <w14:schemeClr w14:val="tx1"/>
            </w14:solidFill>
          </w14:textFill>
        </w:rPr>
        <w:t>嘎顺-南湖戈壁荒漠风蚀敏感生态修复区</w:t>
      </w:r>
      <w:bookmarkEnd w:id="69"/>
      <w:bookmarkEnd w:id="70"/>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该区部署1项重点工程，为嘎顺-南湖戈壁荒漠植被保护修复重点工程。</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71" w:name="_Toc125907439"/>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四、生态保护与修复支撑重点工程</w:t>
      </w:r>
      <w:bookmarkEnd w:id="7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加强生态保护与修复领域的基础研究和科技创新，</w:t>
      </w:r>
      <w:r>
        <w:rPr>
          <w:rFonts w:ascii="仿宋" w:hAnsi="仿宋" w:eastAsia="仿宋" w:cs="Times New Roman"/>
          <w:color w:val="000000" w:themeColor="text1"/>
          <w:sz w:val="32"/>
          <w:szCs w:val="32"/>
          <w14:textFill>
            <w14:solidFill>
              <w14:schemeClr w14:val="tx1"/>
            </w14:solidFill>
          </w14:textFill>
        </w:rPr>
        <w:t>整合优化生态系统监测点位，</w:t>
      </w:r>
      <w:r>
        <w:rPr>
          <w:rFonts w:hint="eastAsia" w:ascii="仿宋" w:hAnsi="仿宋" w:eastAsia="仿宋" w:cs="Times New Roman"/>
          <w:color w:val="000000" w:themeColor="text1"/>
          <w:sz w:val="32"/>
          <w:szCs w:val="32"/>
          <w14:textFill>
            <w14:solidFill>
              <w14:schemeClr w14:val="tx1"/>
            </w14:solidFill>
          </w14:textFill>
        </w:rPr>
        <w:t>建设野外生态定位观测研究站，</w:t>
      </w:r>
      <w:r>
        <w:rPr>
          <w:rFonts w:ascii="仿宋" w:hAnsi="仿宋" w:eastAsia="仿宋" w:cs="Times New Roman"/>
          <w:color w:val="000000" w:themeColor="text1"/>
          <w:sz w:val="32"/>
          <w:szCs w:val="32"/>
          <w14:textFill>
            <w14:solidFill>
              <w14:schemeClr w14:val="tx1"/>
            </w14:solidFill>
          </w14:textFill>
        </w:rPr>
        <w:t>建成全要素全覆盖的生态环境监测网络，定期开展生态状况评价监测，</w:t>
      </w:r>
      <w:r>
        <w:rPr>
          <w:rFonts w:hint="eastAsia" w:ascii="仿宋" w:hAnsi="仿宋" w:eastAsia="仿宋" w:cs="Times New Roman"/>
          <w:color w:val="000000" w:themeColor="text1"/>
          <w:sz w:val="32"/>
          <w:szCs w:val="32"/>
          <w14:textFill>
            <w14:solidFill>
              <w14:schemeClr w14:val="tx1"/>
            </w14:solidFill>
          </w14:textFill>
        </w:rPr>
        <w:t>构建互联互通的生态修复重点工程监测监管平台，提高工程实施、动态监管、绩效评估的信息化管理能力和水平，</w:t>
      </w:r>
      <w:r>
        <w:rPr>
          <w:rFonts w:ascii="仿宋" w:hAnsi="仿宋" w:eastAsia="仿宋" w:cs="Times New Roman"/>
          <w:color w:val="000000" w:themeColor="text1"/>
          <w:sz w:val="32"/>
          <w:szCs w:val="32"/>
          <w14:textFill>
            <w14:solidFill>
              <w14:schemeClr w14:val="tx1"/>
            </w14:solidFill>
          </w14:textFill>
        </w:rPr>
        <w:t>推进国土空间生态修复体系与能力现代化，有效衔接</w:t>
      </w:r>
      <w:r>
        <w:rPr>
          <w:rFonts w:hint="eastAsia" w:ascii="仿宋" w:hAnsi="仿宋" w:eastAsia="仿宋" w:cs="Times New Roman"/>
          <w:color w:val="000000" w:themeColor="text1"/>
          <w:sz w:val="32"/>
          <w:szCs w:val="32"/>
          <w14:textFill>
            <w14:solidFill>
              <w14:schemeClr w14:val="tx1"/>
            </w14:solidFill>
          </w14:textFill>
        </w:rPr>
        <w:t>自治区</w:t>
      </w:r>
      <w:r>
        <w:rPr>
          <w:rFonts w:ascii="仿宋" w:hAnsi="仿宋" w:eastAsia="仿宋" w:cs="Times New Roman"/>
          <w:color w:val="000000" w:themeColor="text1"/>
          <w:sz w:val="32"/>
          <w:szCs w:val="32"/>
          <w14:textFill>
            <w14:solidFill>
              <w14:schemeClr w14:val="tx1"/>
            </w14:solidFill>
          </w14:textFill>
        </w:rPr>
        <w:t>生态资源大数据平台和国土空间生态</w:t>
      </w:r>
      <w:r>
        <w:rPr>
          <w:rFonts w:hint="eastAsia" w:ascii="仿宋" w:hAnsi="仿宋" w:eastAsia="仿宋" w:cs="Times New Roman"/>
          <w:color w:val="000000" w:themeColor="text1"/>
          <w:sz w:val="32"/>
          <w:szCs w:val="32"/>
          <w14:textFill>
            <w14:solidFill>
              <w14:schemeClr w14:val="tx1"/>
            </w14:solidFill>
          </w14:textFill>
        </w:rPr>
        <w:t>保护与</w:t>
      </w:r>
      <w:r>
        <w:rPr>
          <w:rFonts w:ascii="仿宋" w:hAnsi="仿宋" w:eastAsia="仿宋" w:cs="Times New Roman"/>
          <w:color w:val="000000" w:themeColor="text1"/>
          <w:sz w:val="32"/>
          <w:szCs w:val="32"/>
          <w14:textFill>
            <w14:solidFill>
              <w14:schemeClr w14:val="tx1"/>
            </w14:solidFill>
          </w14:textFill>
        </w:rPr>
        <w:t>修复</w:t>
      </w:r>
      <w:r>
        <w:rPr>
          <w:rFonts w:hint="eastAsia" w:ascii="仿宋" w:hAnsi="仿宋" w:eastAsia="仿宋" w:cs="Times New Roman"/>
          <w:color w:val="000000" w:themeColor="text1"/>
          <w:sz w:val="32"/>
          <w:szCs w:val="32"/>
          <w14:textFill>
            <w14:solidFill>
              <w14:schemeClr w14:val="tx1"/>
            </w14:solidFill>
          </w14:textFill>
        </w:rPr>
        <w:t>支撑能力建设</w:t>
      </w:r>
      <w:r>
        <w:rPr>
          <w:rFonts w:ascii="仿宋" w:hAnsi="仿宋" w:eastAsia="仿宋" w:cs="Times New Roman"/>
          <w:color w:val="000000" w:themeColor="text1"/>
          <w:sz w:val="32"/>
          <w:szCs w:val="32"/>
          <w14:textFill>
            <w14:solidFill>
              <w14:schemeClr w14:val="tx1"/>
            </w14:solidFill>
          </w14:textFill>
        </w:rPr>
        <w:t>信息化平台，加强适应性管理</w:t>
      </w:r>
      <w:r>
        <w:rPr>
          <w:rFonts w:hint="eastAsia" w:ascii="仿宋" w:hAnsi="仿宋" w:eastAsia="仿宋" w:cs="Times New Roman"/>
          <w:color w:val="000000" w:themeColor="text1"/>
          <w:sz w:val="32"/>
          <w:szCs w:val="32"/>
          <w14:textFill>
            <w14:solidFill>
              <w14:schemeClr w14:val="tx1"/>
            </w14:solidFill>
          </w14:textFill>
        </w:rPr>
        <w:t>，根据需要</w:t>
      </w:r>
      <w:r>
        <w:rPr>
          <w:rFonts w:ascii="仿宋" w:hAnsi="仿宋" w:eastAsia="仿宋" w:cs="Times New Roman"/>
          <w:color w:val="000000" w:themeColor="text1"/>
          <w:sz w:val="32"/>
          <w:szCs w:val="32"/>
          <w14:textFill>
            <w14:solidFill>
              <w14:schemeClr w14:val="tx1"/>
            </w14:solidFill>
          </w14:textFill>
        </w:rPr>
        <w:t>部署</w:t>
      </w:r>
      <w:r>
        <w:rPr>
          <w:rFonts w:hint="eastAsia" w:ascii="仿宋" w:hAnsi="仿宋" w:eastAsia="仿宋" w:cs="Times New Roman"/>
          <w:color w:val="000000" w:themeColor="text1"/>
          <w:sz w:val="32"/>
          <w:szCs w:val="32"/>
          <w14:textFill>
            <w14:solidFill>
              <w14:schemeClr w14:val="tx1"/>
            </w14:solidFill>
          </w14:textFill>
        </w:rPr>
        <w:t>生态保护与修复支撑重点工程，下设</w:t>
      </w:r>
      <w:r>
        <w:rPr>
          <w:rFonts w:ascii="仿宋" w:hAnsi="仿宋" w:eastAsia="仿宋" w:cs="Times New Roman"/>
          <w:color w:val="000000" w:themeColor="text1"/>
          <w:sz w:val="32"/>
          <w:szCs w:val="32"/>
          <w14:textFill>
            <w14:solidFill>
              <w14:schemeClr w14:val="tx1"/>
            </w14:solidFill>
          </w14:textFill>
        </w:rPr>
        <w:t>3项重点项目，</w:t>
      </w:r>
      <w:r>
        <w:rPr>
          <w:rFonts w:hint="eastAsia" w:ascii="仿宋" w:hAnsi="仿宋" w:eastAsia="仿宋" w:cs="Times New Roman"/>
          <w:color w:val="000000" w:themeColor="text1"/>
          <w:sz w:val="32"/>
          <w:szCs w:val="32"/>
          <w14:textFill>
            <w14:solidFill>
              <w14:schemeClr w14:val="tx1"/>
            </w14:solidFill>
          </w14:textFill>
        </w:rPr>
        <w:t>分别为山区森林草原本底生态调查监测与监管平台项目、森林草原防火及智能监控重点项目、林草有害生物综合防治重点项目</w:t>
      </w:r>
      <w:r>
        <w:rPr>
          <w:rFonts w:ascii="仿宋" w:hAnsi="仿宋" w:eastAsia="仿宋" w:cs="Times New Roman"/>
          <w:color w:val="000000" w:themeColor="text1"/>
          <w:sz w:val="32"/>
          <w:szCs w:val="32"/>
          <w14:textFill>
            <w14:solidFill>
              <w14:schemeClr w14:val="tx1"/>
            </w14:solidFill>
          </w14:textFill>
        </w:rPr>
        <w:t>。</w:t>
      </w: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r>
        <w:rPr>
          <w:rFonts w:ascii="黑体" w:hAnsi="宋体" w:eastAsia="黑体" w:cs="Times New Roman"/>
          <w:color w:val="000000" w:themeColor="text1"/>
          <w:shd w:val="clear" w:color="auto" w:fill="FFFFFF"/>
          <w14:textFill>
            <w14:solidFill>
              <w14:schemeClr w14:val="tx1"/>
            </w14:solidFill>
          </w14:textFill>
        </w:rPr>
        <w:br w:type="page"/>
      </w:r>
      <w:bookmarkStart w:id="72" w:name="_Toc125907440"/>
      <w:r>
        <w:rPr>
          <w:rFonts w:ascii="黑体" w:hAnsi="宋体" w:eastAsia="黑体" w:cs="Times New Roman"/>
          <w:color w:val="000000" w:themeColor="text1"/>
          <w:shd w:val="clear" w:color="auto" w:fill="FFFFFF"/>
          <w14:textFill>
            <w14:solidFill>
              <w14:schemeClr w14:val="tx1"/>
            </w14:solidFill>
          </w14:textFill>
        </w:rPr>
        <w:t>第</w:t>
      </w:r>
      <w:r>
        <w:rPr>
          <w:rFonts w:hint="eastAsia" w:ascii="黑体" w:hAnsi="宋体" w:eastAsia="黑体" w:cs="Times New Roman"/>
          <w:color w:val="000000" w:themeColor="text1"/>
          <w:shd w:val="clear" w:color="auto" w:fill="FFFFFF"/>
          <w14:textFill>
            <w14:solidFill>
              <w14:schemeClr w14:val="tx1"/>
            </w14:solidFill>
          </w14:textFill>
        </w:rPr>
        <w:t>五</w:t>
      </w:r>
      <w:r>
        <w:rPr>
          <w:rFonts w:ascii="黑体" w:hAnsi="宋体" w:eastAsia="黑体" w:cs="Times New Roman"/>
          <w:color w:val="000000" w:themeColor="text1"/>
          <w:shd w:val="clear" w:color="auto" w:fill="FFFFFF"/>
          <w14:textFill>
            <w14:solidFill>
              <w14:schemeClr w14:val="tx1"/>
            </w14:solidFill>
          </w14:textFill>
        </w:rPr>
        <w:t xml:space="preserve">章  </w:t>
      </w:r>
      <w:r>
        <w:rPr>
          <w:rFonts w:hint="eastAsia" w:ascii="黑体" w:hAnsi="宋体" w:eastAsia="黑体" w:cs="Times New Roman"/>
          <w:color w:val="000000" w:themeColor="text1"/>
          <w:shd w:val="clear" w:color="auto" w:fill="FFFFFF"/>
          <w14:textFill>
            <w14:solidFill>
              <w14:schemeClr w14:val="tx1"/>
            </w14:solidFill>
          </w14:textFill>
        </w:rPr>
        <w:t>实施效益分析</w:t>
      </w:r>
      <w:bookmarkEnd w:id="72"/>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73" w:name="_Toc125907441"/>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一、生态效益</w:t>
      </w:r>
      <w:bookmarkEnd w:id="73"/>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74" w:name="_Toc119582423"/>
      <w:r>
        <w:rPr>
          <w:rFonts w:hint="eastAsia" w:eastAsia="仿宋" w:cs="Times New Roman"/>
          <w:b/>
          <w:bCs/>
          <w:color w:val="000000" w:themeColor="text1"/>
          <w:sz w:val="32"/>
          <w:szCs w:val="32"/>
          <w14:textFill>
            <w14:solidFill>
              <w14:schemeClr w14:val="tx1"/>
            </w14:solidFill>
          </w14:textFill>
        </w:rPr>
        <w:t>改善区域生态质量</w:t>
      </w:r>
      <w:bookmarkEnd w:id="74"/>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通过林地保护和建设工程，使森林覆盖率得到提高，林分结构更趋合理。由于林地面积的增加，可减少地表水分的蒸发及地表水的渗透，有效控制水土流失，稳定地下水位，提高涵养水源的功能。通过草地修复工程的实施，将不断减轻草地压力，基本实现草畜平衡，草地植被得以休养生息，从而更好地发挥涵养水源、保持水土、美化环境等多种生态功能。通过封禁保护区建设、人工造林、封沙育林和工程治沙等多项措施，促进生态系统的自我修复和改善，恢复沙区植被。</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75" w:name="_Toc119582424"/>
      <w:r>
        <w:rPr>
          <w:rFonts w:hint="eastAsia" w:eastAsia="仿宋" w:cs="Times New Roman"/>
          <w:b/>
          <w:bCs/>
          <w:color w:val="000000" w:themeColor="text1"/>
          <w:sz w:val="32"/>
          <w:szCs w:val="32"/>
          <w14:textFill>
            <w14:solidFill>
              <w14:schemeClr w14:val="tx1"/>
            </w14:solidFill>
          </w14:textFill>
        </w:rPr>
        <w:t>保护生物多样性</w:t>
      </w:r>
      <w:bookmarkEnd w:id="75"/>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通过实施森林、草地、湿地资源的保护和修复，建立野生动植物资源监测体系，将极大地丰富区域森林、草地生态系统的多样性，为生物多样性热点区域野生动植物栖息和繁衍提供良好的保护体系和生存环境，并为促进生物多样性的科学研究和教育教学提供试验示范。</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76" w:name="_Toc119582425"/>
      <w:r>
        <w:rPr>
          <w:rFonts w:hint="eastAsia" w:eastAsia="仿宋" w:cs="Times New Roman"/>
          <w:b/>
          <w:bCs/>
          <w:color w:val="000000" w:themeColor="text1"/>
          <w:sz w:val="32"/>
          <w:szCs w:val="32"/>
          <w14:textFill>
            <w14:solidFill>
              <w14:schemeClr w14:val="tx1"/>
            </w14:solidFill>
          </w14:textFill>
        </w:rPr>
        <w:t>改善水生态功能</w:t>
      </w:r>
      <w:bookmarkEnd w:id="76"/>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通过生态水利工程建设、河湖滨岸植被恢复等措施，整体改善吐鲁番市水资源供需矛盾、水生态功能减弱等状况，显著提升河湖湿地水生态功能。</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77" w:name="_Toc119582426"/>
      <w:r>
        <w:rPr>
          <w:rFonts w:hint="eastAsia" w:eastAsia="仿宋" w:cs="Times New Roman"/>
          <w:b/>
          <w:bCs/>
          <w:color w:val="000000" w:themeColor="text1"/>
          <w:sz w:val="32"/>
          <w:szCs w:val="32"/>
          <w14:textFill>
            <w14:solidFill>
              <w14:schemeClr w14:val="tx1"/>
            </w14:solidFill>
          </w14:textFill>
        </w:rPr>
        <w:t>助力自治区“双碳”战略</w:t>
      </w:r>
      <w:bookmarkEnd w:id="77"/>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通过国土空间生态修复，推广绿色、低碳农业模式，降低农业碳排放。通过草原生态修复，提升草原生态系统生产力及功能稳定性，增加草原碳汇功能。国土空间生态修复在“减碳”和“增汇”两方面都具有广阔前景，将有效助力自治区实现“双碳”目标。</w:t>
      </w:r>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78" w:name="_Toc125907442"/>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二、社会效益</w:t>
      </w:r>
      <w:bookmarkEnd w:id="78"/>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79" w:name="_Toc119582428"/>
      <w:r>
        <w:rPr>
          <w:rFonts w:eastAsia="仿宋" w:cs="Times New Roman"/>
          <w:b/>
          <w:bCs/>
          <w:color w:val="000000" w:themeColor="text1"/>
          <w:sz w:val="32"/>
          <w:szCs w:val="32"/>
          <w14:textFill>
            <w14:solidFill>
              <w14:schemeClr w14:val="tx1"/>
            </w14:solidFill>
          </w14:textFill>
        </w:rPr>
        <w:t>推动社会公正和谐，实现人与环境和谐发展</w:t>
      </w:r>
      <w:bookmarkEnd w:id="79"/>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在国土空间生态修复工程建设过程中，随着社会经济的发展、科技的进步、人民生活水平的日益提高、文化教育水平的不断提高、城乡结构和城镇布局的日益合理，生活生产环境在逐渐优化，贫富差距逐步缩小，社会保障体系在逐渐完善，人口素质不断提高，城乡居民生活、就业、教育、医疗、卫生、保健、社会福利等许多方面都在公平享受生态修复工程建设成果，这样有利于公正和谐社会的建设，最终也有利于实现人与环境互利互生和谐相处。</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80" w:name="_Toc119582429"/>
      <w:r>
        <w:rPr>
          <w:rFonts w:eastAsia="仿宋" w:cs="Times New Roman"/>
          <w:b/>
          <w:bCs/>
          <w:color w:val="000000" w:themeColor="text1"/>
          <w:sz w:val="32"/>
          <w:szCs w:val="32"/>
          <w14:textFill>
            <w14:solidFill>
              <w14:schemeClr w14:val="tx1"/>
            </w14:solidFill>
          </w14:textFill>
        </w:rPr>
        <w:t>增强社会生态意识，推进生态文明体系建设</w:t>
      </w:r>
      <w:bookmarkEnd w:id="80"/>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在实施过程中，注重全社会参与，提升全社会对生态保护修复重要性和价值的充分地认识。有利于树立生态价值意识，形成对自然生态敬畏的价值理念；树立生态责任和生态道德意识，逐步自觉开展生态环境保护；树立生态知识的学习教育意识，更多了解和掌握生态治理与保护的基本常识和理念。形成全社会动员，共治、共管、共享的生态文明新格局。</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81" w:name="_Toc119582430"/>
      <w:r>
        <w:rPr>
          <w:rFonts w:eastAsia="仿宋" w:cs="Times New Roman"/>
          <w:b/>
          <w:bCs/>
          <w:color w:val="000000" w:themeColor="text1"/>
          <w:sz w:val="32"/>
          <w:szCs w:val="32"/>
          <w14:textFill>
            <w14:solidFill>
              <w14:schemeClr w14:val="tx1"/>
            </w14:solidFill>
          </w14:textFill>
        </w:rPr>
        <w:t>人居环境显著改善，人民生活水平得到提高</w:t>
      </w:r>
      <w:bookmarkEnd w:id="81"/>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通过国土空间生态修复工程的实施，将消除隐患，促进景观再造与资源开发的有效融合，人居环境得到显著改善。生态质量提升可推动生态旅游等第三产业发展，可以带动周边社区经济发展，增加当地居民收入来源。项目实施后，通过改善区域生态环境，促进区域生态系统的稳定，改善人居环境，提高特色旅游品牌，促进当地居民就业，提高收入，提升旅游内涵及品质。</w:t>
      </w:r>
    </w:p>
    <w:p>
      <w:pPr>
        <w:pStyle w:val="3"/>
        <w:pageBreakBefore w:val="0"/>
        <w:widowControl w:val="0"/>
        <w:kinsoku/>
        <w:wordWrap/>
        <w:overflowPunct/>
        <w:topLinePunct w:val="0"/>
        <w:autoSpaceDE/>
        <w:autoSpaceDN/>
        <w:bidi w:val="0"/>
        <w:spacing w:before="120" w:beforeLines="50" w:after="120" w:afterLines="50" w:line="560" w:lineRule="exact"/>
        <w:textAlignment w:val="auto"/>
        <w:rPr>
          <w:rFonts w:ascii="楷体_GB2312" w:hAnsi="楷体" w:eastAsia="楷体_GB2312" w:cs="Times New Roman"/>
          <w:color w:val="000000" w:themeColor="text1"/>
          <w:sz w:val="36"/>
          <w:szCs w:val="36"/>
          <w:shd w:val="clear" w:color="auto" w:fill="FFFFFF"/>
          <w14:textFill>
            <w14:solidFill>
              <w14:schemeClr w14:val="tx1"/>
            </w14:solidFill>
          </w14:textFill>
        </w:rPr>
      </w:pPr>
      <w:bookmarkStart w:id="82" w:name="_Toc125907443"/>
      <w:r>
        <w:rPr>
          <w:rFonts w:hint="eastAsia" w:ascii="楷体_GB2312" w:hAnsi="楷体" w:eastAsia="楷体_GB2312" w:cs="Times New Roman"/>
          <w:color w:val="000000" w:themeColor="text1"/>
          <w:sz w:val="36"/>
          <w:szCs w:val="36"/>
          <w:shd w:val="clear" w:color="auto" w:fill="FFFFFF"/>
          <w14:textFill>
            <w14:solidFill>
              <w14:schemeClr w14:val="tx1"/>
            </w14:solidFill>
          </w14:textFill>
        </w:rPr>
        <w:t>三、经济效益</w:t>
      </w:r>
      <w:bookmarkEnd w:id="82"/>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83" w:name="_Toc119582432"/>
      <w:r>
        <w:rPr>
          <w:rFonts w:hint="eastAsia" w:eastAsia="仿宋" w:cs="Times New Roman"/>
          <w:b/>
          <w:bCs/>
          <w:color w:val="000000" w:themeColor="text1"/>
          <w:sz w:val="32"/>
          <w:szCs w:val="32"/>
          <w14:textFill>
            <w14:solidFill>
              <w14:schemeClr w14:val="tx1"/>
            </w14:solidFill>
          </w14:textFill>
        </w:rPr>
        <w:t>提升土地利用效率</w:t>
      </w:r>
      <w:bookmarkEnd w:id="83"/>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kern w:val="0"/>
          <w:sz w:val="32"/>
          <w:szCs w:val="32"/>
          <w14:textFill>
            <w14:solidFill>
              <w14:schemeClr w14:val="tx1"/>
            </w14:solidFill>
          </w14:textFill>
        </w:rPr>
        <w:t>通过矿山地质环境治理项目的实施，使其恢复至与当地地形地貌景观相一致，整理工矿废弃用地，增加城乡建设用地供给能力。一方面可以提高土地利用率，另一方面可作为城乡发展的储备用地，通过拍卖收取土地出让金。</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84" w:name="_Toc119582433"/>
      <w:r>
        <w:rPr>
          <w:rFonts w:hint="eastAsia" w:eastAsia="仿宋" w:cs="Times New Roman"/>
          <w:b/>
          <w:bCs/>
          <w:color w:val="000000" w:themeColor="text1"/>
          <w:sz w:val="32"/>
          <w:szCs w:val="32"/>
          <w14:textFill>
            <w14:solidFill>
              <w14:schemeClr w14:val="tx1"/>
            </w14:solidFill>
          </w14:textFill>
        </w:rPr>
        <w:t>增加特色沙区旅游业收入</w:t>
      </w:r>
      <w:bookmarkEnd w:id="84"/>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kern w:val="0"/>
          <w:sz w:val="32"/>
          <w:szCs w:val="32"/>
          <w14:textFill>
            <w14:solidFill>
              <w14:schemeClr w14:val="tx1"/>
            </w14:solidFill>
          </w14:textFill>
        </w:rPr>
        <w:t>国土空间生态修复工程项目的实施将大大改善项目区及周边的环境，特别是绿洲区的建设，为</w:t>
      </w:r>
      <w:r>
        <w:rPr>
          <w:rFonts w:hint="eastAsia" w:ascii="仿宋" w:hAnsi="仿宋" w:eastAsia="仿宋" w:cs="Times New Roman"/>
          <w:color w:val="000000" w:themeColor="text1"/>
          <w:kern w:val="0"/>
          <w:sz w:val="32"/>
          <w:szCs w:val="32"/>
          <w14:textFill>
            <w14:solidFill>
              <w14:schemeClr w14:val="tx1"/>
            </w14:solidFill>
          </w14:textFill>
        </w:rPr>
        <w:t>吐鲁番市</w:t>
      </w:r>
      <w:r>
        <w:rPr>
          <w:rFonts w:ascii="仿宋" w:hAnsi="仿宋" w:eastAsia="仿宋" w:cs="Times New Roman"/>
          <w:color w:val="000000" w:themeColor="text1"/>
          <w:kern w:val="0"/>
          <w:sz w:val="32"/>
          <w:szCs w:val="32"/>
          <w14:textFill>
            <w14:solidFill>
              <w14:schemeClr w14:val="tx1"/>
            </w14:solidFill>
          </w14:textFill>
        </w:rPr>
        <w:t>发展旅游、</w:t>
      </w:r>
      <w:r>
        <w:rPr>
          <w:rFonts w:hint="eastAsia" w:ascii="仿宋" w:hAnsi="仿宋" w:eastAsia="仿宋" w:cs="Times New Roman"/>
          <w:color w:val="000000" w:themeColor="text1"/>
          <w:kern w:val="0"/>
          <w:sz w:val="32"/>
          <w:szCs w:val="32"/>
          <w14:textFill>
            <w14:solidFill>
              <w14:schemeClr w14:val="tx1"/>
            </w14:solidFill>
          </w14:textFill>
        </w:rPr>
        <w:t>特色林果产业等</w:t>
      </w:r>
      <w:r>
        <w:rPr>
          <w:rFonts w:ascii="仿宋" w:hAnsi="仿宋" w:eastAsia="仿宋" w:cs="Times New Roman"/>
          <w:color w:val="000000" w:themeColor="text1"/>
          <w:kern w:val="0"/>
          <w:sz w:val="32"/>
          <w:szCs w:val="32"/>
          <w14:textFill>
            <w14:solidFill>
              <w14:schemeClr w14:val="tx1"/>
            </w14:solidFill>
          </w14:textFill>
        </w:rPr>
        <w:t>生态产业提供重要基础，</w:t>
      </w:r>
      <w:r>
        <w:rPr>
          <w:rFonts w:hint="eastAsia" w:ascii="仿宋" w:hAnsi="仿宋" w:eastAsia="仿宋" w:cs="Times New Roman"/>
          <w:color w:val="000000" w:themeColor="text1"/>
          <w:kern w:val="0"/>
          <w:sz w:val="32"/>
          <w:szCs w:val="32"/>
          <w14:textFill>
            <w14:solidFill>
              <w14:schemeClr w14:val="tx1"/>
            </w14:solidFill>
          </w14:textFill>
        </w:rPr>
        <w:t>为</w:t>
      </w:r>
      <w:r>
        <w:rPr>
          <w:rFonts w:ascii="仿宋" w:hAnsi="仿宋" w:eastAsia="仿宋" w:cs="Times New Roman"/>
          <w:color w:val="000000" w:themeColor="text1"/>
          <w:kern w:val="0"/>
          <w:sz w:val="32"/>
          <w:szCs w:val="32"/>
          <w14:textFill>
            <w14:solidFill>
              <w14:schemeClr w14:val="tx1"/>
            </w14:solidFill>
          </w14:textFill>
        </w:rPr>
        <w:t>探索绿水青山就是金山银山提供了前提。不仅能够增加市民绿色生活休闲空间，提升城市品质形象，优化区域生态环境，更能通过开展旅游业，增加旅游业收入，具有极大的经济效益。</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85" w:name="_Toc119582434"/>
      <w:r>
        <w:rPr>
          <w:rFonts w:eastAsia="仿宋" w:cs="Times New Roman"/>
          <w:b/>
          <w:bCs/>
          <w:color w:val="000000" w:themeColor="text1"/>
          <w:sz w:val="32"/>
          <w:szCs w:val="32"/>
          <w14:textFill>
            <w14:solidFill>
              <w14:schemeClr w14:val="tx1"/>
            </w14:solidFill>
          </w14:textFill>
        </w:rPr>
        <w:t>有效改善投资环境和提高资源产出效率</w:t>
      </w:r>
      <w:bookmarkEnd w:id="85"/>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kern w:val="0"/>
          <w:sz w:val="32"/>
          <w:szCs w:val="32"/>
          <w14:textFill>
            <w14:solidFill>
              <w14:schemeClr w14:val="tx1"/>
            </w14:solidFill>
          </w14:textFill>
        </w:rPr>
        <w:t>通过国土空间生态修复工程的实施，区域内水土资源得到有效利用，不但能为当地粮食安全问题的解决和农村经济的发展提供大量有用的土地储备资源，而且也可为</w:t>
      </w:r>
      <w:r>
        <w:rPr>
          <w:rFonts w:hint="eastAsia" w:ascii="仿宋" w:hAnsi="仿宋" w:eastAsia="仿宋" w:cs="Times New Roman"/>
          <w:color w:val="000000" w:themeColor="text1"/>
          <w:kern w:val="0"/>
          <w:sz w:val="32"/>
          <w:szCs w:val="32"/>
          <w14:textFill>
            <w14:solidFill>
              <w14:schemeClr w14:val="tx1"/>
            </w14:solidFill>
          </w14:textFill>
        </w:rPr>
        <w:t>吐鲁番市绿色高质量发展</w:t>
      </w:r>
      <w:r>
        <w:rPr>
          <w:rFonts w:ascii="仿宋" w:hAnsi="仿宋" w:eastAsia="仿宋" w:cs="Times New Roman"/>
          <w:color w:val="000000" w:themeColor="text1"/>
          <w:kern w:val="0"/>
          <w:sz w:val="32"/>
          <w:szCs w:val="32"/>
          <w14:textFill>
            <w14:solidFill>
              <w14:schemeClr w14:val="tx1"/>
            </w14:solidFill>
          </w14:textFill>
        </w:rPr>
        <w:t>夯实基础，注入新的活力。土地资源利用率、土地产出率、劳动生产率均可大幅度提高，推进当地绿色产业开发，有效地促进农业产业结构的调整和农村产业链的升级，促进城乡协调发展。</w:t>
      </w:r>
    </w:p>
    <w:p>
      <w:pPr>
        <w:pStyle w:val="37"/>
        <w:pageBreakBefore w:val="0"/>
        <w:widowControl w:val="0"/>
        <w:kinsoku/>
        <w:wordWrap/>
        <w:overflowPunct/>
        <w:topLinePunct w:val="0"/>
        <w:autoSpaceDE/>
        <w:autoSpaceDN/>
        <w:bidi w:val="0"/>
        <w:spacing w:line="560" w:lineRule="exact"/>
        <w:ind w:firstLine="643"/>
        <w:textAlignment w:val="auto"/>
        <w:rPr>
          <w:color w:val="000000" w:themeColor="text1"/>
          <w:shd w:val="clear" w:color="auto" w:fill="FFFFFF"/>
          <w14:textFill>
            <w14:solidFill>
              <w14:schemeClr w14:val="tx1"/>
            </w14:solidFill>
          </w14:textFill>
        </w:rPr>
      </w:pPr>
      <w:bookmarkStart w:id="86" w:name="_Toc119582435"/>
      <w:r>
        <w:rPr>
          <w:rFonts w:hint="eastAsia" w:eastAsia="仿宋" w:cs="Times New Roman"/>
          <w:b/>
          <w:bCs/>
          <w:color w:val="000000" w:themeColor="text1"/>
          <w:sz w:val="32"/>
          <w:szCs w:val="32"/>
          <w14:textFill>
            <w14:solidFill>
              <w14:schemeClr w14:val="tx1"/>
            </w14:solidFill>
          </w14:textFill>
        </w:rPr>
        <w:t>推动产业发展</w:t>
      </w:r>
      <w:bookmarkEnd w:id="86"/>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kern w:val="0"/>
          <w:sz w:val="32"/>
          <w:szCs w:val="32"/>
          <w14:textFill>
            <w14:solidFill>
              <w14:schemeClr w14:val="tx1"/>
            </w14:solidFill>
          </w14:textFill>
        </w:rPr>
        <w:t>通过将生态修复工程与相关产业规划相结合，引导社会资本积极投入，坚持“谁修复，谁受益”的原则，提高修复区域的土地价值，推动</w:t>
      </w:r>
      <w:r>
        <w:rPr>
          <w:rFonts w:hint="eastAsia" w:ascii="仿宋" w:hAnsi="仿宋" w:eastAsia="仿宋" w:cs="Times New Roman"/>
          <w:color w:val="000000" w:themeColor="text1"/>
          <w:kern w:val="0"/>
          <w:sz w:val="32"/>
          <w:szCs w:val="32"/>
          <w14:textFill>
            <w14:solidFill>
              <w14:schemeClr w14:val="tx1"/>
            </w14:solidFill>
          </w14:textFill>
        </w:rPr>
        <w:t>吐鲁番市</w:t>
      </w:r>
      <w:r>
        <w:rPr>
          <w:rFonts w:ascii="仿宋" w:hAnsi="仿宋" w:eastAsia="仿宋" w:cs="Times New Roman"/>
          <w:color w:val="000000" w:themeColor="text1"/>
          <w:kern w:val="0"/>
          <w:sz w:val="32"/>
          <w:szCs w:val="32"/>
          <w14:textFill>
            <w14:solidFill>
              <w14:schemeClr w14:val="tx1"/>
            </w14:solidFill>
          </w14:textFill>
        </w:rPr>
        <w:t>绿色高质量发展。</w:t>
      </w:r>
    </w:p>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br w:type="page"/>
      </w:r>
    </w:p>
    <w:p>
      <w:pPr>
        <w:pStyle w:val="2"/>
        <w:spacing w:before="240" w:beforeLines="100" w:after="240" w:afterLines="100" w:line="360" w:lineRule="auto"/>
        <w:jc w:val="center"/>
        <w:rPr>
          <w:rFonts w:ascii="黑体" w:hAnsi="宋体" w:eastAsia="黑体" w:cs="Times New Roman"/>
          <w:color w:val="000000" w:themeColor="text1"/>
          <w:shd w:val="clear" w:color="auto" w:fill="FFFFFF"/>
          <w14:textFill>
            <w14:solidFill>
              <w14:schemeClr w14:val="tx1"/>
            </w14:solidFill>
          </w14:textFill>
        </w:rPr>
      </w:pPr>
      <w:bookmarkStart w:id="87" w:name="_Toc125907444"/>
      <w:r>
        <w:rPr>
          <w:rFonts w:ascii="黑体" w:hAnsi="宋体" w:eastAsia="黑体" w:cs="Times New Roman"/>
          <w:color w:val="000000" w:themeColor="text1"/>
          <w:shd w:val="clear" w:color="auto" w:fill="FFFFFF"/>
          <w14:textFill>
            <w14:solidFill>
              <w14:schemeClr w14:val="tx1"/>
            </w14:solidFill>
          </w14:textFill>
        </w:rPr>
        <w:t>第</w:t>
      </w:r>
      <w:r>
        <w:rPr>
          <w:rFonts w:hint="eastAsia" w:ascii="黑体" w:hAnsi="宋体" w:eastAsia="黑体" w:cs="Times New Roman"/>
          <w:color w:val="000000" w:themeColor="text1"/>
          <w:shd w:val="clear" w:color="auto" w:fill="FFFFFF"/>
          <w14:textFill>
            <w14:solidFill>
              <w14:schemeClr w14:val="tx1"/>
            </w14:solidFill>
          </w14:textFill>
        </w:rPr>
        <w:t>六</w:t>
      </w:r>
      <w:r>
        <w:rPr>
          <w:rFonts w:ascii="黑体" w:hAnsi="宋体" w:eastAsia="黑体" w:cs="Times New Roman"/>
          <w:color w:val="000000" w:themeColor="text1"/>
          <w:shd w:val="clear" w:color="auto" w:fill="FFFFFF"/>
          <w14:textFill>
            <w14:solidFill>
              <w14:schemeClr w14:val="tx1"/>
            </w14:solidFill>
          </w14:textFill>
        </w:rPr>
        <w:t xml:space="preserve">章  </w:t>
      </w:r>
      <w:r>
        <w:rPr>
          <w:rFonts w:hint="eastAsia" w:ascii="黑体" w:hAnsi="宋体" w:eastAsia="黑体" w:cs="Times New Roman"/>
          <w:color w:val="000000" w:themeColor="text1"/>
          <w:shd w:val="clear" w:color="auto" w:fill="FFFFFF"/>
          <w14:textFill>
            <w14:solidFill>
              <w14:schemeClr w14:val="tx1"/>
            </w14:solidFill>
          </w14:textFill>
        </w:rPr>
        <w:t>保障措施</w:t>
      </w:r>
      <w:bookmarkEnd w:id="87"/>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hd w:val="clear" w:color="auto" w:fill="FFFFFF"/>
          <w14:textFill>
            <w14:solidFill>
              <w14:schemeClr w14:val="tx1"/>
            </w14:solidFill>
          </w14:textFill>
        </w:rPr>
      </w:pPr>
      <w:bookmarkStart w:id="88" w:name="_Toc119582437"/>
      <w:bookmarkStart w:id="89" w:name="_Toc77863879"/>
      <w:bookmarkStart w:id="90" w:name="_Toc77863922"/>
      <w:bookmarkStart w:id="91" w:name="_Toc85576314"/>
      <w:r>
        <w:rPr>
          <w:rFonts w:eastAsia="仿宋" w:cs="Times New Roman"/>
          <w:b/>
          <w:bCs/>
          <w:color w:val="000000" w:themeColor="text1"/>
          <w:sz w:val="32"/>
          <w:szCs w:val="32"/>
          <w14:textFill>
            <w14:solidFill>
              <w14:schemeClr w14:val="tx1"/>
            </w14:solidFill>
          </w14:textFill>
        </w:rPr>
        <w:t>加强协调推进</w:t>
      </w:r>
      <w:bookmarkEnd w:id="88"/>
      <w:bookmarkEnd w:id="89"/>
      <w:bookmarkEnd w:id="90"/>
      <w:bookmarkEnd w:id="91"/>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贯彻落实自治区党委</w:t>
      </w:r>
      <w:r>
        <w:rPr>
          <w:rFonts w:hint="eastAsia" w:ascii="仿宋" w:hAnsi="仿宋" w:eastAsia="仿宋" w:cs="Times New Roman"/>
          <w:color w:val="000000" w:themeColor="text1"/>
          <w:sz w:val="32"/>
          <w:szCs w:val="32"/>
          <w14:textFill>
            <w14:solidFill>
              <w14:schemeClr w14:val="tx1"/>
            </w14:solidFill>
          </w14:textFill>
        </w:rPr>
        <w:t>和</w:t>
      </w:r>
      <w:r>
        <w:rPr>
          <w:rFonts w:hint="eastAsia" w:ascii="仿宋" w:hAnsi="仿宋" w:eastAsia="仿宋" w:cs="Times New Roman"/>
          <w:color w:val="000000" w:themeColor="text1"/>
          <w:sz w:val="32"/>
          <w:szCs w:val="32"/>
          <w:lang w:eastAsia="zh-CN"/>
          <w14:textFill>
            <w14:solidFill>
              <w14:schemeClr w14:val="tx1"/>
            </w14:solidFill>
          </w14:textFill>
        </w:rPr>
        <w:t>自治区</w:t>
      </w:r>
      <w:r>
        <w:rPr>
          <w:rFonts w:hint="eastAsia" w:ascii="仿宋" w:hAnsi="仿宋" w:eastAsia="仿宋" w:cs="Times New Roman"/>
          <w:color w:val="000000" w:themeColor="text1"/>
          <w:sz w:val="32"/>
          <w:szCs w:val="32"/>
          <w14:textFill>
            <w14:solidFill>
              <w14:schemeClr w14:val="tx1"/>
            </w14:solidFill>
          </w14:textFill>
        </w:rPr>
        <w:t>人民</w:t>
      </w:r>
      <w:r>
        <w:rPr>
          <w:rFonts w:ascii="仿宋" w:hAnsi="仿宋" w:eastAsia="仿宋" w:cs="Times New Roman"/>
          <w:color w:val="000000" w:themeColor="text1"/>
          <w:sz w:val="32"/>
          <w:szCs w:val="32"/>
          <w14:textFill>
            <w14:solidFill>
              <w14:schemeClr w14:val="tx1"/>
            </w14:solidFill>
          </w14:textFill>
        </w:rPr>
        <w:t>政府统一部署，</w:t>
      </w:r>
      <w:r>
        <w:rPr>
          <w:rFonts w:hint="eastAsia" w:ascii="仿宋" w:hAnsi="仿宋" w:eastAsia="仿宋" w:cs="Times New Roman"/>
          <w:color w:val="000000" w:themeColor="text1"/>
          <w:sz w:val="32"/>
          <w:szCs w:val="32"/>
          <w14:textFill>
            <w14:solidFill>
              <w14:schemeClr w14:val="tx1"/>
            </w14:solidFill>
          </w14:textFill>
        </w:rPr>
        <w:t>吐鲁番市各级人民政府切实承担起生态保护修复责任，</w:t>
      </w:r>
      <w:r>
        <w:rPr>
          <w:rFonts w:ascii="仿宋" w:hAnsi="仿宋" w:eastAsia="仿宋" w:cs="Times New Roman"/>
          <w:color w:val="000000" w:themeColor="text1"/>
          <w:sz w:val="32"/>
          <w:szCs w:val="32"/>
          <w14:textFill>
            <w14:solidFill>
              <w14:schemeClr w14:val="tx1"/>
            </w14:solidFill>
          </w14:textFill>
        </w:rPr>
        <w:t>把生态保护修复作为贯彻落实习近平生态文明思想的具体实践，</w:t>
      </w:r>
      <w:r>
        <w:rPr>
          <w:rFonts w:hint="eastAsia" w:ascii="仿宋" w:hAnsi="仿宋" w:eastAsia="仿宋" w:cs="Times New Roman"/>
          <w:color w:val="000000" w:themeColor="text1"/>
          <w:sz w:val="32"/>
          <w:szCs w:val="32"/>
          <w14:textFill>
            <w14:solidFill>
              <w14:schemeClr w14:val="tx1"/>
            </w14:solidFill>
          </w14:textFill>
        </w:rPr>
        <w:t>摆</w:t>
      </w:r>
      <w:r>
        <w:rPr>
          <w:rFonts w:ascii="仿宋" w:hAnsi="仿宋" w:eastAsia="仿宋" w:cs="Times New Roman"/>
          <w:color w:val="000000" w:themeColor="text1"/>
          <w:sz w:val="32"/>
          <w:szCs w:val="32"/>
          <w14:textFill>
            <w14:solidFill>
              <w14:schemeClr w14:val="tx1"/>
            </w14:solidFill>
          </w14:textFill>
        </w:rPr>
        <w:t>上</w:t>
      </w:r>
      <w:r>
        <w:rPr>
          <w:rFonts w:hint="eastAsia" w:ascii="仿宋" w:hAnsi="仿宋" w:eastAsia="仿宋" w:cs="Times New Roman"/>
          <w:color w:val="000000" w:themeColor="text1"/>
          <w:sz w:val="32"/>
          <w:szCs w:val="32"/>
          <w14:textFill>
            <w14:solidFill>
              <w14:schemeClr w14:val="tx1"/>
            </w14:solidFill>
          </w14:textFill>
        </w:rPr>
        <w:t>突出位置。</w:t>
      </w:r>
      <w:r>
        <w:rPr>
          <w:rFonts w:ascii="仿宋" w:hAnsi="仿宋" w:eastAsia="仿宋" w:cs="Times New Roman"/>
          <w:color w:val="000000" w:themeColor="text1"/>
          <w:sz w:val="32"/>
          <w:szCs w:val="32"/>
          <w14:textFill>
            <w14:solidFill>
              <w14:schemeClr w14:val="tx1"/>
            </w14:solidFill>
          </w14:textFill>
        </w:rPr>
        <w:t>切实加强组织领导和统筹协调，协同推进落实规划任务，将规划实施与生态文明建设紧密结合。</w:t>
      </w:r>
      <w:r>
        <w:rPr>
          <w:rFonts w:hint="eastAsia" w:ascii="仿宋" w:hAnsi="仿宋" w:eastAsia="仿宋" w:cs="Times New Roman"/>
          <w:color w:val="000000" w:themeColor="text1"/>
          <w:sz w:val="32"/>
          <w:szCs w:val="32"/>
          <w14:textFill>
            <w14:solidFill>
              <w14:schemeClr w14:val="tx1"/>
            </w14:solidFill>
          </w14:textFill>
        </w:rPr>
        <w:t>吐鲁番市</w:t>
      </w:r>
      <w:r>
        <w:rPr>
          <w:rFonts w:ascii="仿宋" w:hAnsi="仿宋" w:eastAsia="仿宋" w:cs="Times New Roman"/>
          <w:color w:val="000000" w:themeColor="text1"/>
          <w:sz w:val="32"/>
          <w:szCs w:val="32"/>
          <w14:textFill>
            <w14:solidFill>
              <w14:schemeClr w14:val="tx1"/>
            </w14:solidFill>
          </w14:textFill>
        </w:rPr>
        <w:t>各有关部门各司其职，强化责任，密切配合，形成合力。</w:t>
      </w:r>
      <w:r>
        <w:rPr>
          <w:rFonts w:hint="eastAsia" w:ascii="仿宋" w:hAnsi="仿宋" w:eastAsia="仿宋" w:cs="Times New Roman"/>
          <w:color w:val="000000" w:themeColor="text1"/>
          <w:sz w:val="32"/>
          <w:szCs w:val="32"/>
          <w14:textFill>
            <w14:solidFill>
              <w14:schemeClr w14:val="tx1"/>
            </w14:solidFill>
          </w14:textFill>
        </w:rPr>
        <w:t>由</w:t>
      </w:r>
      <w:r>
        <w:rPr>
          <w:rFonts w:ascii="仿宋" w:hAnsi="仿宋" w:eastAsia="仿宋" w:cs="Times New Roman"/>
          <w:color w:val="000000" w:themeColor="text1"/>
          <w:sz w:val="32"/>
          <w:szCs w:val="32"/>
          <w14:textFill>
            <w14:solidFill>
              <w14:schemeClr w14:val="tx1"/>
            </w14:solidFill>
          </w14:textFill>
        </w:rPr>
        <w:t>自然资源</w:t>
      </w:r>
      <w:r>
        <w:rPr>
          <w:rFonts w:hint="eastAsia" w:ascii="仿宋" w:hAnsi="仿宋" w:eastAsia="仿宋" w:cs="Times New Roman"/>
          <w:color w:val="000000" w:themeColor="text1"/>
          <w:sz w:val="32"/>
          <w:szCs w:val="32"/>
          <w14:textFill>
            <w14:solidFill>
              <w14:schemeClr w14:val="tx1"/>
            </w14:solidFill>
          </w14:textFill>
        </w:rPr>
        <w:t>局</w:t>
      </w:r>
      <w:r>
        <w:rPr>
          <w:rFonts w:ascii="仿宋" w:hAnsi="仿宋" w:eastAsia="仿宋" w:cs="Times New Roman"/>
          <w:color w:val="000000" w:themeColor="text1"/>
          <w:sz w:val="32"/>
          <w:szCs w:val="32"/>
          <w14:textFill>
            <w14:solidFill>
              <w14:schemeClr w14:val="tx1"/>
            </w14:solidFill>
          </w14:textFill>
        </w:rPr>
        <w:t>统一行使国土空间用途管制和生态</w:t>
      </w:r>
      <w:r>
        <w:rPr>
          <w:rFonts w:hint="eastAsia" w:ascii="仿宋" w:hAnsi="仿宋" w:eastAsia="仿宋" w:cs="Times New Roman"/>
          <w:color w:val="000000" w:themeColor="text1"/>
          <w:sz w:val="32"/>
          <w:szCs w:val="32"/>
          <w14:textFill>
            <w14:solidFill>
              <w14:schemeClr w14:val="tx1"/>
            </w14:solidFill>
          </w14:textFill>
        </w:rPr>
        <w:t>保护</w:t>
      </w:r>
      <w:r>
        <w:rPr>
          <w:rFonts w:ascii="仿宋" w:hAnsi="仿宋" w:eastAsia="仿宋" w:cs="Times New Roman"/>
          <w:color w:val="000000" w:themeColor="text1"/>
          <w:sz w:val="32"/>
          <w:szCs w:val="32"/>
          <w14:textFill>
            <w14:solidFill>
              <w14:schemeClr w14:val="tx1"/>
            </w14:solidFill>
          </w14:textFill>
        </w:rPr>
        <w:t>修复职责，负责统筹规划</w:t>
      </w:r>
      <w:r>
        <w:rPr>
          <w:rFonts w:hint="eastAsia" w:ascii="仿宋" w:hAnsi="仿宋" w:eastAsia="仿宋" w:cs="Times New Roman"/>
          <w:color w:val="000000" w:themeColor="text1"/>
          <w:sz w:val="32"/>
          <w:szCs w:val="32"/>
          <w14:textFill>
            <w14:solidFill>
              <w14:schemeClr w14:val="tx1"/>
            </w14:solidFill>
          </w14:textFill>
        </w:rPr>
        <w:t>和</w:t>
      </w:r>
      <w:r>
        <w:rPr>
          <w:rFonts w:ascii="仿宋" w:hAnsi="仿宋" w:eastAsia="仿宋" w:cs="Times New Roman"/>
          <w:color w:val="000000" w:themeColor="text1"/>
          <w:sz w:val="32"/>
          <w:szCs w:val="32"/>
          <w14:textFill>
            <w14:solidFill>
              <w14:schemeClr w14:val="tx1"/>
            </w14:solidFill>
          </w14:textFill>
        </w:rPr>
        <w:t>组织协调等</w:t>
      </w:r>
      <w:r>
        <w:rPr>
          <w:rFonts w:hint="eastAsia" w:ascii="仿宋" w:hAnsi="仿宋" w:eastAsia="仿宋" w:cs="Times New Roman"/>
          <w:color w:val="000000" w:themeColor="text1"/>
          <w:sz w:val="32"/>
          <w:szCs w:val="32"/>
          <w14:textFill>
            <w14:solidFill>
              <w14:schemeClr w14:val="tx1"/>
            </w14:solidFill>
          </w14:textFill>
        </w:rPr>
        <w:t>。财政局</w:t>
      </w:r>
      <w:r>
        <w:rPr>
          <w:rFonts w:ascii="仿宋" w:hAnsi="仿宋" w:eastAsia="仿宋" w:cs="Times New Roman"/>
          <w:color w:val="000000" w:themeColor="text1"/>
          <w:sz w:val="32"/>
          <w:szCs w:val="32"/>
          <w14:textFill>
            <w14:solidFill>
              <w14:schemeClr w14:val="tx1"/>
            </w14:solidFill>
          </w14:textFill>
        </w:rPr>
        <w:t>负责统筹资金，制定资金管理政策，鼓励引导社会资金投入，构建事权清晰、权责一致的生态修复投入机制。</w:t>
      </w:r>
      <w:r>
        <w:rPr>
          <w:rFonts w:hint="eastAsia" w:ascii="仿宋" w:hAnsi="仿宋" w:eastAsia="仿宋" w:cs="Times New Roman"/>
          <w:color w:val="000000" w:themeColor="text1"/>
          <w:sz w:val="32"/>
          <w:szCs w:val="32"/>
          <w14:textFill>
            <w14:solidFill>
              <w14:schemeClr w14:val="tx1"/>
            </w14:solidFill>
          </w14:textFill>
        </w:rPr>
        <w:t>水利局</w:t>
      </w:r>
      <w:r>
        <w:rPr>
          <w:rFonts w:ascii="仿宋" w:hAnsi="仿宋" w:eastAsia="仿宋" w:cs="Times New Roman"/>
          <w:color w:val="000000" w:themeColor="text1"/>
          <w:sz w:val="32"/>
          <w:szCs w:val="32"/>
          <w14:textFill>
            <w14:solidFill>
              <w14:schemeClr w14:val="tx1"/>
            </w14:solidFill>
          </w14:textFill>
        </w:rPr>
        <w:t>负责优化重要流域各级枢纽配水调度，保障河流生态基流，维护河湖生态安全底线，科学合理调配和高效利用水资源。生态环境</w:t>
      </w:r>
      <w:r>
        <w:rPr>
          <w:rFonts w:hint="eastAsia" w:ascii="仿宋" w:hAnsi="仿宋" w:eastAsia="仿宋" w:cs="Times New Roman"/>
          <w:color w:val="000000" w:themeColor="text1"/>
          <w:sz w:val="32"/>
          <w:szCs w:val="32"/>
          <w14:textFill>
            <w14:solidFill>
              <w14:schemeClr w14:val="tx1"/>
            </w14:solidFill>
          </w14:textFill>
        </w:rPr>
        <w:t>局</w:t>
      </w:r>
      <w:r>
        <w:rPr>
          <w:rFonts w:ascii="仿宋" w:hAnsi="仿宋" w:eastAsia="仿宋" w:cs="Times New Roman"/>
          <w:color w:val="000000" w:themeColor="text1"/>
          <w:sz w:val="32"/>
          <w:szCs w:val="32"/>
          <w14:textFill>
            <w14:solidFill>
              <w14:schemeClr w14:val="tx1"/>
            </w14:solidFill>
          </w14:textFill>
        </w:rPr>
        <w:t>统一行使监管城乡各类污染排放和行政执法职责，开展水、土壤、大气环境监测和治理。林草</w:t>
      </w:r>
      <w:r>
        <w:rPr>
          <w:rFonts w:hint="eastAsia" w:ascii="仿宋" w:hAnsi="仿宋" w:eastAsia="仿宋" w:cs="Times New Roman"/>
          <w:color w:val="000000" w:themeColor="text1"/>
          <w:sz w:val="32"/>
          <w:szCs w:val="32"/>
          <w14:textFill>
            <w14:solidFill>
              <w14:schemeClr w14:val="tx1"/>
            </w14:solidFill>
          </w14:textFill>
        </w:rPr>
        <w:t>局</w:t>
      </w:r>
      <w:r>
        <w:rPr>
          <w:rFonts w:ascii="仿宋" w:hAnsi="仿宋" w:eastAsia="仿宋" w:cs="Times New Roman"/>
          <w:color w:val="000000" w:themeColor="text1"/>
          <w:sz w:val="32"/>
          <w:szCs w:val="32"/>
          <w14:textFill>
            <w14:solidFill>
              <w14:schemeClr w14:val="tx1"/>
            </w14:solidFill>
          </w14:textFill>
        </w:rPr>
        <w:t>负责自然保护地优化整合和规范化建设，开展森林、草原抚育，重要湿地保护修复</w:t>
      </w:r>
      <w:r>
        <w:rPr>
          <w:rFonts w:hint="eastAsia" w:ascii="仿宋" w:hAnsi="仿宋" w:eastAsia="仿宋" w:cs="Times New Roman"/>
          <w:color w:val="000000" w:themeColor="text1"/>
          <w:sz w:val="32"/>
          <w:szCs w:val="32"/>
          <w14:textFill>
            <w14:solidFill>
              <w14:schemeClr w14:val="tx1"/>
            </w14:solidFill>
          </w14:textFill>
        </w:rPr>
        <w:t>和自然保护区、国家公园建设</w:t>
      </w:r>
      <w:r>
        <w:rPr>
          <w:rFonts w:ascii="仿宋" w:hAnsi="仿宋" w:eastAsia="仿宋" w:cs="Times New Roman"/>
          <w:color w:val="000000" w:themeColor="text1"/>
          <w:sz w:val="32"/>
          <w:szCs w:val="32"/>
          <w14:textFill>
            <w14:solidFill>
              <w14:schemeClr w14:val="tx1"/>
            </w14:solidFill>
          </w14:textFill>
        </w:rPr>
        <w:t>，实施生物多样性保护，加大物种生境保护力度。</w:t>
      </w:r>
      <w:r>
        <w:rPr>
          <w:rFonts w:hint="eastAsia" w:ascii="仿宋" w:hAnsi="仿宋" w:eastAsia="仿宋" w:cs="Times New Roman"/>
          <w:color w:val="000000" w:themeColor="text1"/>
          <w:sz w:val="32"/>
          <w:szCs w:val="32"/>
          <w14:textFill>
            <w14:solidFill>
              <w14:schemeClr w14:val="tx1"/>
            </w14:solidFill>
          </w14:textFill>
        </w:rPr>
        <w:t>农业农村局负责农村基础设施和乡村整治。</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hd w:val="clear" w:color="auto" w:fill="FFFFFF"/>
          <w14:textFill>
            <w14:solidFill>
              <w14:schemeClr w14:val="tx1"/>
            </w14:solidFill>
          </w14:textFill>
        </w:rPr>
      </w:pPr>
      <w:bookmarkStart w:id="92" w:name="_Toc77863923"/>
      <w:bookmarkStart w:id="93" w:name="_Toc77863880"/>
      <w:bookmarkStart w:id="94" w:name="_Toc67300164"/>
      <w:bookmarkStart w:id="95" w:name="_Toc85576315"/>
      <w:bookmarkStart w:id="96" w:name="_Toc119582438"/>
      <w:r>
        <w:rPr>
          <w:rFonts w:eastAsia="仿宋" w:cs="Times New Roman"/>
          <w:b/>
          <w:bCs/>
          <w:color w:val="000000" w:themeColor="text1"/>
          <w:sz w:val="32"/>
          <w:szCs w:val="32"/>
          <w14:textFill>
            <w14:solidFill>
              <w14:schemeClr w14:val="tx1"/>
            </w14:solidFill>
          </w14:textFill>
        </w:rPr>
        <w:t>创新</w:t>
      </w:r>
      <w:bookmarkEnd w:id="92"/>
      <w:bookmarkEnd w:id="93"/>
      <w:bookmarkEnd w:id="94"/>
      <w:r>
        <w:rPr>
          <w:rFonts w:eastAsia="仿宋" w:cs="Times New Roman"/>
          <w:b/>
          <w:bCs/>
          <w:color w:val="000000" w:themeColor="text1"/>
          <w:sz w:val="32"/>
          <w:szCs w:val="32"/>
          <w14:textFill>
            <w14:solidFill>
              <w14:schemeClr w14:val="tx1"/>
            </w14:solidFill>
          </w14:textFill>
        </w:rPr>
        <w:t>工作</w:t>
      </w:r>
      <w:r>
        <w:rPr>
          <w:rFonts w:hint="eastAsia" w:eastAsia="仿宋" w:cs="Times New Roman"/>
          <w:b/>
          <w:bCs/>
          <w:color w:val="000000" w:themeColor="text1"/>
          <w:sz w:val="32"/>
          <w:szCs w:val="32"/>
          <w14:textFill>
            <w14:solidFill>
              <w14:schemeClr w14:val="tx1"/>
            </w14:solidFill>
          </w14:textFill>
        </w:rPr>
        <w:t>机制</w:t>
      </w:r>
      <w:bookmarkEnd w:id="95"/>
      <w:bookmarkEnd w:id="96"/>
      <w:r>
        <w:rPr>
          <w:rFonts w:hint="eastAsia" w:eastAsia="仿宋" w:cs="Times New Roman"/>
          <w:b/>
          <w:bCs/>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创新生态修复模式，</w:t>
      </w:r>
      <w:r>
        <w:rPr>
          <w:rFonts w:ascii="仿宋" w:hAnsi="仿宋" w:eastAsia="仿宋" w:cs="Times New Roman"/>
          <w:bCs/>
          <w:color w:val="000000" w:themeColor="text1"/>
          <w:sz w:val="32"/>
          <w:szCs w:val="32"/>
          <w14:textFill>
            <w14:solidFill>
              <w14:schemeClr w14:val="tx1"/>
            </w14:solidFill>
          </w14:textFill>
        </w:rPr>
        <w:t>建立政府引导、社会参与、多元投入</w:t>
      </w:r>
      <w:r>
        <w:rPr>
          <w:rFonts w:ascii="仿宋" w:hAnsi="仿宋" w:eastAsia="仿宋" w:cs="Times New Roman"/>
          <w:color w:val="000000" w:themeColor="text1"/>
          <w:sz w:val="32"/>
          <w:szCs w:val="32"/>
          <w14:textFill>
            <w14:solidFill>
              <w14:schemeClr w14:val="tx1"/>
            </w14:solidFill>
          </w14:textFill>
        </w:rPr>
        <w:t>的资金筹措机制。各部门积极争取中央资金支持，将生态修复项目作为财政优先支持领域，加大投入力度。鼓励各地统筹多层级、多领域资金，集中开展重点区域生态修复，形成资金投入合力。建立生态产品价值实现和多元化生态补偿机制，将生态保护修复领域作为金融支持的重点，鼓励金融机构创新绿色金融产品，探索建立生态基金。鼓励将生态修复与生态旅游、生态农业、特色小镇、林下经济等相关产业深度融合，</w:t>
      </w:r>
      <w:r>
        <w:rPr>
          <w:rFonts w:hint="eastAsia" w:ascii="仿宋" w:hAnsi="仿宋" w:eastAsia="仿宋" w:cs="Times New Roman"/>
          <w:color w:val="000000" w:themeColor="text1"/>
          <w:sz w:val="32"/>
          <w:szCs w:val="32"/>
          <w14:textFill>
            <w14:solidFill>
              <w14:schemeClr w14:val="tx1"/>
            </w14:solidFill>
          </w14:textFill>
        </w:rPr>
        <w:t>探索盘活废弃矿山存量资源，</w:t>
      </w:r>
      <w:r>
        <w:rPr>
          <w:rFonts w:ascii="仿宋" w:hAnsi="仿宋" w:eastAsia="仿宋" w:cs="Times New Roman"/>
          <w:color w:val="000000" w:themeColor="text1"/>
          <w:sz w:val="32"/>
          <w:szCs w:val="32"/>
          <w14:textFill>
            <w14:solidFill>
              <w14:schemeClr w14:val="tx1"/>
            </w14:solidFill>
          </w14:textFill>
        </w:rPr>
        <w:t>吸引社会资本积极参与生态保护修复，逐步推进生态资源转化成生态产品，激活“两山”转化路径。</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z w:val="32"/>
          <w:szCs w:val="32"/>
          <w:shd w:val="clear" w:color="auto" w:fill="FFFFFF"/>
          <w14:textFill>
            <w14:solidFill>
              <w14:schemeClr w14:val="tx1"/>
            </w14:solidFill>
          </w14:textFill>
        </w:rPr>
      </w:pPr>
      <w:bookmarkStart w:id="97" w:name="_Toc85576316"/>
      <w:bookmarkStart w:id="98" w:name="_Toc77863924"/>
      <w:bookmarkStart w:id="99" w:name="_Toc77863881"/>
      <w:bookmarkStart w:id="100" w:name="_Toc67300165"/>
      <w:bookmarkStart w:id="101" w:name="_Toc119582439"/>
      <w:r>
        <w:rPr>
          <w:rFonts w:hint="eastAsia" w:eastAsia="仿宋" w:cs="Times New Roman"/>
          <w:b/>
          <w:bCs/>
          <w:color w:val="000000" w:themeColor="text1"/>
          <w:sz w:val="32"/>
          <w:szCs w:val="32"/>
          <w14:textFill>
            <w14:solidFill>
              <w14:schemeClr w14:val="tx1"/>
            </w14:solidFill>
          </w14:textFill>
        </w:rPr>
        <w:t>强化</w:t>
      </w:r>
      <w:r>
        <w:rPr>
          <w:rFonts w:eastAsia="仿宋" w:cs="Times New Roman"/>
          <w:b/>
          <w:bCs/>
          <w:color w:val="000000" w:themeColor="text1"/>
          <w:sz w:val="32"/>
          <w:szCs w:val="32"/>
          <w14:textFill>
            <w14:solidFill>
              <w14:schemeClr w14:val="tx1"/>
            </w14:solidFill>
          </w14:textFill>
        </w:rPr>
        <w:t>科技支撑</w:t>
      </w:r>
      <w:bookmarkEnd w:id="97"/>
      <w:bookmarkEnd w:id="98"/>
      <w:bookmarkEnd w:id="99"/>
      <w:bookmarkEnd w:id="100"/>
      <w:bookmarkEnd w:id="101"/>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提高科学保护修复水平</w:t>
      </w:r>
      <w:r>
        <w:rPr>
          <w:rFonts w:hint="eastAsia" w:ascii="仿宋" w:hAnsi="仿宋" w:eastAsia="仿宋" w:cs="Times New Roman"/>
          <w:color w:val="000000" w:themeColor="text1"/>
          <w:sz w:val="32"/>
          <w:szCs w:val="32"/>
          <w14:textFill>
            <w14:solidFill>
              <w14:schemeClr w14:val="tx1"/>
            </w14:solidFill>
          </w14:textFill>
        </w:rPr>
        <w:t>，推动科学技术与生态修复紧密结合，用科学的方法指导生态保护修复规划、建设、监管、评估等各环节</w:t>
      </w:r>
      <w:r>
        <w:rPr>
          <w:rFonts w:ascii="仿宋" w:hAnsi="仿宋" w:eastAsia="仿宋" w:cs="Times New Roman"/>
          <w:color w:val="000000" w:themeColor="text1"/>
          <w:sz w:val="32"/>
          <w:szCs w:val="32"/>
          <w14:textFill>
            <w14:solidFill>
              <w14:schemeClr w14:val="tx1"/>
            </w14:solidFill>
          </w14:textFill>
        </w:rPr>
        <w:t>工作</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加强信息化建设</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做好规划成果的信息化管理，纳入国土空间规划“一张图”管理，实现与相关部门的数据共享</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强化国土空间规划管控，建立完善的生态保护修复监测监管系统，实现生态保护修复活动全程动态监管。</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z w:val="32"/>
          <w:szCs w:val="32"/>
          <w:shd w:val="clear" w:color="auto" w:fill="FFFFFF"/>
          <w14:textFill>
            <w14:solidFill>
              <w14:schemeClr w14:val="tx1"/>
            </w14:solidFill>
          </w14:textFill>
        </w:rPr>
      </w:pPr>
      <w:bookmarkStart w:id="102" w:name="_Toc119582440"/>
      <w:r>
        <w:rPr>
          <w:rFonts w:hint="eastAsia" w:eastAsia="仿宋" w:cs="Times New Roman"/>
          <w:b/>
          <w:bCs/>
          <w:color w:val="000000" w:themeColor="text1"/>
          <w:sz w:val="32"/>
          <w:szCs w:val="32"/>
          <w14:textFill>
            <w14:solidFill>
              <w14:schemeClr w14:val="tx1"/>
            </w14:solidFill>
          </w14:textFill>
        </w:rPr>
        <w:t>严格评估监管</w:t>
      </w:r>
      <w:bookmarkEnd w:id="102"/>
      <w:r>
        <w:rPr>
          <w:rFonts w:hint="eastAsia" w:eastAsia="仿宋" w:cs="Times New Roman"/>
          <w:b/>
          <w:bCs/>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建立监测、评估、管控、考核等全流程、全生命周期的适应性监管体系。探索开展生态修复工程生态环境质量评价方法，综合利用多种方法对各项生态修复工程的实施情况及综合效益进行监测和评估。建立和完善全覆盖、全要素的国土空间生态修复动态监测网络体系。</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z w:val="32"/>
          <w:szCs w:val="32"/>
          <w:shd w:val="clear" w:color="auto" w:fill="FFFFFF"/>
          <w14:textFill>
            <w14:solidFill>
              <w14:schemeClr w14:val="tx1"/>
            </w14:solidFill>
          </w14:textFill>
        </w:rPr>
      </w:pPr>
      <w:bookmarkStart w:id="103" w:name="_Toc119582441"/>
      <w:r>
        <w:rPr>
          <w:rFonts w:hint="eastAsia" w:eastAsia="仿宋" w:cs="Times New Roman"/>
          <w:b/>
          <w:bCs/>
          <w:color w:val="000000" w:themeColor="text1"/>
          <w:sz w:val="32"/>
          <w:szCs w:val="32"/>
          <w14:textFill>
            <w14:solidFill>
              <w14:schemeClr w14:val="tx1"/>
            </w14:solidFill>
          </w14:textFill>
        </w:rPr>
        <w:t>生态需水保障</w:t>
      </w:r>
      <w:bookmarkEnd w:id="103"/>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积极探索生态保护和修复的生态用水和生态补水保障措施。探索生态需水和农业灌溉用水间矛盾问题的协调方案，建立生态需水保障的用水补偿机制，为提出适宜的生态需水保护目标提供科学依据。</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color w:val="000000" w:themeColor="text1"/>
          <w:sz w:val="32"/>
          <w:szCs w:val="32"/>
          <w:shd w:val="clear" w:color="auto" w:fill="FFFFFF"/>
          <w14:textFill>
            <w14:solidFill>
              <w14:schemeClr w14:val="tx1"/>
            </w14:solidFill>
          </w14:textFill>
        </w:rPr>
      </w:pPr>
      <w:bookmarkStart w:id="104" w:name="_Toc67300167"/>
      <w:bookmarkStart w:id="105" w:name="_Toc85576317"/>
      <w:bookmarkStart w:id="106" w:name="_Toc119582442"/>
      <w:bookmarkStart w:id="107" w:name="_Toc77863882"/>
      <w:bookmarkStart w:id="108" w:name="_Toc77863925"/>
      <w:r>
        <w:rPr>
          <w:rFonts w:eastAsia="仿宋" w:cs="Times New Roman"/>
          <w:b/>
          <w:bCs/>
          <w:color w:val="000000" w:themeColor="text1"/>
          <w:sz w:val="32"/>
          <w:szCs w:val="32"/>
          <w14:textFill>
            <w14:solidFill>
              <w14:schemeClr w14:val="tx1"/>
            </w14:solidFill>
          </w14:textFill>
        </w:rPr>
        <w:t>鼓励公众参与</w:t>
      </w:r>
      <w:bookmarkEnd w:id="104"/>
      <w:bookmarkEnd w:id="105"/>
      <w:bookmarkEnd w:id="106"/>
      <w:bookmarkEnd w:id="107"/>
      <w:bookmarkEnd w:id="108"/>
      <w:r>
        <w:rPr>
          <w:rFonts w:hint="eastAsia" w:eastAsia="仿宋" w:cs="Times New Roman"/>
          <w:b/>
          <w:bCs/>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大力学习宣传习近平生态文明思想，加强</w:t>
      </w:r>
      <w:r>
        <w:rPr>
          <w:rFonts w:hint="eastAsia" w:ascii="仿宋" w:hAnsi="仿宋" w:eastAsia="仿宋" w:cs="Times New Roman"/>
          <w:color w:val="000000" w:themeColor="text1"/>
          <w:sz w:val="32"/>
          <w:szCs w:val="32"/>
          <w14:textFill>
            <w14:solidFill>
              <w14:schemeClr w14:val="tx1"/>
            </w14:solidFill>
          </w14:textFill>
        </w:rPr>
        <w:t>生态文明建设</w:t>
      </w:r>
      <w:r>
        <w:rPr>
          <w:rFonts w:ascii="仿宋" w:hAnsi="仿宋" w:eastAsia="仿宋" w:cs="Times New Roman"/>
          <w:color w:val="000000" w:themeColor="text1"/>
          <w:sz w:val="32"/>
          <w:szCs w:val="32"/>
          <w14:textFill>
            <w14:solidFill>
              <w14:schemeClr w14:val="tx1"/>
            </w14:solidFill>
          </w14:textFill>
        </w:rPr>
        <w:t>宣传和生态保护法治教育。将国家公园、自然保护区、各类自然公园、科技馆等作为普及生态保护知识的重要阵地。各部门充分发挥政府网站、传统媒体和新媒体的作用，开展形式多样的生态主题宣传，普及生态文化，倡导绿色低碳、文明健康的生活方式，形成崇尚生态文明、推进生态文明建设的良好氛围。</w:t>
      </w:r>
      <w:r>
        <w:rPr>
          <w:rFonts w:hint="eastAsia" w:ascii="仿宋" w:hAnsi="仿宋" w:eastAsia="仿宋" w:cs="Times New Roman"/>
          <w:color w:val="000000" w:themeColor="text1"/>
          <w:sz w:val="32"/>
          <w:szCs w:val="32"/>
          <w14:textFill>
            <w14:solidFill>
              <w14:schemeClr w14:val="tx1"/>
            </w14:solidFill>
          </w14:textFill>
        </w:rPr>
        <w:t>完善</w:t>
      </w:r>
      <w:r>
        <w:rPr>
          <w:rFonts w:ascii="仿宋" w:hAnsi="仿宋" w:eastAsia="仿宋" w:cs="Times New Roman"/>
          <w:color w:val="000000" w:themeColor="text1"/>
          <w:sz w:val="32"/>
          <w:szCs w:val="32"/>
          <w14:textFill>
            <w14:solidFill>
              <w14:schemeClr w14:val="tx1"/>
            </w14:solidFill>
          </w14:textFill>
        </w:rPr>
        <w:t>公众参与</w:t>
      </w:r>
      <w:r>
        <w:rPr>
          <w:rFonts w:hint="eastAsia" w:ascii="仿宋" w:hAnsi="仿宋" w:eastAsia="仿宋" w:cs="Times New Roman"/>
          <w:color w:val="000000" w:themeColor="text1"/>
          <w:sz w:val="32"/>
          <w:szCs w:val="32"/>
          <w14:textFill>
            <w14:solidFill>
              <w14:schemeClr w14:val="tx1"/>
            </w14:solidFill>
          </w14:textFill>
        </w:rPr>
        <w:t>机制，</w:t>
      </w:r>
      <w:r>
        <w:rPr>
          <w:rFonts w:ascii="仿宋" w:hAnsi="仿宋" w:eastAsia="仿宋" w:cs="Times New Roman"/>
          <w:color w:val="000000" w:themeColor="text1"/>
          <w:sz w:val="32"/>
          <w:szCs w:val="32"/>
          <w14:textFill>
            <w14:solidFill>
              <w14:schemeClr w14:val="tx1"/>
            </w14:solidFill>
          </w14:textFill>
        </w:rPr>
        <w:t>创新公众参与生态保护修复模式，推动生态工程全民共建、生态产品全民共享</w:t>
      </w:r>
      <w:r>
        <w:rPr>
          <w:rFonts w:hint="eastAsia" w:ascii="仿宋" w:hAnsi="仿宋" w:eastAsia="仿宋" w:cs="Times New Roman"/>
          <w:color w:val="000000" w:themeColor="text1"/>
          <w:sz w:val="32"/>
          <w:szCs w:val="32"/>
          <w14:textFill>
            <w14:solidFill>
              <w14:schemeClr w14:val="tx1"/>
            </w14:solidFill>
          </w14:textFill>
        </w:rPr>
        <w:t>，丰富</w:t>
      </w:r>
      <w:r>
        <w:rPr>
          <w:rFonts w:ascii="仿宋" w:hAnsi="仿宋" w:eastAsia="仿宋" w:cs="Times New Roman"/>
          <w:color w:val="000000" w:themeColor="text1"/>
          <w:sz w:val="32"/>
          <w:szCs w:val="32"/>
          <w14:textFill>
            <w14:solidFill>
              <w14:schemeClr w14:val="tx1"/>
            </w14:solidFill>
          </w14:textFill>
        </w:rPr>
        <w:t>公众参与方式，完善公众参与程序。</w:t>
      </w:r>
    </w:p>
    <w:p>
      <w:pPr>
        <w:spacing w:line="540" w:lineRule="exact"/>
        <w:rPr>
          <w:rFonts w:ascii="仿宋" w:hAnsi="仿宋" w:eastAsia="仿宋" w:cs="Times New Roman"/>
          <w:color w:val="000000" w:themeColor="text1"/>
          <w:sz w:val="32"/>
          <w:szCs w:val="32"/>
          <w14:textFill>
            <w14:solidFill>
              <w14:schemeClr w14:val="tx1"/>
            </w14:solidFill>
          </w14:textFill>
        </w:rPr>
      </w:pPr>
    </w:p>
    <w:p>
      <w:pPr>
        <w:widowControl/>
        <w:jc w:val="left"/>
        <w:rPr>
          <w:rFonts w:ascii="仿宋_GB2312" w:hAnsi="等线"/>
          <w:color w:val="000000" w:themeColor="text1"/>
          <w14:textFill>
            <w14:solidFill>
              <w14:schemeClr w14:val="tx1"/>
            </w14:solidFill>
          </w14:textFill>
        </w:rPr>
      </w:pPr>
    </w:p>
    <w:sectPr>
      <w:headerReference r:id="rId10" w:type="default"/>
      <w:footerReference r:id="rId12" w:type="default"/>
      <w:headerReference r:id="rId11" w:type="even"/>
      <w:footerReference r:id="rId13" w:type="even"/>
      <w:pgSz w:w="11906" w:h="16838"/>
      <w:pgMar w:top="1418" w:right="1474" w:bottom="1418" w:left="1474"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7"/>
        <w:rFonts w:ascii="仿宋" w:hAnsi="仿宋" w:eastAsia="仿宋"/>
        <w:sz w:val="24"/>
        <w:szCs w:val="24"/>
      </w:rPr>
    </w:pPr>
    <w:r>
      <w:rPr>
        <w:rStyle w:val="27"/>
        <w:rFonts w:ascii="仿宋" w:hAnsi="仿宋" w:eastAsia="仿宋"/>
        <w:sz w:val="24"/>
        <w:szCs w:val="24"/>
      </w:rPr>
      <w:fldChar w:fldCharType="begin"/>
    </w:r>
    <w:r>
      <w:rPr>
        <w:rStyle w:val="27"/>
        <w:rFonts w:ascii="仿宋" w:hAnsi="仿宋" w:eastAsia="仿宋"/>
        <w:sz w:val="24"/>
        <w:szCs w:val="24"/>
      </w:rPr>
      <w:instrText xml:space="preserve">PAGE  </w:instrText>
    </w:r>
    <w:r>
      <w:rPr>
        <w:rStyle w:val="27"/>
        <w:rFonts w:ascii="仿宋" w:hAnsi="仿宋" w:eastAsia="仿宋"/>
        <w:sz w:val="24"/>
        <w:szCs w:val="24"/>
      </w:rPr>
      <w:fldChar w:fldCharType="separate"/>
    </w:r>
    <w:r>
      <w:rPr>
        <w:rStyle w:val="27"/>
        <w:rFonts w:ascii="仿宋" w:hAnsi="仿宋" w:eastAsia="仿宋"/>
        <w:sz w:val="24"/>
        <w:szCs w:val="24"/>
      </w:rPr>
      <w:t>2</w:t>
    </w:r>
    <w:r>
      <w:rPr>
        <w:rStyle w:val="27"/>
        <w:rFonts w:ascii="仿宋" w:hAnsi="仿宋" w:eastAsia="仿宋"/>
        <w:sz w:val="24"/>
        <w:szCs w:val="24"/>
      </w:rPr>
      <w:fldChar w:fldCharType="end"/>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Fonts w:ascii="仿宋" w:hAnsi="仿宋" w:eastAsia="仿宋"/>
        <w:sz w:val="24"/>
        <w:szCs w:val="24"/>
      </w:rPr>
    </w:pPr>
    <w:r>
      <w:rPr>
        <w:rStyle w:val="27"/>
        <w:rFonts w:ascii="仿宋" w:hAnsi="仿宋" w:eastAsia="仿宋"/>
        <w:sz w:val="24"/>
        <w:szCs w:val="24"/>
      </w:rPr>
      <w:fldChar w:fldCharType="begin"/>
    </w:r>
    <w:r>
      <w:rPr>
        <w:rStyle w:val="27"/>
        <w:rFonts w:ascii="仿宋" w:hAnsi="仿宋" w:eastAsia="仿宋"/>
        <w:sz w:val="24"/>
        <w:szCs w:val="24"/>
      </w:rPr>
      <w:instrText xml:space="preserve">PAGE  </w:instrText>
    </w:r>
    <w:r>
      <w:rPr>
        <w:rStyle w:val="27"/>
        <w:rFonts w:ascii="仿宋" w:hAnsi="仿宋" w:eastAsia="仿宋"/>
        <w:sz w:val="24"/>
        <w:szCs w:val="24"/>
      </w:rPr>
      <w:fldChar w:fldCharType="separate"/>
    </w:r>
    <w:r>
      <w:rPr>
        <w:rStyle w:val="27"/>
        <w:rFonts w:ascii="仿宋" w:hAnsi="仿宋" w:eastAsia="仿宋"/>
        <w:sz w:val="24"/>
        <w:szCs w:val="24"/>
      </w:rPr>
      <w:t>- 1 -</w:t>
    </w:r>
    <w:r>
      <w:rPr>
        <w:rStyle w:val="27"/>
        <w:rFonts w:ascii="仿宋" w:hAnsi="仿宋" w:eastAsia="仿宋"/>
        <w:sz w:val="24"/>
        <w:szCs w:val="24"/>
      </w:rPr>
      <w:fldChar w:fldCharType="end"/>
    </w:r>
  </w:p>
  <w:p>
    <w:pPr>
      <w:pStyle w:val="14"/>
      <w:ind w:right="360" w:firstLine="360"/>
      <w:jc w:val="cente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Fonts w:ascii="仿宋" w:hAnsi="仿宋" w:eastAsia="仿宋"/>
        <w:sz w:val="24"/>
        <w:szCs w:val="24"/>
      </w:rPr>
    </w:pPr>
    <w:r>
      <w:rPr>
        <w:rStyle w:val="27"/>
        <w:rFonts w:ascii="仿宋" w:hAnsi="仿宋" w:eastAsia="仿宋"/>
        <w:sz w:val="24"/>
        <w:szCs w:val="24"/>
      </w:rPr>
      <w:fldChar w:fldCharType="begin"/>
    </w:r>
    <w:r>
      <w:rPr>
        <w:rStyle w:val="27"/>
        <w:rFonts w:ascii="仿宋" w:hAnsi="仿宋" w:eastAsia="仿宋"/>
        <w:sz w:val="24"/>
        <w:szCs w:val="24"/>
      </w:rPr>
      <w:instrText xml:space="preserve">PAGE  </w:instrText>
    </w:r>
    <w:r>
      <w:rPr>
        <w:rStyle w:val="27"/>
        <w:rFonts w:ascii="仿宋" w:hAnsi="仿宋" w:eastAsia="仿宋"/>
        <w:sz w:val="24"/>
        <w:szCs w:val="24"/>
      </w:rPr>
      <w:fldChar w:fldCharType="separate"/>
    </w:r>
    <w:r>
      <w:rPr>
        <w:rStyle w:val="27"/>
        <w:rFonts w:ascii="仿宋" w:hAnsi="仿宋" w:eastAsia="仿宋"/>
        <w:sz w:val="24"/>
        <w:szCs w:val="24"/>
      </w:rPr>
      <w:t>- 2 -</w:t>
    </w:r>
    <w:r>
      <w:rPr>
        <w:rStyle w:val="27"/>
        <w:rFonts w:ascii="仿宋" w:hAnsi="仿宋" w:eastAsia="仿宋"/>
        <w:sz w:val="24"/>
        <w:szCs w:val="24"/>
      </w:rPr>
      <w:fldChar w:fldCharType="end"/>
    </w:r>
  </w:p>
  <w:p>
    <w:pPr>
      <w:pStyle w:val="1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Fonts w:ascii="仿宋" w:hAnsi="仿宋" w:eastAsia="仿宋"/>
        <w:sz w:val="24"/>
        <w:szCs w:val="24"/>
      </w:rPr>
    </w:pPr>
    <w:r>
      <w:rPr>
        <w:rStyle w:val="27"/>
        <w:rFonts w:ascii="仿宋" w:hAnsi="仿宋" w:eastAsia="仿宋"/>
        <w:sz w:val="24"/>
        <w:szCs w:val="24"/>
      </w:rPr>
      <w:fldChar w:fldCharType="begin"/>
    </w:r>
    <w:r>
      <w:rPr>
        <w:rStyle w:val="27"/>
        <w:rFonts w:ascii="仿宋" w:hAnsi="仿宋" w:eastAsia="仿宋"/>
        <w:sz w:val="24"/>
        <w:szCs w:val="24"/>
      </w:rPr>
      <w:instrText xml:space="preserve">PAGE  </w:instrText>
    </w:r>
    <w:r>
      <w:rPr>
        <w:rStyle w:val="27"/>
        <w:rFonts w:ascii="仿宋" w:hAnsi="仿宋" w:eastAsia="仿宋"/>
        <w:sz w:val="24"/>
        <w:szCs w:val="24"/>
      </w:rPr>
      <w:fldChar w:fldCharType="separate"/>
    </w:r>
    <w:r>
      <w:rPr>
        <w:rStyle w:val="27"/>
        <w:rFonts w:ascii="仿宋" w:hAnsi="仿宋" w:eastAsia="仿宋"/>
        <w:sz w:val="24"/>
        <w:szCs w:val="24"/>
      </w:rPr>
      <w:t>- 3 -</w:t>
    </w:r>
    <w:r>
      <w:rPr>
        <w:rStyle w:val="27"/>
        <w:rFonts w:ascii="仿宋" w:hAnsi="仿宋" w:eastAsia="仿宋"/>
        <w:sz w:val="24"/>
        <w:szCs w:val="24"/>
      </w:rPr>
      <w:fldChar w:fldCharType="end"/>
    </w:r>
  </w:p>
  <w:p>
    <w:pPr>
      <w:pStyle w:val="14"/>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Fonts w:ascii="仿宋" w:hAnsi="仿宋" w:eastAsia="仿宋"/>
        <w:sz w:val="24"/>
        <w:szCs w:val="24"/>
      </w:rPr>
    </w:pPr>
    <w:r>
      <w:rPr>
        <w:rStyle w:val="27"/>
        <w:rFonts w:ascii="仿宋" w:hAnsi="仿宋" w:eastAsia="仿宋"/>
        <w:sz w:val="24"/>
        <w:szCs w:val="24"/>
      </w:rPr>
      <w:fldChar w:fldCharType="begin"/>
    </w:r>
    <w:r>
      <w:rPr>
        <w:rStyle w:val="27"/>
        <w:rFonts w:ascii="仿宋" w:hAnsi="仿宋" w:eastAsia="仿宋"/>
        <w:sz w:val="24"/>
        <w:szCs w:val="24"/>
      </w:rPr>
      <w:instrText xml:space="preserve">PAGE  </w:instrText>
    </w:r>
    <w:r>
      <w:rPr>
        <w:rStyle w:val="27"/>
        <w:rFonts w:ascii="仿宋" w:hAnsi="仿宋" w:eastAsia="仿宋"/>
        <w:sz w:val="24"/>
        <w:szCs w:val="24"/>
      </w:rPr>
      <w:fldChar w:fldCharType="separate"/>
    </w:r>
    <w:r>
      <w:rPr>
        <w:rStyle w:val="27"/>
        <w:rFonts w:ascii="仿宋" w:hAnsi="仿宋" w:eastAsia="仿宋"/>
        <w:sz w:val="24"/>
        <w:szCs w:val="24"/>
      </w:rPr>
      <w:t>- 2 -</w:t>
    </w:r>
    <w:r>
      <w:rPr>
        <w:rStyle w:val="27"/>
        <w:rFonts w:ascii="仿宋" w:hAnsi="仿宋" w:eastAsia="仿宋"/>
        <w:sz w:val="24"/>
        <w:szCs w:val="24"/>
      </w:rP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pPr>
    <w:r>
      <w:rPr>
        <w:rFonts w:hint="eastAsia" w:ascii="仿宋" w:hAnsi="仿宋" w:eastAsia="仿宋"/>
        <w:b/>
        <w:sz w:val="24"/>
        <w:szCs w:val="24"/>
      </w:rPr>
      <w:t>吐鲁番市国土空间生态修复规划（2021-2035年）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仿宋" w:hAnsi="仿宋" w:eastAsia="仿宋"/>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rFonts w:ascii="仿宋" w:hAnsi="仿宋" w:eastAsia="仿宋"/>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34"/>
    <w:rsid w:val="00000163"/>
    <w:rsid w:val="00011700"/>
    <w:rsid w:val="00012C3B"/>
    <w:rsid w:val="00013094"/>
    <w:rsid w:val="00016A3B"/>
    <w:rsid w:val="00030AA2"/>
    <w:rsid w:val="00031097"/>
    <w:rsid w:val="00032BCD"/>
    <w:rsid w:val="0004257F"/>
    <w:rsid w:val="00042975"/>
    <w:rsid w:val="000437EF"/>
    <w:rsid w:val="0004485A"/>
    <w:rsid w:val="0004551B"/>
    <w:rsid w:val="0005049F"/>
    <w:rsid w:val="00052721"/>
    <w:rsid w:val="00054941"/>
    <w:rsid w:val="00055453"/>
    <w:rsid w:val="0005566C"/>
    <w:rsid w:val="00060E03"/>
    <w:rsid w:val="00062EB6"/>
    <w:rsid w:val="00067C99"/>
    <w:rsid w:val="0007106A"/>
    <w:rsid w:val="00072309"/>
    <w:rsid w:val="00074547"/>
    <w:rsid w:val="000806E2"/>
    <w:rsid w:val="00082FDF"/>
    <w:rsid w:val="00084525"/>
    <w:rsid w:val="00094962"/>
    <w:rsid w:val="000A1FF5"/>
    <w:rsid w:val="000A2CA6"/>
    <w:rsid w:val="000A4ED1"/>
    <w:rsid w:val="000A53FD"/>
    <w:rsid w:val="000A6F6A"/>
    <w:rsid w:val="000B2BB7"/>
    <w:rsid w:val="000B3D87"/>
    <w:rsid w:val="000B5634"/>
    <w:rsid w:val="000C144B"/>
    <w:rsid w:val="000C643D"/>
    <w:rsid w:val="000D41D2"/>
    <w:rsid w:val="000D4664"/>
    <w:rsid w:val="000D6767"/>
    <w:rsid w:val="000E360A"/>
    <w:rsid w:val="000E42C8"/>
    <w:rsid w:val="000F71A3"/>
    <w:rsid w:val="00101D4C"/>
    <w:rsid w:val="001071EA"/>
    <w:rsid w:val="0010760C"/>
    <w:rsid w:val="00125E60"/>
    <w:rsid w:val="001440B4"/>
    <w:rsid w:val="00154628"/>
    <w:rsid w:val="00157CD9"/>
    <w:rsid w:val="001609B0"/>
    <w:rsid w:val="00162923"/>
    <w:rsid w:val="00163A1C"/>
    <w:rsid w:val="00164903"/>
    <w:rsid w:val="001659E4"/>
    <w:rsid w:val="00167149"/>
    <w:rsid w:val="00175C8F"/>
    <w:rsid w:val="00180353"/>
    <w:rsid w:val="001812B0"/>
    <w:rsid w:val="00181EA0"/>
    <w:rsid w:val="00182A3F"/>
    <w:rsid w:val="00186147"/>
    <w:rsid w:val="0018791A"/>
    <w:rsid w:val="00191725"/>
    <w:rsid w:val="001A6311"/>
    <w:rsid w:val="001B322A"/>
    <w:rsid w:val="001B3C2B"/>
    <w:rsid w:val="001D4225"/>
    <w:rsid w:val="001D57F4"/>
    <w:rsid w:val="001E33BA"/>
    <w:rsid w:val="001E6DA2"/>
    <w:rsid w:val="001F4194"/>
    <w:rsid w:val="001F5D4E"/>
    <w:rsid w:val="001F71AE"/>
    <w:rsid w:val="002026D0"/>
    <w:rsid w:val="00203A8E"/>
    <w:rsid w:val="002047BE"/>
    <w:rsid w:val="00206CB1"/>
    <w:rsid w:val="00210D02"/>
    <w:rsid w:val="00213D64"/>
    <w:rsid w:val="002169C3"/>
    <w:rsid w:val="00226E46"/>
    <w:rsid w:val="00231A17"/>
    <w:rsid w:val="00242AD8"/>
    <w:rsid w:val="00244C58"/>
    <w:rsid w:val="0025111A"/>
    <w:rsid w:val="002514AB"/>
    <w:rsid w:val="002572D6"/>
    <w:rsid w:val="00261FD1"/>
    <w:rsid w:val="00262DE5"/>
    <w:rsid w:val="00262ECE"/>
    <w:rsid w:val="002634CA"/>
    <w:rsid w:val="002776E7"/>
    <w:rsid w:val="00281657"/>
    <w:rsid w:val="00284CB1"/>
    <w:rsid w:val="00284E46"/>
    <w:rsid w:val="002879B6"/>
    <w:rsid w:val="002879F8"/>
    <w:rsid w:val="002961FA"/>
    <w:rsid w:val="0029685A"/>
    <w:rsid w:val="002A2EAD"/>
    <w:rsid w:val="002A5C22"/>
    <w:rsid w:val="002B2F8F"/>
    <w:rsid w:val="002B3900"/>
    <w:rsid w:val="002B4203"/>
    <w:rsid w:val="002B5767"/>
    <w:rsid w:val="002C361F"/>
    <w:rsid w:val="002D0F4A"/>
    <w:rsid w:val="002E4AE8"/>
    <w:rsid w:val="002F5C40"/>
    <w:rsid w:val="00300748"/>
    <w:rsid w:val="003008F7"/>
    <w:rsid w:val="00310CB6"/>
    <w:rsid w:val="00311E46"/>
    <w:rsid w:val="00313BC8"/>
    <w:rsid w:val="00315688"/>
    <w:rsid w:val="00324355"/>
    <w:rsid w:val="00326ED1"/>
    <w:rsid w:val="00327015"/>
    <w:rsid w:val="00334E1F"/>
    <w:rsid w:val="0033796D"/>
    <w:rsid w:val="00350751"/>
    <w:rsid w:val="00350FC4"/>
    <w:rsid w:val="00352150"/>
    <w:rsid w:val="00360F63"/>
    <w:rsid w:val="003611A5"/>
    <w:rsid w:val="00363FF3"/>
    <w:rsid w:val="00364AFC"/>
    <w:rsid w:val="003662CC"/>
    <w:rsid w:val="00367A3C"/>
    <w:rsid w:val="00367BDC"/>
    <w:rsid w:val="003755B4"/>
    <w:rsid w:val="00376D25"/>
    <w:rsid w:val="00382221"/>
    <w:rsid w:val="00382329"/>
    <w:rsid w:val="003834C8"/>
    <w:rsid w:val="003842BC"/>
    <w:rsid w:val="00384F94"/>
    <w:rsid w:val="00385B05"/>
    <w:rsid w:val="0039258B"/>
    <w:rsid w:val="00396F47"/>
    <w:rsid w:val="003A1979"/>
    <w:rsid w:val="003A53BC"/>
    <w:rsid w:val="003B2BCC"/>
    <w:rsid w:val="003B588C"/>
    <w:rsid w:val="003B58E3"/>
    <w:rsid w:val="003B7457"/>
    <w:rsid w:val="003B79E4"/>
    <w:rsid w:val="003C18AA"/>
    <w:rsid w:val="003C349A"/>
    <w:rsid w:val="003C53C4"/>
    <w:rsid w:val="003D0E0B"/>
    <w:rsid w:val="003D29DC"/>
    <w:rsid w:val="003E20D8"/>
    <w:rsid w:val="003E451F"/>
    <w:rsid w:val="003F5C90"/>
    <w:rsid w:val="0040415F"/>
    <w:rsid w:val="004052DC"/>
    <w:rsid w:val="004074A8"/>
    <w:rsid w:val="00411FBF"/>
    <w:rsid w:val="004140B3"/>
    <w:rsid w:val="004155B6"/>
    <w:rsid w:val="00422F0A"/>
    <w:rsid w:val="00436B87"/>
    <w:rsid w:val="00444A9D"/>
    <w:rsid w:val="004516C2"/>
    <w:rsid w:val="004542ED"/>
    <w:rsid w:val="00460812"/>
    <w:rsid w:val="00460920"/>
    <w:rsid w:val="00465512"/>
    <w:rsid w:val="004675E5"/>
    <w:rsid w:val="00472CDA"/>
    <w:rsid w:val="00473E21"/>
    <w:rsid w:val="00474B5B"/>
    <w:rsid w:val="00474E4D"/>
    <w:rsid w:val="00480643"/>
    <w:rsid w:val="00481182"/>
    <w:rsid w:val="0048418E"/>
    <w:rsid w:val="00484BDD"/>
    <w:rsid w:val="00484C01"/>
    <w:rsid w:val="004913C0"/>
    <w:rsid w:val="00492EA4"/>
    <w:rsid w:val="004944DC"/>
    <w:rsid w:val="004A0BA5"/>
    <w:rsid w:val="004A4EAF"/>
    <w:rsid w:val="004A563B"/>
    <w:rsid w:val="004B0902"/>
    <w:rsid w:val="004B7E8C"/>
    <w:rsid w:val="004C4806"/>
    <w:rsid w:val="004C4DB5"/>
    <w:rsid w:val="004D070E"/>
    <w:rsid w:val="004D5097"/>
    <w:rsid w:val="004E01F2"/>
    <w:rsid w:val="004E2180"/>
    <w:rsid w:val="004E4FBB"/>
    <w:rsid w:val="004E5BAE"/>
    <w:rsid w:val="004F38D6"/>
    <w:rsid w:val="004F3D65"/>
    <w:rsid w:val="00502FE2"/>
    <w:rsid w:val="00503412"/>
    <w:rsid w:val="0050363A"/>
    <w:rsid w:val="00506464"/>
    <w:rsid w:val="005104F1"/>
    <w:rsid w:val="00512870"/>
    <w:rsid w:val="00514E24"/>
    <w:rsid w:val="00535A8B"/>
    <w:rsid w:val="005364A8"/>
    <w:rsid w:val="0055549F"/>
    <w:rsid w:val="00557534"/>
    <w:rsid w:val="005678C2"/>
    <w:rsid w:val="00567E07"/>
    <w:rsid w:val="005712F8"/>
    <w:rsid w:val="00574335"/>
    <w:rsid w:val="00576AA3"/>
    <w:rsid w:val="00590CA7"/>
    <w:rsid w:val="00591E34"/>
    <w:rsid w:val="00592FB5"/>
    <w:rsid w:val="005933A5"/>
    <w:rsid w:val="005944FD"/>
    <w:rsid w:val="00595F85"/>
    <w:rsid w:val="00597613"/>
    <w:rsid w:val="005A100E"/>
    <w:rsid w:val="005A727C"/>
    <w:rsid w:val="005B080D"/>
    <w:rsid w:val="005B4201"/>
    <w:rsid w:val="005B5521"/>
    <w:rsid w:val="005B5E41"/>
    <w:rsid w:val="005B636D"/>
    <w:rsid w:val="005C1DF8"/>
    <w:rsid w:val="005C6C8F"/>
    <w:rsid w:val="005C7459"/>
    <w:rsid w:val="005D0810"/>
    <w:rsid w:val="005D2FA1"/>
    <w:rsid w:val="005E6E58"/>
    <w:rsid w:val="005E760D"/>
    <w:rsid w:val="005F141F"/>
    <w:rsid w:val="005F4770"/>
    <w:rsid w:val="005F7ED8"/>
    <w:rsid w:val="006050FD"/>
    <w:rsid w:val="00606107"/>
    <w:rsid w:val="00606266"/>
    <w:rsid w:val="00611BE9"/>
    <w:rsid w:val="00613604"/>
    <w:rsid w:val="00616259"/>
    <w:rsid w:val="00621184"/>
    <w:rsid w:val="006306DA"/>
    <w:rsid w:val="00631921"/>
    <w:rsid w:val="00632A00"/>
    <w:rsid w:val="00636D06"/>
    <w:rsid w:val="00637143"/>
    <w:rsid w:val="0064334B"/>
    <w:rsid w:val="00650BA7"/>
    <w:rsid w:val="006521ED"/>
    <w:rsid w:val="006541C0"/>
    <w:rsid w:val="00654835"/>
    <w:rsid w:val="00657917"/>
    <w:rsid w:val="006601ED"/>
    <w:rsid w:val="00663E62"/>
    <w:rsid w:val="00665582"/>
    <w:rsid w:val="00670D01"/>
    <w:rsid w:val="006829B2"/>
    <w:rsid w:val="00691E29"/>
    <w:rsid w:val="006923EB"/>
    <w:rsid w:val="00692CA5"/>
    <w:rsid w:val="006A27E5"/>
    <w:rsid w:val="006A2811"/>
    <w:rsid w:val="006A596C"/>
    <w:rsid w:val="006A7A0E"/>
    <w:rsid w:val="006B1B27"/>
    <w:rsid w:val="006C091A"/>
    <w:rsid w:val="006C3419"/>
    <w:rsid w:val="006D6CC8"/>
    <w:rsid w:val="006D789F"/>
    <w:rsid w:val="006F7014"/>
    <w:rsid w:val="007039BC"/>
    <w:rsid w:val="00704FA4"/>
    <w:rsid w:val="007127A4"/>
    <w:rsid w:val="0071386B"/>
    <w:rsid w:val="00713BB4"/>
    <w:rsid w:val="0071734E"/>
    <w:rsid w:val="0071750B"/>
    <w:rsid w:val="0072128E"/>
    <w:rsid w:val="007257C9"/>
    <w:rsid w:val="00725A34"/>
    <w:rsid w:val="00726DC4"/>
    <w:rsid w:val="0072759E"/>
    <w:rsid w:val="00732453"/>
    <w:rsid w:val="0073419F"/>
    <w:rsid w:val="007370F8"/>
    <w:rsid w:val="00740F84"/>
    <w:rsid w:val="007422DC"/>
    <w:rsid w:val="00743D81"/>
    <w:rsid w:val="00744027"/>
    <w:rsid w:val="007472EC"/>
    <w:rsid w:val="00751B1E"/>
    <w:rsid w:val="00752A7E"/>
    <w:rsid w:val="00755E5C"/>
    <w:rsid w:val="00762378"/>
    <w:rsid w:val="00766931"/>
    <w:rsid w:val="007724F7"/>
    <w:rsid w:val="007738EF"/>
    <w:rsid w:val="00775394"/>
    <w:rsid w:val="00775ADC"/>
    <w:rsid w:val="0077653B"/>
    <w:rsid w:val="00777A34"/>
    <w:rsid w:val="0078159B"/>
    <w:rsid w:val="00781D4E"/>
    <w:rsid w:val="00783078"/>
    <w:rsid w:val="007863CC"/>
    <w:rsid w:val="00791F37"/>
    <w:rsid w:val="00792397"/>
    <w:rsid w:val="00793FB6"/>
    <w:rsid w:val="00795334"/>
    <w:rsid w:val="007967DF"/>
    <w:rsid w:val="007978F2"/>
    <w:rsid w:val="007A3669"/>
    <w:rsid w:val="007A5472"/>
    <w:rsid w:val="007A70DD"/>
    <w:rsid w:val="007B0D2F"/>
    <w:rsid w:val="007C61F9"/>
    <w:rsid w:val="007C702C"/>
    <w:rsid w:val="007D21B9"/>
    <w:rsid w:val="007D63B5"/>
    <w:rsid w:val="007D73C0"/>
    <w:rsid w:val="007E0DA4"/>
    <w:rsid w:val="007E38A3"/>
    <w:rsid w:val="00806BE8"/>
    <w:rsid w:val="00811C36"/>
    <w:rsid w:val="00812EF5"/>
    <w:rsid w:val="00816AEA"/>
    <w:rsid w:val="00817BE6"/>
    <w:rsid w:val="008254EC"/>
    <w:rsid w:val="008263CE"/>
    <w:rsid w:val="0083126B"/>
    <w:rsid w:val="00836EB0"/>
    <w:rsid w:val="00840C12"/>
    <w:rsid w:val="00844DA1"/>
    <w:rsid w:val="00850A96"/>
    <w:rsid w:val="008764C0"/>
    <w:rsid w:val="00877C3B"/>
    <w:rsid w:val="00883D0C"/>
    <w:rsid w:val="008867C8"/>
    <w:rsid w:val="00890F65"/>
    <w:rsid w:val="00891182"/>
    <w:rsid w:val="00891ADC"/>
    <w:rsid w:val="008920AE"/>
    <w:rsid w:val="00892498"/>
    <w:rsid w:val="008932B5"/>
    <w:rsid w:val="0089519C"/>
    <w:rsid w:val="0089794B"/>
    <w:rsid w:val="008A2EDF"/>
    <w:rsid w:val="008A77D5"/>
    <w:rsid w:val="008B5AF9"/>
    <w:rsid w:val="008B6CD5"/>
    <w:rsid w:val="008C371F"/>
    <w:rsid w:val="008C5313"/>
    <w:rsid w:val="008D4A86"/>
    <w:rsid w:val="008E0AE6"/>
    <w:rsid w:val="008F0017"/>
    <w:rsid w:val="008F154D"/>
    <w:rsid w:val="008F5488"/>
    <w:rsid w:val="008F6EB9"/>
    <w:rsid w:val="0090103C"/>
    <w:rsid w:val="00907D57"/>
    <w:rsid w:val="00911619"/>
    <w:rsid w:val="00915C9C"/>
    <w:rsid w:val="00925295"/>
    <w:rsid w:val="00925FF4"/>
    <w:rsid w:val="00927A7D"/>
    <w:rsid w:val="009359F8"/>
    <w:rsid w:val="009407B5"/>
    <w:rsid w:val="009418B2"/>
    <w:rsid w:val="00947029"/>
    <w:rsid w:val="00953EE0"/>
    <w:rsid w:val="009643FA"/>
    <w:rsid w:val="00966540"/>
    <w:rsid w:val="00972489"/>
    <w:rsid w:val="009733A8"/>
    <w:rsid w:val="009735A9"/>
    <w:rsid w:val="00976835"/>
    <w:rsid w:val="00983836"/>
    <w:rsid w:val="00984F85"/>
    <w:rsid w:val="00985B53"/>
    <w:rsid w:val="0099041A"/>
    <w:rsid w:val="0099506A"/>
    <w:rsid w:val="00995506"/>
    <w:rsid w:val="009974B7"/>
    <w:rsid w:val="009A25A9"/>
    <w:rsid w:val="009A74CC"/>
    <w:rsid w:val="009B6156"/>
    <w:rsid w:val="009B6A9A"/>
    <w:rsid w:val="009B6B99"/>
    <w:rsid w:val="009D389A"/>
    <w:rsid w:val="009D44BE"/>
    <w:rsid w:val="009E22FC"/>
    <w:rsid w:val="009E35A4"/>
    <w:rsid w:val="009E3D58"/>
    <w:rsid w:val="009E6E12"/>
    <w:rsid w:val="009F1E49"/>
    <w:rsid w:val="009F351D"/>
    <w:rsid w:val="00A0068A"/>
    <w:rsid w:val="00A00E57"/>
    <w:rsid w:val="00A02A56"/>
    <w:rsid w:val="00A1183C"/>
    <w:rsid w:val="00A1591D"/>
    <w:rsid w:val="00A222D2"/>
    <w:rsid w:val="00A22D1B"/>
    <w:rsid w:val="00A24824"/>
    <w:rsid w:val="00A2528C"/>
    <w:rsid w:val="00A27865"/>
    <w:rsid w:val="00A306D3"/>
    <w:rsid w:val="00A30F5A"/>
    <w:rsid w:val="00A31703"/>
    <w:rsid w:val="00A34C32"/>
    <w:rsid w:val="00A50F04"/>
    <w:rsid w:val="00A522E5"/>
    <w:rsid w:val="00A7314A"/>
    <w:rsid w:val="00A73B4E"/>
    <w:rsid w:val="00A87BEB"/>
    <w:rsid w:val="00A9207E"/>
    <w:rsid w:val="00A93913"/>
    <w:rsid w:val="00A9567C"/>
    <w:rsid w:val="00AA19EE"/>
    <w:rsid w:val="00AA5D8F"/>
    <w:rsid w:val="00AB7977"/>
    <w:rsid w:val="00AC2CCC"/>
    <w:rsid w:val="00AD2F76"/>
    <w:rsid w:val="00AD3DC8"/>
    <w:rsid w:val="00AF0A63"/>
    <w:rsid w:val="00AF2BFA"/>
    <w:rsid w:val="00AF3648"/>
    <w:rsid w:val="00B05FE8"/>
    <w:rsid w:val="00B11D05"/>
    <w:rsid w:val="00B16930"/>
    <w:rsid w:val="00B17921"/>
    <w:rsid w:val="00B20D07"/>
    <w:rsid w:val="00B22053"/>
    <w:rsid w:val="00B24451"/>
    <w:rsid w:val="00B24644"/>
    <w:rsid w:val="00B25845"/>
    <w:rsid w:val="00B36210"/>
    <w:rsid w:val="00B36953"/>
    <w:rsid w:val="00B36962"/>
    <w:rsid w:val="00B370EC"/>
    <w:rsid w:val="00B40036"/>
    <w:rsid w:val="00B4554F"/>
    <w:rsid w:val="00B46440"/>
    <w:rsid w:val="00B570E0"/>
    <w:rsid w:val="00B572E5"/>
    <w:rsid w:val="00B64AEA"/>
    <w:rsid w:val="00B701A8"/>
    <w:rsid w:val="00B72B95"/>
    <w:rsid w:val="00B72F00"/>
    <w:rsid w:val="00B73547"/>
    <w:rsid w:val="00B74879"/>
    <w:rsid w:val="00B753A5"/>
    <w:rsid w:val="00B75C89"/>
    <w:rsid w:val="00B8213F"/>
    <w:rsid w:val="00B862EF"/>
    <w:rsid w:val="00B87A21"/>
    <w:rsid w:val="00B90A8D"/>
    <w:rsid w:val="00B9156C"/>
    <w:rsid w:val="00B9181A"/>
    <w:rsid w:val="00B928B3"/>
    <w:rsid w:val="00B94CB3"/>
    <w:rsid w:val="00BA2AFA"/>
    <w:rsid w:val="00BA4283"/>
    <w:rsid w:val="00BA4F16"/>
    <w:rsid w:val="00BA7A12"/>
    <w:rsid w:val="00BB1347"/>
    <w:rsid w:val="00BB5349"/>
    <w:rsid w:val="00BC76BB"/>
    <w:rsid w:val="00BE4C69"/>
    <w:rsid w:val="00BE77A5"/>
    <w:rsid w:val="00BF0453"/>
    <w:rsid w:val="00BF0C1A"/>
    <w:rsid w:val="00BF34E4"/>
    <w:rsid w:val="00BF4F2B"/>
    <w:rsid w:val="00BF6353"/>
    <w:rsid w:val="00C00A70"/>
    <w:rsid w:val="00C14293"/>
    <w:rsid w:val="00C14801"/>
    <w:rsid w:val="00C16F06"/>
    <w:rsid w:val="00C20727"/>
    <w:rsid w:val="00C2353F"/>
    <w:rsid w:val="00C23AEC"/>
    <w:rsid w:val="00C251A6"/>
    <w:rsid w:val="00C25C54"/>
    <w:rsid w:val="00C27283"/>
    <w:rsid w:val="00C46332"/>
    <w:rsid w:val="00C4775C"/>
    <w:rsid w:val="00C542C6"/>
    <w:rsid w:val="00C54F6E"/>
    <w:rsid w:val="00C554F7"/>
    <w:rsid w:val="00C57908"/>
    <w:rsid w:val="00C60A23"/>
    <w:rsid w:val="00C657E9"/>
    <w:rsid w:val="00C6703B"/>
    <w:rsid w:val="00C70C3F"/>
    <w:rsid w:val="00C71CEA"/>
    <w:rsid w:val="00C828A3"/>
    <w:rsid w:val="00C82C98"/>
    <w:rsid w:val="00C9040D"/>
    <w:rsid w:val="00C91FD4"/>
    <w:rsid w:val="00C92CE5"/>
    <w:rsid w:val="00C93FEA"/>
    <w:rsid w:val="00C96083"/>
    <w:rsid w:val="00CA0B76"/>
    <w:rsid w:val="00CA2559"/>
    <w:rsid w:val="00CA5656"/>
    <w:rsid w:val="00CB0CF7"/>
    <w:rsid w:val="00CB2849"/>
    <w:rsid w:val="00CB3510"/>
    <w:rsid w:val="00CB42F0"/>
    <w:rsid w:val="00CB546E"/>
    <w:rsid w:val="00CB7AD0"/>
    <w:rsid w:val="00CC5F89"/>
    <w:rsid w:val="00CD39A8"/>
    <w:rsid w:val="00CD62C0"/>
    <w:rsid w:val="00CE0E94"/>
    <w:rsid w:val="00CE1FA2"/>
    <w:rsid w:val="00CE57AE"/>
    <w:rsid w:val="00CE6B9C"/>
    <w:rsid w:val="00CF66F7"/>
    <w:rsid w:val="00D01464"/>
    <w:rsid w:val="00D019B7"/>
    <w:rsid w:val="00D0312C"/>
    <w:rsid w:val="00D07994"/>
    <w:rsid w:val="00D100F4"/>
    <w:rsid w:val="00D11CBD"/>
    <w:rsid w:val="00D123FF"/>
    <w:rsid w:val="00D12F9A"/>
    <w:rsid w:val="00D15E22"/>
    <w:rsid w:val="00D16E1E"/>
    <w:rsid w:val="00D263BC"/>
    <w:rsid w:val="00D32CCC"/>
    <w:rsid w:val="00D37C23"/>
    <w:rsid w:val="00D4203A"/>
    <w:rsid w:val="00D50686"/>
    <w:rsid w:val="00D51275"/>
    <w:rsid w:val="00D60859"/>
    <w:rsid w:val="00D61E94"/>
    <w:rsid w:val="00D6309D"/>
    <w:rsid w:val="00D65A01"/>
    <w:rsid w:val="00D73DDC"/>
    <w:rsid w:val="00D816E5"/>
    <w:rsid w:val="00D86B82"/>
    <w:rsid w:val="00D91E7B"/>
    <w:rsid w:val="00D9349F"/>
    <w:rsid w:val="00D94192"/>
    <w:rsid w:val="00D9465C"/>
    <w:rsid w:val="00D963EB"/>
    <w:rsid w:val="00DB14EC"/>
    <w:rsid w:val="00DB196A"/>
    <w:rsid w:val="00DB3877"/>
    <w:rsid w:val="00DB5993"/>
    <w:rsid w:val="00DC3AE5"/>
    <w:rsid w:val="00DD0FC5"/>
    <w:rsid w:val="00DD1E7B"/>
    <w:rsid w:val="00DD2655"/>
    <w:rsid w:val="00DE0EE4"/>
    <w:rsid w:val="00DE2BA0"/>
    <w:rsid w:val="00DE2EBC"/>
    <w:rsid w:val="00DE4508"/>
    <w:rsid w:val="00DF0C73"/>
    <w:rsid w:val="00DF5937"/>
    <w:rsid w:val="00E043C2"/>
    <w:rsid w:val="00E07D31"/>
    <w:rsid w:val="00E1255B"/>
    <w:rsid w:val="00E24CE2"/>
    <w:rsid w:val="00E27AE7"/>
    <w:rsid w:val="00E3109D"/>
    <w:rsid w:val="00E338FA"/>
    <w:rsid w:val="00E350A5"/>
    <w:rsid w:val="00E45865"/>
    <w:rsid w:val="00E46259"/>
    <w:rsid w:val="00E65D28"/>
    <w:rsid w:val="00E70BE6"/>
    <w:rsid w:val="00E725C4"/>
    <w:rsid w:val="00E74B81"/>
    <w:rsid w:val="00E76339"/>
    <w:rsid w:val="00E76A90"/>
    <w:rsid w:val="00E824DE"/>
    <w:rsid w:val="00E82F2F"/>
    <w:rsid w:val="00E94A66"/>
    <w:rsid w:val="00EA13FE"/>
    <w:rsid w:val="00EA3BC4"/>
    <w:rsid w:val="00EB0B40"/>
    <w:rsid w:val="00EC2BBB"/>
    <w:rsid w:val="00EC4E1E"/>
    <w:rsid w:val="00ED02EA"/>
    <w:rsid w:val="00ED09A9"/>
    <w:rsid w:val="00ED4D0C"/>
    <w:rsid w:val="00ED5C27"/>
    <w:rsid w:val="00ED5D9B"/>
    <w:rsid w:val="00EE110F"/>
    <w:rsid w:val="00EE363D"/>
    <w:rsid w:val="00EE4F07"/>
    <w:rsid w:val="00EF6425"/>
    <w:rsid w:val="00EF6BA5"/>
    <w:rsid w:val="00F1110F"/>
    <w:rsid w:val="00F121B3"/>
    <w:rsid w:val="00F1228B"/>
    <w:rsid w:val="00F128AF"/>
    <w:rsid w:val="00F262EA"/>
    <w:rsid w:val="00F27461"/>
    <w:rsid w:val="00F40CE0"/>
    <w:rsid w:val="00F41985"/>
    <w:rsid w:val="00F44F50"/>
    <w:rsid w:val="00F55100"/>
    <w:rsid w:val="00F564B9"/>
    <w:rsid w:val="00F63033"/>
    <w:rsid w:val="00F63716"/>
    <w:rsid w:val="00F70797"/>
    <w:rsid w:val="00F73836"/>
    <w:rsid w:val="00F84D7D"/>
    <w:rsid w:val="00F85E0F"/>
    <w:rsid w:val="00F90BB3"/>
    <w:rsid w:val="00F91075"/>
    <w:rsid w:val="00FA3848"/>
    <w:rsid w:val="00FA3AC1"/>
    <w:rsid w:val="00FA5B6F"/>
    <w:rsid w:val="00FA68BB"/>
    <w:rsid w:val="00FA7FAD"/>
    <w:rsid w:val="00FB3401"/>
    <w:rsid w:val="00FB704A"/>
    <w:rsid w:val="00FB71FD"/>
    <w:rsid w:val="00FB7CFA"/>
    <w:rsid w:val="00FC3CA4"/>
    <w:rsid w:val="00FC61E0"/>
    <w:rsid w:val="00FD0E19"/>
    <w:rsid w:val="00FD16DE"/>
    <w:rsid w:val="00FD3B7B"/>
    <w:rsid w:val="00FE10BB"/>
    <w:rsid w:val="00FE24F1"/>
    <w:rsid w:val="00FE4845"/>
    <w:rsid w:val="00FF0585"/>
    <w:rsid w:val="00FF1C44"/>
    <w:rsid w:val="12B52AB6"/>
    <w:rsid w:val="14165096"/>
    <w:rsid w:val="1D3E6EFD"/>
    <w:rsid w:val="255650AA"/>
    <w:rsid w:val="28E91D45"/>
    <w:rsid w:val="29EC5F1E"/>
    <w:rsid w:val="2B31710F"/>
    <w:rsid w:val="2B6011DF"/>
    <w:rsid w:val="35092266"/>
    <w:rsid w:val="416212D0"/>
    <w:rsid w:val="43EBB828"/>
    <w:rsid w:val="5BB6E2CD"/>
    <w:rsid w:val="62AE7BAF"/>
    <w:rsid w:val="6FFEF808"/>
    <w:rsid w:val="739B9088"/>
    <w:rsid w:val="79E680F1"/>
    <w:rsid w:val="7B3B4D9E"/>
    <w:rsid w:val="7DBFA2D4"/>
    <w:rsid w:val="7DE6C534"/>
    <w:rsid w:val="7DFFEB4C"/>
    <w:rsid w:val="7E7D4EE2"/>
    <w:rsid w:val="7EFE3097"/>
    <w:rsid w:val="BFFBF4E9"/>
    <w:rsid w:val="E97AEDDB"/>
    <w:rsid w:val="F1BFBF06"/>
    <w:rsid w:val="FAE36F6A"/>
    <w:rsid w:val="FFC744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eastAsiaTheme="minorHAnsi"/>
      <w:sz w:val="18"/>
      <w:szCs w:val="18"/>
    </w:rPr>
  </w:style>
  <w:style w:type="paragraph" w:styleId="7">
    <w:name w:val="Document Map"/>
    <w:basedOn w:val="1"/>
    <w:link w:val="48"/>
    <w:semiHidden/>
    <w:unhideWhenUsed/>
    <w:qFormat/>
    <w:uiPriority w:val="99"/>
    <w:rPr>
      <w:rFonts w:ascii="宋体" w:eastAsia="宋体"/>
      <w:sz w:val="18"/>
      <w:szCs w:val="18"/>
    </w:rPr>
  </w:style>
  <w:style w:type="paragraph" w:styleId="8">
    <w:name w:val="annotation text"/>
    <w:basedOn w:val="1"/>
    <w:link w:val="42"/>
    <w:unhideWhenUsed/>
    <w:qFormat/>
    <w:uiPriority w:val="99"/>
    <w:pPr>
      <w:jc w:val="left"/>
    </w:pPr>
  </w:style>
  <w:style w:type="paragraph" w:styleId="9">
    <w:name w:val="toc 5"/>
    <w:basedOn w:val="1"/>
    <w:next w:val="1"/>
    <w:unhideWhenUsed/>
    <w:qFormat/>
    <w:uiPriority w:val="39"/>
    <w:pPr>
      <w:ind w:left="840"/>
      <w:jc w:val="left"/>
    </w:pPr>
    <w:rPr>
      <w:rFonts w:eastAsiaTheme="minorHAnsi"/>
      <w:sz w:val="18"/>
      <w:szCs w:val="18"/>
    </w:rPr>
  </w:style>
  <w:style w:type="paragraph" w:styleId="10">
    <w:name w:val="toc 3"/>
    <w:basedOn w:val="1"/>
    <w:next w:val="1"/>
    <w:unhideWhenUsed/>
    <w:qFormat/>
    <w:uiPriority w:val="39"/>
    <w:pPr>
      <w:ind w:left="420"/>
      <w:jc w:val="left"/>
    </w:pPr>
    <w:rPr>
      <w:rFonts w:eastAsiaTheme="minorHAnsi"/>
      <w:i/>
      <w:iCs/>
      <w:sz w:val="20"/>
      <w:szCs w:val="20"/>
    </w:rPr>
  </w:style>
  <w:style w:type="paragraph" w:styleId="11">
    <w:name w:val="toc 8"/>
    <w:basedOn w:val="1"/>
    <w:next w:val="1"/>
    <w:unhideWhenUsed/>
    <w:qFormat/>
    <w:uiPriority w:val="39"/>
    <w:pPr>
      <w:ind w:left="1470"/>
      <w:jc w:val="left"/>
    </w:pPr>
    <w:rPr>
      <w:rFonts w:eastAsiaTheme="minorHAnsi"/>
      <w:sz w:val="18"/>
      <w:szCs w:val="18"/>
    </w:rPr>
  </w:style>
  <w:style w:type="paragraph" w:styleId="12">
    <w:name w:val="Date"/>
    <w:basedOn w:val="1"/>
    <w:next w:val="1"/>
    <w:link w:val="30"/>
    <w:semiHidden/>
    <w:unhideWhenUsed/>
    <w:qFormat/>
    <w:uiPriority w:val="99"/>
    <w:pPr>
      <w:ind w:left="100" w:leftChars="2500"/>
    </w:pPr>
  </w:style>
  <w:style w:type="paragraph" w:styleId="13">
    <w:name w:val="Balloon Text"/>
    <w:basedOn w:val="1"/>
    <w:link w:val="38"/>
    <w:semiHidden/>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eastAsiaTheme="minorHAnsi"/>
      <w:b/>
      <w:bCs/>
      <w:caps/>
      <w:sz w:val="20"/>
      <w:szCs w:val="20"/>
    </w:rPr>
  </w:style>
  <w:style w:type="paragraph" w:styleId="17">
    <w:name w:val="toc 4"/>
    <w:basedOn w:val="1"/>
    <w:next w:val="1"/>
    <w:unhideWhenUsed/>
    <w:qFormat/>
    <w:uiPriority w:val="39"/>
    <w:pPr>
      <w:ind w:left="630"/>
      <w:jc w:val="left"/>
    </w:pPr>
    <w:rPr>
      <w:rFonts w:eastAsiaTheme="minorHAnsi"/>
      <w:sz w:val="18"/>
      <w:szCs w:val="18"/>
    </w:rPr>
  </w:style>
  <w:style w:type="paragraph" w:styleId="18">
    <w:name w:val="Subtitle"/>
    <w:basedOn w:val="1"/>
    <w:next w:val="1"/>
    <w:link w:val="47"/>
    <w:qFormat/>
    <w:uiPriority w:val="11"/>
    <w:pPr>
      <w:spacing w:beforeAutospacing="1" w:afterAutospacing="1"/>
      <w:contextualSpacing/>
      <w:jc w:val="center"/>
    </w:pPr>
    <w:rPr>
      <w:rFonts w:ascii="Times New Roman" w:hAnsi="Times New Roman" w:eastAsia="黑体" w:cs="黑体"/>
      <w:b/>
      <w:bCs/>
      <w:kern w:val="28"/>
      <w:sz w:val="24"/>
      <w:szCs w:val="32"/>
    </w:rPr>
  </w:style>
  <w:style w:type="paragraph" w:styleId="19">
    <w:name w:val="toc 6"/>
    <w:basedOn w:val="1"/>
    <w:next w:val="1"/>
    <w:unhideWhenUsed/>
    <w:qFormat/>
    <w:uiPriority w:val="39"/>
    <w:pPr>
      <w:ind w:left="1050"/>
      <w:jc w:val="left"/>
    </w:pPr>
    <w:rPr>
      <w:rFonts w:eastAsiaTheme="minorHAnsi"/>
      <w:sz w:val="18"/>
      <w:szCs w:val="18"/>
    </w:rPr>
  </w:style>
  <w:style w:type="paragraph" w:styleId="20">
    <w:name w:val="toc 2"/>
    <w:basedOn w:val="1"/>
    <w:next w:val="1"/>
    <w:unhideWhenUsed/>
    <w:qFormat/>
    <w:uiPriority w:val="39"/>
    <w:pPr>
      <w:ind w:left="210"/>
      <w:jc w:val="left"/>
    </w:pPr>
    <w:rPr>
      <w:rFonts w:eastAsiaTheme="minorHAnsi"/>
      <w:smallCaps/>
      <w:sz w:val="20"/>
      <w:szCs w:val="20"/>
    </w:rPr>
  </w:style>
  <w:style w:type="paragraph" w:styleId="21">
    <w:name w:val="toc 9"/>
    <w:basedOn w:val="1"/>
    <w:next w:val="1"/>
    <w:unhideWhenUsed/>
    <w:qFormat/>
    <w:uiPriority w:val="39"/>
    <w:pPr>
      <w:ind w:left="1680"/>
      <w:jc w:val="left"/>
    </w:pPr>
    <w:rPr>
      <w:rFonts w:eastAsiaTheme="minorHAnsi"/>
      <w:sz w:val="18"/>
      <w:szCs w:val="18"/>
    </w:rPr>
  </w:style>
  <w:style w:type="paragraph" w:styleId="22">
    <w:name w:val="Normal (Web)"/>
    <w:basedOn w:val="1"/>
    <w:qFormat/>
    <w:uiPriority w:val="0"/>
    <w:pPr>
      <w:ind w:firstLine="200" w:firstLineChars="200"/>
    </w:pPr>
    <w:rPr>
      <w:rFonts w:ascii="Times New Roman" w:hAnsi="Times New Roman" w:eastAsia="仿宋_GB2312" w:cs="Times New Roman"/>
      <w:sz w:val="24"/>
      <w:szCs w:val="24"/>
    </w:rPr>
  </w:style>
  <w:style w:type="paragraph" w:styleId="23">
    <w:name w:val="annotation subject"/>
    <w:basedOn w:val="8"/>
    <w:next w:val="8"/>
    <w:link w:val="43"/>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semiHidden/>
    <w:unhideWhenUsed/>
    <w:qFormat/>
    <w:uiPriority w:val="99"/>
  </w:style>
  <w:style w:type="character" w:styleId="28">
    <w:name w:val="Hyperlink"/>
    <w:basedOn w:val="26"/>
    <w:unhideWhenUsed/>
    <w:qFormat/>
    <w:uiPriority w:val="99"/>
    <w:rPr>
      <w:color w:val="0563C1"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日期 Char"/>
    <w:basedOn w:val="26"/>
    <w:link w:val="12"/>
    <w:semiHidden/>
    <w:qFormat/>
    <w:uiPriority w:val="99"/>
  </w:style>
  <w:style w:type="character" w:customStyle="1" w:styleId="31">
    <w:name w:val="页眉 Char"/>
    <w:basedOn w:val="26"/>
    <w:link w:val="15"/>
    <w:qFormat/>
    <w:uiPriority w:val="99"/>
    <w:rPr>
      <w:sz w:val="18"/>
      <w:szCs w:val="18"/>
    </w:rPr>
  </w:style>
  <w:style w:type="character" w:customStyle="1" w:styleId="32">
    <w:name w:val="页脚 Char"/>
    <w:basedOn w:val="26"/>
    <w:link w:val="14"/>
    <w:qFormat/>
    <w:uiPriority w:val="99"/>
    <w:rPr>
      <w:sz w:val="18"/>
      <w:szCs w:val="18"/>
    </w:rPr>
  </w:style>
  <w:style w:type="paragraph" w:styleId="33">
    <w:name w:val="List Paragraph"/>
    <w:basedOn w:val="1"/>
    <w:qFormat/>
    <w:uiPriority w:val="99"/>
    <w:pPr>
      <w:ind w:firstLine="420" w:firstLineChars="200"/>
    </w:pPr>
  </w:style>
  <w:style w:type="character" w:customStyle="1" w:styleId="34">
    <w:name w:val="标题 1 Char1"/>
    <w:basedOn w:val="26"/>
    <w:link w:val="2"/>
    <w:qFormat/>
    <w:uiPriority w:val="9"/>
    <w:rPr>
      <w:b/>
      <w:bCs/>
      <w:kern w:val="44"/>
      <w:sz w:val="44"/>
      <w:szCs w:val="44"/>
    </w:rPr>
  </w:style>
  <w:style w:type="character" w:customStyle="1" w:styleId="35">
    <w:name w:val="标题 2 Char1"/>
    <w:basedOn w:val="26"/>
    <w:link w:val="3"/>
    <w:qFormat/>
    <w:uiPriority w:val="9"/>
    <w:rPr>
      <w:rFonts w:asciiTheme="majorHAnsi" w:hAnsiTheme="majorHAnsi" w:eastAsiaTheme="majorEastAsia" w:cstheme="majorBidi"/>
      <w:b/>
      <w:bCs/>
      <w:sz w:val="32"/>
      <w:szCs w:val="32"/>
    </w:rPr>
  </w:style>
  <w:style w:type="character" w:customStyle="1" w:styleId="36">
    <w:name w:val="标题 3 Char"/>
    <w:basedOn w:val="26"/>
    <w:link w:val="4"/>
    <w:qFormat/>
    <w:uiPriority w:val="9"/>
    <w:rPr>
      <w:b/>
      <w:bCs/>
      <w:sz w:val="32"/>
      <w:szCs w:val="32"/>
    </w:rPr>
  </w:style>
  <w:style w:type="paragraph" w:customStyle="1" w:styleId="37">
    <w:name w:val="A正文"/>
    <w:basedOn w:val="1"/>
    <w:qFormat/>
    <w:uiPriority w:val="0"/>
    <w:pPr>
      <w:adjustRightInd w:val="0"/>
      <w:snapToGrid w:val="0"/>
      <w:spacing w:line="360" w:lineRule="auto"/>
      <w:ind w:firstLine="200" w:firstLineChars="200"/>
    </w:pPr>
    <w:rPr>
      <w:rFonts w:ascii="Times New Roman" w:hAnsi="Times New Roman" w:eastAsia="仿宋_GB2312"/>
      <w:sz w:val="30"/>
      <w:szCs w:val="21"/>
    </w:rPr>
  </w:style>
  <w:style w:type="character" w:customStyle="1" w:styleId="38">
    <w:name w:val="批注框文本 Char"/>
    <w:basedOn w:val="26"/>
    <w:link w:val="13"/>
    <w:semiHidden/>
    <w:qFormat/>
    <w:uiPriority w:val="99"/>
    <w:rPr>
      <w:sz w:val="18"/>
      <w:szCs w:val="18"/>
    </w:rPr>
  </w:style>
  <w:style w:type="paragraph" w:customStyle="1" w:styleId="39">
    <w:name w:val="TOC 标题2"/>
    <w:basedOn w:val="2"/>
    <w:next w:val="1"/>
    <w:qFormat/>
    <w:uiPriority w:val="39"/>
    <w:pPr>
      <w:widowControl/>
      <w:spacing w:before="480" w:after="0" w:line="276" w:lineRule="auto"/>
      <w:jc w:val="left"/>
      <w:outlineLvl w:val="9"/>
    </w:pPr>
    <w:rPr>
      <w:rFonts w:ascii="等线 Light" w:hAnsi="等线 Light" w:eastAsia="等线 Light" w:cs="Times New Roman"/>
      <w:color w:val="2F5496"/>
      <w:kern w:val="0"/>
      <w:sz w:val="28"/>
      <w:szCs w:val="28"/>
    </w:rPr>
  </w:style>
  <w:style w:type="character" w:customStyle="1" w:styleId="40">
    <w:name w:val="标题 1 Char"/>
    <w:qFormat/>
    <w:uiPriority w:val="9"/>
    <w:rPr>
      <w:rFonts w:ascii="黑体" w:hAnsi="黑体" w:eastAsia="黑体" w:cs="宋体"/>
      <w:bCs/>
      <w:kern w:val="44"/>
      <w:sz w:val="36"/>
      <w:szCs w:val="44"/>
    </w:rPr>
  </w:style>
  <w:style w:type="character" w:customStyle="1" w:styleId="41">
    <w:name w:val="标题 2 Char"/>
    <w:qFormat/>
    <w:uiPriority w:val="9"/>
    <w:rPr>
      <w:rFonts w:ascii="楷体" w:hAnsi="楷体" w:eastAsia="楷体" w:cs="宋体"/>
      <w:b/>
      <w:bCs/>
      <w:kern w:val="2"/>
      <w:sz w:val="32"/>
      <w:szCs w:val="32"/>
    </w:rPr>
  </w:style>
  <w:style w:type="character" w:customStyle="1" w:styleId="42">
    <w:name w:val="批注文字 Char"/>
    <w:basedOn w:val="26"/>
    <w:link w:val="8"/>
    <w:qFormat/>
    <w:uiPriority w:val="99"/>
  </w:style>
  <w:style w:type="character" w:customStyle="1" w:styleId="43">
    <w:name w:val="批注主题 Char"/>
    <w:basedOn w:val="42"/>
    <w:link w:val="23"/>
    <w:semiHidden/>
    <w:qFormat/>
    <w:uiPriority w:val="99"/>
    <w:rPr>
      <w:b/>
      <w:bCs/>
    </w:rPr>
  </w:style>
  <w:style w:type="paragraph" w:customStyle="1" w:styleId="44">
    <w:name w:val="列出段落1"/>
    <w:basedOn w:val="1"/>
    <w:qFormat/>
    <w:uiPriority w:val="34"/>
    <w:pPr>
      <w:spacing w:before="260" w:after="260" w:line="360" w:lineRule="auto"/>
      <w:ind w:firstLine="420" w:firstLineChars="200"/>
    </w:pPr>
    <w:rPr>
      <w:rFonts w:ascii="仿宋" w:hAnsi="仿宋" w:eastAsia="仿宋"/>
      <w:sz w:val="24"/>
      <w:szCs w:val="24"/>
      <w:shd w:val="clear" w:color="auto" w:fill="FFFFFF"/>
    </w:rPr>
  </w:style>
  <w:style w:type="paragraph" w:customStyle="1" w:styleId="4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6">
    <w:name w:val="标题 4 Char"/>
    <w:basedOn w:val="26"/>
    <w:link w:val="5"/>
    <w:semiHidden/>
    <w:qFormat/>
    <w:uiPriority w:val="9"/>
    <w:rPr>
      <w:rFonts w:asciiTheme="majorHAnsi" w:hAnsiTheme="majorHAnsi" w:eastAsiaTheme="majorEastAsia" w:cstheme="majorBidi"/>
      <w:b/>
      <w:bCs/>
      <w:kern w:val="2"/>
      <w:sz w:val="28"/>
      <w:szCs w:val="28"/>
    </w:rPr>
  </w:style>
  <w:style w:type="character" w:customStyle="1" w:styleId="47">
    <w:name w:val="副标题 Char"/>
    <w:basedOn w:val="26"/>
    <w:link w:val="18"/>
    <w:qFormat/>
    <w:uiPriority w:val="11"/>
    <w:rPr>
      <w:rFonts w:ascii="Times New Roman" w:hAnsi="Times New Roman" w:eastAsia="黑体" w:cs="黑体"/>
      <w:b/>
      <w:bCs/>
      <w:kern w:val="28"/>
      <w:sz w:val="24"/>
      <w:szCs w:val="32"/>
    </w:rPr>
  </w:style>
  <w:style w:type="character" w:customStyle="1" w:styleId="48">
    <w:name w:val="文档结构图 Char"/>
    <w:basedOn w:val="26"/>
    <w:link w:val="7"/>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3265</Words>
  <Characters>18613</Characters>
  <Lines>155</Lines>
  <Paragraphs>43</Paragraphs>
  <TotalTime>623</TotalTime>
  <ScaleCrop>false</ScaleCrop>
  <LinksUpToDate>false</LinksUpToDate>
  <CharactersWithSpaces>21835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2023-01-18T12:00:00Z</dcterms:created>
  <dc:creator>黄 铁栋</dc:creator>
  <cp:lastModifiedBy>ZCB</cp:lastModifiedBy>
  <cp:lastPrinted>2022-11-19T05:08:00Z</cp:lastPrinted>
  <dcterms:modified xsi:type="dcterms:W3CDTF">2023-03-23T10:57:40Z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